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内乡县板场乡国土空间总体规划</w:t>
      </w:r>
    </w:p>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Cs/>
          <w:sz w:val="36"/>
          <w:szCs w:val="36"/>
        </w:rPr>
      </w:pPr>
    </w:p>
    <w:p>
      <w:pPr>
        <w:spacing w:before="65"/>
        <w:ind w:firstLine="0" w:firstLineChars="0"/>
        <w:jc w:val="center"/>
        <w:rPr>
          <w:rFonts w:ascii="楷体_GB2312" w:eastAsia="楷体_GB2312"/>
          <w:bCs/>
          <w:sz w:val="36"/>
          <w:szCs w:val="36"/>
        </w:rPr>
      </w:pPr>
    </w:p>
    <w:p>
      <w:pPr>
        <w:spacing w:before="65"/>
        <w:ind w:firstLine="0" w:firstLineChars="0"/>
        <w:jc w:val="center"/>
        <w:rPr>
          <w:bCs/>
        </w:rPr>
      </w:pPr>
    </w:p>
    <w:p>
      <w:pPr>
        <w:spacing w:before="65"/>
        <w:ind w:firstLine="0" w:firstLineChars="0"/>
        <w:jc w:val="center"/>
        <w:rPr>
          <w:bCs/>
        </w:rPr>
      </w:pPr>
    </w:p>
    <w:p>
      <w:pPr>
        <w:spacing w:before="65"/>
        <w:ind w:firstLine="0" w:firstLineChars="0"/>
        <w:jc w:val="center"/>
        <w:rPr>
          <w:bCs/>
        </w:rPr>
      </w:pPr>
    </w:p>
    <w:p>
      <w:pPr>
        <w:spacing w:before="65"/>
        <w:ind w:firstLine="0" w:firstLineChars="0"/>
        <w:jc w:val="center"/>
        <w:rPr>
          <w:bCs/>
        </w:rPr>
      </w:pPr>
    </w:p>
    <w:p>
      <w:pPr>
        <w:spacing w:before="65"/>
        <w:ind w:firstLine="0" w:firstLineChars="0"/>
        <w:jc w:val="center"/>
        <w:rPr>
          <w:bCs/>
        </w:rPr>
      </w:pPr>
    </w:p>
    <w:p>
      <w:pPr>
        <w:ind w:firstLine="0" w:firstLineChars="0"/>
        <w:jc w:val="center"/>
        <w:rPr>
          <w:rFonts w:ascii="黑体" w:hAnsi="黑体" w:eastAsia="黑体"/>
          <w:bCs/>
          <w:szCs w:val="32"/>
        </w:rPr>
      </w:pPr>
      <w:r>
        <w:rPr>
          <w:rFonts w:hint="eastAsia" w:ascii="黑体" w:hAnsi="黑体" w:eastAsia="黑体"/>
          <w:bCs/>
          <w:szCs w:val="32"/>
        </w:rPr>
        <w:t>内乡县板场乡人民政府</w:t>
      </w:r>
    </w:p>
    <w:p>
      <w:pPr>
        <w:ind w:firstLine="0" w:firstLineChars="0"/>
        <w:jc w:val="center"/>
        <w:rPr>
          <w:rFonts w:ascii="黑体" w:hAnsi="黑体" w:eastAsia="黑体"/>
          <w:bCs/>
          <w:szCs w:val="32"/>
        </w:rPr>
      </w:pPr>
      <w:r>
        <w:rPr>
          <w:rFonts w:hint="eastAsia" w:ascii="黑体" w:hAnsi="黑体" w:eastAsia="黑体"/>
          <w:bCs/>
          <w:szCs w:val="32"/>
        </w:rPr>
        <w:t>2</w:t>
      </w:r>
      <w:r>
        <w:rPr>
          <w:rFonts w:ascii="黑体" w:hAnsi="黑体" w:eastAsia="黑体"/>
          <w:bCs/>
          <w:szCs w:val="32"/>
        </w:rPr>
        <w:t>026</w:t>
      </w:r>
      <w:r>
        <w:rPr>
          <w:rFonts w:hint="eastAsia" w:ascii="黑体" w:hAnsi="黑体" w:eastAsia="黑体"/>
          <w:bCs/>
          <w:szCs w:val="32"/>
        </w:rPr>
        <w:t>年</w:t>
      </w:r>
      <w:r>
        <w:rPr>
          <w:rFonts w:ascii="黑体" w:hAnsi="黑体" w:eastAsia="黑体"/>
          <w:bCs/>
          <w:szCs w:val="32"/>
        </w:rPr>
        <w:t>1</w:t>
      </w:r>
      <w:r>
        <w:rPr>
          <w:rFonts w:hint="eastAsia" w:ascii="黑体" w:hAnsi="黑体" w:eastAsia="黑体"/>
          <w:bCs/>
          <w:szCs w:val="32"/>
        </w:rPr>
        <w:t>月</w:t>
      </w:r>
    </w:p>
    <w:p>
      <w:pPr>
        <w:pStyle w:val="53"/>
        <w:spacing w:before="652" w:beforeLines="200" w:after="163"/>
        <w:jc w:val="both"/>
        <w:rPr>
          <w:rFonts w:hAnsi="黑体"/>
          <w:bCs/>
          <w:sz w:val="28"/>
        </w:rPr>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黑体" w:hAnsi="黑体" w:eastAsia="黑体"/>
              <w:sz w:val="44"/>
              <w:szCs w:val="44"/>
            </w:rPr>
          </w:pPr>
          <w:r>
            <w:rPr>
              <w:rFonts w:hint="eastAsia" w:ascii="黑体" w:hAnsi="黑体" w:eastAsia="黑体"/>
              <w:b/>
              <w:bCs/>
              <w:sz w:val="44"/>
              <w:szCs w:val="44"/>
            </w:rPr>
            <w:t xml:space="preserve">目 </w:t>
          </w:r>
          <w:r>
            <w:rPr>
              <w:rFonts w:ascii="黑体" w:hAnsi="黑体" w:eastAsia="黑体"/>
              <w:b/>
              <w:bCs/>
              <w:sz w:val="44"/>
              <w:szCs w:val="44"/>
            </w:rPr>
            <w:t xml:space="preserve"> </w:t>
          </w:r>
          <w:r>
            <w:rPr>
              <w:rFonts w:hint="eastAsia" w:ascii="黑体" w:hAnsi="黑体" w:eastAsia="黑体"/>
              <w:b/>
              <w:bCs/>
              <w:sz w:val="44"/>
              <w:szCs w:val="44"/>
            </w:rPr>
            <w:t>录</w:t>
          </w:r>
        </w:p>
        <w:p>
          <w:pPr>
            <w:pStyle w:val="22"/>
            <w:tabs>
              <w:tab w:val="right" w:leader="dot" w:pos="8297"/>
            </w:tabs>
            <w:rPr>
              <w:rFonts w:asciiTheme="minorHAnsi" w:hAnsiTheme="minorHAnsi" w:eastAsiaTheme="minorEastAsia" w:cstheme="minorBidi"/>
              <w:kern w:val="2"/>
              <w:sz w:val="21"/>
              <w:szCs w:val="22"/>
            </w:rPr>
          </w:pPr>
          <w:r>
            <w:rPr>
              <w:rFonts w:ascii="楷体_GB2312" w:hAnsi="Times New Roman" w:cs="楷体_GB2312"/>
              <w:b/>
              <w:sz w:val="36"/>
            </w:rPr>
            <w:fldChar w:fldCharType="begin"/>
          </w:r>
          <w:r>
            <w:rPr>
              <w:rFonts w:ascii="楷体_GB2312" w:hAnsi="Times New Roman" w:cs="楷体_GB2312"/>
              <w:b/>
              <w:sz w:val="36"/>
            </w:rPr>
            <w:instrText xml:space="preserve"> TOC \o "1-1" \h \z \u </w:instrText>
          </w:r>
          <w:r>
            <w:rPr>
              <w:rFonts w:ascii="楷体_GB2312" w:hAnsi="Times New Roman" w:cs="楷体_GB2312"/>
              <w:b/>
              <w:sz w:val="36"/>
            </w:rPr>
            <w:fldChar w:fldCharType="separate"/>
          </w:r>
          <w:r>
            <w:fldChar w:fldCharType="begin"/>
          </w:r>
          <w:r>
            <w:instrText xml:space="preserve"> HYPERLINK \l "_Toc221006501" </w:instrText>
          </w:r>
          <w:r>
            <w:fldChar w:fldCharType="separate"/>
          </w:r>
          <w:r>
            <w:rPr>
              <w:rStyle w:val="36"/>
            </w:rPr>
            <w:t>第一章 规划总则</w:t>
          </w:r>
          <w:r>
            <w:tab/>
          </w:r>
          <w:r>
            <w:fldChar w:fldCharType="begin"/>
          </w:r>
          <w:r>
            <w:instrText xml:space="preserve"> PAGEREF _Toc221006501 \h </w:instrText>
          </w:r>
          <w:r>
            <w:fldChar w:fldCharType="separate"/>
          </w:r>
          <w:r>
            <w:t>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"_Toc221006502" </w:instrText>
          </w:r>
          <w:r>
            <w:fldChar w:fldCharType="separate"/>
          </w:r>
          <w:r>
            <w:rPr>
              <w:rStyle w:val="36"/>
            </w:rPr>
            <w:t>第二章 现状分析</w:t>
          </w:r>
          <w:r>
            <w:tab/>
          </w:r>
          <w:r>
            <w:fldChar w:fldCharType="begin"/>
          </w:r>
          <w:r>
            <w:instrText xml:space="preserve"> PAGEREF _Toc221006502 \h </w:instrText>
          </w:r>
          <w:r>
            <w:fldChar w:fldCharType="separate"/>
          </w:r>
          <w:r>
            <w:t>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"_Toc221006503" </w:instrText>
          </w:r>
          <w:r>
            <w:fldChar w:fldCharType="separate"/>
          </w:r>
          <w:r>
            <w:rPr>
              <w:rStyle w:val="36"/>
            </w:rPr>
            <w:t>第三章 发展定位与目标</w:t>
          </w:r>
          <w:r>
            <w:tab/>
          </w:r>
          <w:r>
            <w:fldChar w:fldCharType="begin"/>
          </w:r>
          <w:r>
            <w:instrText xml:space="preserve"> PAGEREF _Toc221006503 \h </w:instrText>
          </w:r>
          <w:r>
            <w:fldChar w:fldCharType="separate"/>
          </w:r>
          <w:r>
            <w:t>12</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"_Toc221006504" </w:instrText>
          </w:r>
          <w:r>
            <w:fldChar w:fldCharType="separate"/>
          </w:r>
          <w:r>
            <w:rPr>
              <w:rStyle w:val="36"/>
            </w:rPr>
            <w:t>第四章 底线约束</w:t>
          </w:r>
          <w:r>
            <w:tab/>
          </w:r>
          <w:r>
            <w:fldChar w:fldCharType="begin"/>
          </w:r>
          <w:r>
            <w:instrText xml:space="preserve"> PAGEREF _Toc221006504 \h </w:instrText>
          </w:r>
          <w:r>
            <w:fldChar w:fldCharType="separate"/>
          </w:r>
          <w:r>
            <w:t>14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"_Toc221006505" </w:instrText>
          </w:r>
          <w:r>
            <w:fldChar w:fldCharType="separate"/>
          </w:r>
          <w:r>
            <w:rPr>
              <w:rStyle w:val="36"/>
            </w:rPr>
            <w:t>第五章 规划分区</w:t>
          </w:r>
          <w:r>
            <w:tab/>
          </w:r>
          <w:r>
            <w:fldChar w:fldCharType="begin"/>
          </w:r>
          <w:r>
            <w:instrText xml:space="preserve"> PAGEREF _Toc221006505 \h </w:instrText>
          </w:r>
          <w:r>
            <w:fldChar w:fldCharType="separate"/>
          </w:r>
          <w:r>
            <w:t>17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"_Toc221006506" </w:instrText>
          </w:r>
          <w:r>
            <w:fldChar w:fldCharType="separate"/>
          </w:r>
          <w:r>
            <w:rPr>
              <w:rStyle w:val="36"/>
            </w:rPr>
            <w:t>第六章 国土空间功能结构调整</w:t>
          </w:r>
          <w:r>
            <w:tab/>
          </w:r>
          <w:r>
            <w:fldChar w:fldCharType="begin"/>
          </w:r>
          <w:r>
            <w:instrText xml:space="preserve"> PAGEREF _Toc221006506 \h </w:instrText>
          </w:r>
          <w:r>
            <w:fldChar w:fldCharType="separate"/>
          </w:r>
          <w:r>
            <w:t>25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"_Toc221006507" </w:instrText>
          </w:r>
          <w:r>
            <w:fldChar w:fldCharType="separate"/>
          </w:r>
          <w:r>
            <w:rPr>
              <w:rStyle w:val="36"/>
            </w:rPr>
            <w:t>第七章 自然资源保护与利用</w:t>
          </w:r>
          <w:r>
            <w:tab/>
          </w:r>
          <w:r>
            <w:fldChar w:fldCharType="begin"/>
          </w:r>
          <w:r>
            <w:instrText xml:space="preserve"> PAGEREF _Toc221006507 \h </w:instrText>
          </w:r>
          <w:r>
            <w:fldChar w:fldCharType="separate"/>
          </w:r>
          <w:r>
            <w:t>28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"_Toc221006508" </w:instrText>
          </w:r>
          <w:r>
            <w:fldChar w:fldCharType="separate"/>
          </w:r>
          <w:r>
            <w:rPr>
              <w:rStyle w:val="36"/>
            </w:rPr>
            <w:t>第八章 产业规划</w:t>
          </w:r>
          <w:r>
            <w:tab/>
          </w:r>
          <w:r>
            <w:fldChar w:fldCharType="begin"/>
          </w:r>
          <w:r>
            <w:instrText xml:space="preserve"> PAGEREF _Toc221006508 \h </w:instrText>
          </w:r>
          <w:r>
            <w:fldChar w:fldCharType="separate"/>
          </w:r>
          <w:r>
            <w:t>40</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"_Toc221006509" </w:instrText>
          </w:r>
          <w:r>
            <w:fldChar w:fldCharType="separate"/>
          </w:r>
          <w:r>
            <w:rPr>
              <w:rStyle w:val="36"/>
            </w:rPr>
            <w:t>第九章 村庄布局</w:t>
          </w:r>
          <w:r>
            <w:tab/>
          </w:r>
          <w:r>
            <w:fldChar w:fldCharType="begin"/>
          </w:r>
          <w:r>
            <w:instrText xml:space="preserve"> PAGEREF _Toc221006509 \h </w:instrText>
          </w:r>
          <w:r>
            <w:fldChar w:fldCharType="separate"/>
          </w:r>
          <w:r>
            <w:t>44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"_Toc221006510" </w:instrText>
          </w:r>
          <w:r>
            <w:fldChar w:fldCharType="separate"/>
          </w:r>
          <w:r>
            <w:rPr>
              <w:rStyle w:val="36"/>
            </w:rPr>
            <w:t>第十章 支撑体系规划</w:t>
          </w:r>
          <w:r>
            <w:tab/>
          </w:r>
          <w:r>
            <w:fldChar w:fldCharType="begin"/>
          </w:r>
          <w:r>
            <w:instrText xml:space="preserve"> PAGEREF _Toc221006510 \h </w:instrText>
          </w:r>
          <w:r>
            <w:fldChar w:fldCharType="separate"/>
          </w:r>
          <w:r>
            <w:t>49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"_Toc221006511" </w:instrText>
          </w:r>
          <w:r>
            <w:fldChar w:fldCharType="separate"/>
          </w:r>
          <w:r>
            <w:rPr>
              <w:rStyle w:val="36"/>
            </w:rPr>
            <w:t>第十一章 历史文化与景观风貌规划</w:t>
          </w:r>
          <w:r>
            <w:tab/>
          </w:r>
          <w:r>
            <w:fldChar w:fldCharType="begin"/>
          </w:r>
          <w:r>
            <w:instrText xml:space="preserve"> PAGEREF _Toc221006511 \h </w:instrText>
          </w:r>
          <w:r>
            <w:fldChar w:fldCharType="separate"/>
          </w:r>
          <w:r>
            <w:t>61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"_Toc221006512" </w:instrText>
          </w:r>
          <w:r>
            <w:fldChar w:fldCharType="separate"/>
          </w:r>
          <w:r>
            <w:rPr>
              <w:rStyle w:val="36"/>
            </w:rPr>
            <w:t>第十二章 乡镇政府驻地规划</w:t>
          </w:r>
          <w:r>
            <w:tab/>
          </w:r>
          <w:r>
            <w:fldChar w:fldCharType="begin"/>
          </w:r>
          <w:r>
            <w:instrText xml:space="preserve"> PAGEREF _Toc221006512 \h </w:instrText>
          </w:r>
          <w:r>
            <w:fldChar w:fldCharType="separate"/>
          </w:r>
          <w:r>
            <w:t>64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"_Toc221006513" </w:instrText>
          </w:r>
          <w:r>
            <w:fldChar w:fldCharType="separate"/>
          </w:r>
          <w:r>
            <w:rPr>
              <w:rStyle w:val="36"/>
            </w:rPr>
            <w:t>第十三章 土地综合整治与生态修复</w:t>
          </w:r>
          <w:r>
            <w:tab/>
          </w:r>
          <w:r>
            <w:fldChar w:fldCharType="begin"/>
          </w:r>
          <w:r>
            <w:instrText xml:space="preserve"> PAGEREF _Toc221006513 \h </w:instrText>
          </w:r>
          <w:r>
            <w:fldChar w:fldCharType="separate"/>
          </w:r>
          <w:r>
            <w:t>81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"_Toc221006514" </w:instrText>
          </w:r>
          <w:r>
            <w:fldChar w:fldCharType="separate"/>
          </w:r>
          <w:r>
            <w:rPr>
              <w:rStyle w:val="36"/>
            </w:rPr>
            <w:t>第十四章 规划传导</w:t>
          </w:r>
          <w:r>
            <w:tab/>
          </w:r>
          <w:r>
            <w:fldChar w:fldCharType="begin"/>
          </w:r>
          <w:r>
            <w:instrText xml:space="preserve"> PAGEREF _Toc221006514 \h </w:instrText>
          </w:r>
          <w:r>
            <w:fldChar w:fldCharType="separate"/>
          </w:r>
          <w:r>
            <w:t>85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"_Toc221006515" </w:instrText>
          </w:r>
          <w:r>
            <w:fldChar w:fldCharType="separate"/>
          </w:r>
          <w:r>
            <w:rPr>
              <w:rStyle w:val="36"/>
              <w:lang w:bidi="ar"/>
            </w:rPr>
            <w:t>第十五章 规划实施</w:t>
          </w:r>
          <w:r>
            <w:tab/>
          </w:r>
          <w:r>
            <w:fldChar w:fldCharType="begin"/>
          </w:r>
          <w:r>
            <w:instrText xml:space="preserve"> PAGEREF _Toc221006515 \h </w:instrText>
          </w:r>
          <w:r>
            <w:fldChar w:fldCharType="separate"/>
          </w:r>
          <w:r>
            <w:t>88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"_Toc221006516" </w:instrText>
          </w:r>
          <w:r>
            <w:fldChar w:fldCharType="separate"/>
          </w:r>
          <w:r>
            <w:rPr>
              <w:rStyle w:val="36"/>
            </w:rPr>
            <w:t>第十六章 “通则式”村庄规划管理规定</w:t>
          </w:r>
          <w:r>
            <w:tab/>
          </w:r>
          <w:r>
            <w:fldChar w:fldCharType="begin"/>
          </w:r>
          <w:r>
            <w:instrText xml:space="preserve"> PAGEREF _Toc221006516 \h </w:instrText>
          </w:r>
          <w:r>
            <w:fldChar w:fldCharType="separate"/>
          </w:r>
          <w:r>
            <w:t>91</w:t>
          </w:r>
          <w:r>
            <w:fldChar w:fldCharType="end"/>
          </w:r>
          <w:r>
            <w:fldChar w:fldCharType="end"/>
          </w:r>
        </w:p>
        <w:p>
          <w:pPr>
            <w:spacing w:before="65" w:after="163"/>
            <w:ind w:firstLine="0" w:firstLineChars="0"/>
          </w:pPr>
          <w:r>
            <w:rPr>
              <w:rFonts w:ascii="楷体_GB2312" w:hAnsi="Times New Roman" w:eastAsia="楷体" w:cs="楷体_GB2312"/>
              <w:b/>
              <w:kern w:val="0"/>
              <w:sz w:val="36"/>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85608273"/>
      <w:bookmarkStart w:id="2" w:name="_Toc127432230"/>
      <w:bookmarkStart w:id="3" w:name="_Toc129339489"/>
    </w:p>
    <w:p>
      <w:pPr>
        <w:pStyle w:val="2"/>
        <w:spacing w:before="489" w:beforeLines="150" w:after="489" w:afterLines="150"/>
      </w:pPr>
      <w:bookmarkStart w:id="4" w:name="_Toc221006501"/>
      <w:r>
        <w:rPr>
          <w:rFonts w:hint="eastAsia"/>
        </w:rPr>
        <w:t>规划总则</w:t>
      </w:r>
      <w:bookmarkEnd w:id="1"/>
      <w:bookmarkEnd w:id="4"/>
    </w:p>
    <w:p>
      <w:pPr>
        <w:pStyle w:val="4"/>
        <w:spacing w:before="195" w:beforeLines="60" w:after="195" w:afterLines="60" w:line="240" w:lineRule="auto"/>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w:t>
      </w:r>
      <w:r>
        <w:rPr>
          <w:rFonts w:hint="eastAsia"/>
        </w:rPr>
        <w:t>板场乡</w:t>
      </w:r>
      <w:r>
        <w:t>国土空间开发保护的总体安排和综合部署，统筹</w:t>
      </w:r>
      <w:r>
        <w:rPr>
          <w:rFonts w:hint="eastAsia"/>
        </w:rPr>
        <w:t>板场乡</w:t>
      </w:r>
      <w:r>
        <w:t>的农业、生态、城镇空间，全面提升</w:t>
      </w:r>
      <w:r>
        <w:rPr>
          <w:rFonts w:hint="eastAsia"/>
        </w:rPr>
        <w:t>板场乡</w:t>
      </w:r>
      <w:r>
        <w:t>国土空间治理体系和治理能力现代化水平，特编制《内乡县</w:t>
      </w:r>
      <w:r>
        <w:rPr>
          <w:rFonts w:hint="eastAsia"/>
        </w:rPr>
        <w:t>板场乡</w:t>
      </w:r>
      <w:r>
        <w:t>国土空间总体规划（2021-2035年）》（以下简称本规划）</w:t>
      </w:r>
      <w:r>
        <w:rPr>
          <w:rFonts w:hint="eastAsia"/>
        </w:rPr>
        <w:t>。</w:t>
      </w:r>
    </w:p>
    <w:p>
      <w:pPr>
        <w:pStyle w:val="4"/>
        <w:spacing w:before="195" w:after="195"/>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板场乡经济社会发展更高质量、更有效率、更加公平、更可持续。</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beforeLines="60" w:after="195" w:afterLines="60" w:line="240" w:lineRule="auto"/>
      </w:pPr>
      <w:r>
        <w:rPr>
          <w:rFonts w:hint="eastAsia"/>
        </w:rPr>
        <w:t>规划范围</w:t>
      </w:r>
    </w:p>
    <w:p>
      <w:pPr>
        <w:spacing w:before="65"/>
        <w:ind w:firstLine="640"/>
      </w:pPr>
      <w:r>
        <w:rPr>
          <w:rFonts w:hint="eastAsia"/>
        </w:rPr>
        <w:t>规划范围为板场乡行政辖区内全部国土空间，包含乡镇和集镇区两个层次。其中：</w:t>
      </w:r>
    </w:p>
    <w:p>
      <w:pPr>
        <w:spacing w:before="65"/>
        <w:ind w:firstLine="640"/>
      </w:pPr>
      <w:r>
        <w:rPr>
          <w:rFonts w:hint="eastAsia"/>
        </w:rPr>
        <w:t>乡镇范围为板场乡行政辖区内全部国土空间，总面积</w:t>
      </w:r>
      <w:r>
        <w:t>155.94</w:t>
      </w:r>
      <w:r>
        <w:rPr>
          <w:rFonts w:hint="eastAsia"/>
        </w:rPr>
        <w:t>平方公里。</w:t>
      </w:r>
    </w:p>
    <w:p>
      <w:pPr>
        <w:spacing w:before="65"/>
        <w:ind w:firstLine="640"/>
      </w:pPr>
      <w:r>
        <w:rPr>
          <w:rFonts w:hint="eastAsia"/>
        </w:rPr>
        <w:t>集镇区范围为</w:t>
      </w:r>
      <w:r>
        <w:rPr>
          <w:rFonts w:hint="eastAsia"/>
          <w:lang w:bidi="ar"/>
        </w:rPr>
        <w:t>板场乡政府所在地周边，沿酿河（让河）南北两侧布局，总面积</w:t>
      </w:r>
      <w:r>
        <w:rPr>
          <w:lang w:bidi="ar"/>
        </w:rPr>
        <w:t>30.51</w:t>
      </w:r>
      <w:r>
        <w:rPr>
          <w:rFonts w:hint="eastAsia"/>
          <w:lang w:bidi="ar"/>
        </w:rPr>
        <w:t>公顷。</w:t>
      </w:r>
    </w:p>
    <w:p>
      <w:pPr>
        <w:pStyle w:val="4"/>
        <w:spacing w:before="195" w:beforeLines="60" w:after="195" w:afterLines="60" w:line="240" w:lineRule="auto"/>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beforeLines="60" w:after="195" w:afterLines="60" w:line="240" w:lineRule="auto"/>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ind w:firstLine="640"/>
      </w:pPr>
      <w:bookmarkStart w:id="5" w:name="_Toc185608274"/>
      <w:r>
        <w:br w:type="page"/>
      </w:r>
    </w:p>
    <w:p>
      <w:pPr>
        <w:ind w:firstLine="640"/>
      </w:pPr>
    </w:p>
    <w:p>
      <w:pPr>
        <w:pStyle w:val="2"/>
        <w:spacing w:before="489" w:beforeLines="150" w:after="489" w:afterLines="150"/>
      </w:pPr>
      <w:bookmarkStart w:id="6" w:name="_Toc221006502"/>
      <w:r>
        <w:rPr>
          <w:rFonts w:hint="eastAsia"/>
        </w:rPr>
        <w:t>现状分析</w:t>
      </w:r>
      <w:bookmarkEnd w:id="5"/>
      <w:bookmarkEnd w:id="6"/>
    </w:p>
    <w:p>
      <w:pPr>
        <w:pStyle w:val="3"/>
      </w:pPr>
      <w:bookmarkStart w:id="7" w:name="_Toc185608275"/>
      <w:r>
        <w:rPr>
          <w:rFonts w:hint="eastAsia"/>
        </w:rPr>
        <w:t>自然地理格局和资源禀赋</w:t>
      </w:r>
      <w:bookmarkEnd w:id="7"/>
    </w:p>
    <w:p>
      <w:pPr>
        <w:pStyle w:val="4"/>
        <w:spacing w:before="195" w:beforeLines="60" w:after="195" w:afterLines="60" w:line="240" w:lineRule="auto"/>
      </w:pPr>
      <w:bookmarkStart w:id="8" w:name="_Hlk150173612"/>
      <w:r>
        <w:rPr>
          <w:rFonts w:hint="eastAsia"/>
        </w:rPr>
        <w:t>自然地理格局</w:t>
      </w:r>
    </w:p>
    <w:bookmarkEnd w:id="8"/>
    <w:p>
      <w:pPr>
        <w:spacing w:before="65"/>
        <w:ind w:firstLine="640"/>
      </w:pPr>
      <w:r>
        <w:rPr>
          <w:rFonts w:hint="eastAsia"/>
        </w:rPr>
        <w:t>板场乡地处深山区，地形呈西北高、东南低走向。板场乡域内地表水属湍河流域，主要河道有鱼道河、雁岭河、酿河（让河）</w:t>
      </w:r>
      <w:r>
        <w:t>3条河流，鱼道河水资源较为丰富，发源于黄花曼，自西北向东南，流经板场、冯庄、双庙等村，境内长23.5千米，沿途有桩沟河、东让河、后河、黄靳河等小河汇入；雁岭河为时令河，发源于西蔓，境内长约20千米，鱼道、雁岭两条河水于前庄村二河口处交汇，流经夏馆镇注入湍河；让河发源于板场乡让河行政村龙王庙自然村，流经让河口行政村，至陈庄自然村注入鱼道河。</w:t>
      </w:r>
    </w:p>
    <w:p>
      <w:pPr>
        <w:spacing w:before="65"/>
        <w:ind w:firstLine="640"/>
      </w:pPr>
      <w:r>
        <w:rPr>
          <w:rFonts w:hint="eastAsia"/>
        </w:rPr>
        <w:t>板场乡处于亚热带北部边缘，属大陆性季风气候，气候温和，降雨适中，季节变化明显，其特点是冬长较冷雨量小，夏季炎热雨集中，春暖多干旱，秋凉阴雨，多年平均气温为</w:t>
      </w:r>
      <w:r>
        <w:t>14.1℃，1月最低，极端最低气温-13.1℃；7月最高，极端最高气温41℃，初霜期平均在10月25日左右，终霜期平均在3月16—25日，无霜期年平均为206天，无霜期最长258天，出现在1956年；最短是196天，出现在1972年，全年光照约在1870小时，年均光照率为43.4%，年平均降水量768毫米。</w:t>
      </w:r>
    </w:p>
    <w:p>
      <w:pPr>
        <w:pStyle w:val="4"/>
        <w:spacing w:before="195" w:beforeLines="60" w:after="195" w:afterLines="60" w:line="240" w:lineRule="auto"/>
      </w:pPr>
      <w:bookmarkStart w:id="9" w:name="_Hlk150173613"/>
      <w:r>
        <w:rPr>
          <w:rFonts w:hint="eastAsia"/>
        </w:rPr>
        <w:t>自然资源禀赋</w:t>
      </w:r>
    </w:p>
    <w:bookmarkEnd w:id="9"/>
    <w:p>
      <w:pPr>
        <w:spacing w:before="65"/>
        <w:ind w:firstLine="640"/>
      </w:pPr>
      <w:r>
        <w:rPr>
          <w:rFonts w:hint="eastAsia"/>
        </w:rPr>
        <w:t>板场乡地处深山区，境内层恋叠嶂，群山巍峨，海拔千米以上的山峰有松垛、王峰垛、挂剑垛等；有著名的二龙山风景区，有天然溶洞天仙洞；三条主要河流鱼道河、雁岭河、让河贯穿全境；板场乡为全县森林覆盖率较高的乡镇之一，境内林海茫茫；山水林田资源丰富，乡域内生态环境良好，为种植业、林果业、提供了优良的条件，为发展高品质、生态化的农产品奠定了坚实的基础。</w:t>
      </w:r>
    </w:p>
    <w:p>
      <w:pPr>
        <w:pStyle w:val="4"/>
        <w:spacing w:before="195" w:beforeLines="60" w:after="195" w:afterLines="60" w:line="240" w:lineRule="auto"/>
      </w:pPr>
      <w:bookmarkStart w:id="10" w:name="_Hlk150173614"/>
      <w:r>
        <w:rPr>
          <w:rFonts w:hint="eastAsia"/>
        </w:rPr>
        <w:t>国土空间用地现状</w:t>
      </w:r>
      <w:bookmarkEnd w:id="10"/>
    </w:p>
    <w:p>
      <w:pPr>
        <w:spacing w:before="65"/>
        <w:ind w:firstLine="640"/>
      </w:pPr>
      <w:r>
        <w:rPr>
          <w:rFonts w:hint="eastAsia"/>
        </w:rPr>
        <w:t>根据</w:t>
      </w:r>
      <w:r>
        <w:t>2020年国土变更调查数据，板场乡</w:t>
      </w:r>
      <w:r>
        <w:rPr>
          <w:rFonts w:hint="eastAsia"/>
        </w:rPr>
        <w:t>乡镇土地总面积为</w:t>
      </w:r>
      <w:r>
        <w:t>15594.22公顷，其中，耕地215.04公顷，占比1.38%，园地319.35公顷，占比2.05%，林地13732.79公顷，占比88.06 %，草地40.88公顷，占比0.26%，湿地1.66公顷，占比0.01%，农业设施建设用地101.77公顷，占比0.65%，村庄用地444.24公顷，占比2.85%，</w:t>
      </w:r>
      <w:r>
        <w:rPr>
          <w:rFonts w:hint="eastAsia"/>
        </w:rPr>
        <w:t>城镇用地0</w:t>
      </w:r>
      <w:r>
        <w:t>.65</w:t>
      </w:r>
      <w:r>
        <w:rPr>
          <w:rFonts w:hint="eastAsia"/>
        </w:rPr>
        <w:t>公顷，占比0</w:t>
      </w:r>
      <w:r>
        <w:t>.00%</w:t>
      </w:r>
      <w:r>
        <w:rPr>
          <w:rFonts w:hint="eastAsia"/>
        </w:rPr>
        <w:t>；</w:t>
      </w:r>
      <w:r>
        <w:t>区域基础设施用地70.19公顷，占比0.45%，其他建设用地376.50公顷，占比2.41%，陆地水域250.65公顷，占比1.61%，其他土地40.49公顷，占比0.26%。</w:t>
      </w:r>
    </w:p>
    <w:p>
      <w:pPr>
        <w:pStyle w:val="3"/>
      </w:pPr>
      <w:bookmarkStart w:id="11" w:name="_Toc185608276"/>
      <w:r>
        <w:rPr>
          <w:rFonts w:hint="eastAsia"/>
        </w:rPr>
        <w:t>资源环境承载</w:t>
      </w:r>
      <w:r>
        <w:t>能</w:t>
      </w:r>
      <w:r>
        <w:rPr>
          <w:rFonts w:hint="eastAsia"/>
        </w:rPr>
        <w:t>力和国土空间开发适宜性评价</w:t>
      </w:r>
      <w:bookmarkEnd w:id="11"/>
    </w:p>
    <w:p>
      <w:pPr>
        <w:pStyle w:val="4"/>
        <w:spacing w:before="195" w:beforeLines="60" w:after="195" w:afterLines="60" w:line="240" w:lineRule="auto"/>
      </w:pPr>
      <w:r>
        <w:rPr>
          <w:rFonts w:hint="eastAsia"/>
        </w:rPr>
        <w:t>生态保护重要性评价</w:t>
      </w:r>
    </w:p>
    <w:p>
      <w:pPr>
        <w:spacing w:before="65"/>
        <w:ind w:firstLine="640"/>
      </w:pPr>
      <w:r>
        <w:rPr>
          <w:rFonts w:hint="eastAsia"/>
          <w:lang w:bidi="ar"/>
        </w:rPr>
        <w:t>全乡生态保护极重要、重要区占比较高，占乡域面积的</w:t>
      </w:r>
      <w:r>
        <w:rPr>
          <w:lang w:bidi="ar"/>
        </w:rPr>
        <w:t>92.48%。全乡生态保护极重要区面积为3850.55公顷，占全乡面积的24.69%；生态保护重要区面积为10570.35公顷，占全乡面积的67.78%。</w:t>
      </w:r>
    </w:p>
    <w:p>
      <w:pPr>
        <w:pStyle w:val="4"/>
        <w:spacing w:before="195" w:beforeLines="60" w:after="195" w:afterLines="60" w:line="240" w:lineRule="auto"/>
      </w:pPr>
      <w:r>
        <w:rPr>
          <w:rFonts w:hint="eastAsia"/>
        </w:rPr>
        <w:t>农业生产适宜性评价</w:t>
      </w:r>
    </w:p>
    <w:p>
      <w:pPr>
        <w:spacing w:before="65"/>
        <w:ind w:firstLine="640"/>
      </w:pPr>
      <w:r>
        <w:rPr>
          <w:rFonts w:hint="eastAsia"/>
          <w:lang w:bidi="ar"/>
        </w:rPr>
        <w:t>全乡农业生产适宜区占比相对较低，占乡域面积的</w:t>
      </w:r>
      <w:r>
        <w:rPr>
          <w:lang w:bidi="ar"/>
        </w:rPr>
        <w:t>2.63%，较全县的33.67%低出近31个百分点。全县农业生产（种植业）适宜区面积为409.59公顷。主要分布在乡域东南部区域；农业生产不适宜区，主要分布在乡域北部和西部山地丘陵地带</w:t>
      </w:r>
      <w:r>
        <w:rPr>
          <w:rFonts w:hint="eastAsia"/>
          <w:lang w:bidi="ar"/>
        </w:rPr>
        <w:t>。</w:t>
      </w:r>
    </w:p>
    <w:p>
      <w:pPr>
        <w:pStyle w:val="4"/>
        <w:spacing w:before="195" w:beforeLines="60" w:after="195" w:afterLines="60" w:line="240" w:lineRule="auto"/>
      </w:pPr>
      <w:r>
        <w:rPr>
          <w:rFonts w:hint="eastAsia"/>
        </w:rPr>
        <w:t>城镇建设适宜性评价</w:t>
      </w:r>
    </w:p>
    <w:p>
      <w:pPr>
        <w:spacing w:before="65"/>
        <w:ind w:firstLine="640"/>
      </w:pPr>
      <w:r>
        <w:rPr>
          <w:rFonts w:hint="eastAsia"/>
          <w:lang w:bidi="ar"/>
        </w:rPr>
        <w:t>全乡城镇建设适宜区面积为</w:t>
      </w:r>
      <w:r>
        <w:rPr>
          <w:lang w:bidi="ar"/>
        </w:rPr>
        <w:t>1827.24公顷，占全乡面积的11.72%。主要分布在平原地带，城镇建设不适宜区面积为9916.42，占全乡面积的63.59%，主要分布在北部山地丘陵地带</w:t>
      </w:r>
      <w:r>
        <w:rPr>
          <w:rFonts w:hint="eastAsia"/>
          <w:lang w:bidi="ar"/>
        </w:rPr>
        <w:t>。</w:t>
      </w:r>
    </w:p>
    <w:p>
      <w:pPr>
        <w:pStyle w:val="3"/>
      </w:pPr>
      <w:bookmarkStart w:id="12" w:name="_Toc185608277"/>
      <w:r>
        <w:rPr>
          <w:rFonts w:hint="eastAsia"/>
        </w:rPr>
        <w:t>发展现状与发展成效</w:t>
      </w:r>
      <w:bookmarkEnd w:id="12"/>
    </w:p>
    <w:p>
      <w:pPr>
        <w:pStyle w:val="4"/>
        <w:spacing w:before="195" w:beforeLines="60" w:after="195" w:afterLines="60" w:line="240" w:lineRule="auto"/>
      </w:pPr>
      <w:r>
        <w:rPr>
          <w:rFonts w:hint="eastAsia"/>
        </w:rPr>
        <w:t>发展现状与成效</w:t>
      </w:r>
    </w:p>
    <w:p>
      <w:pPr>
        <w:spacing w:before="65"/>
        <w:ind w:firstLine="640"/>
      </w:pPr>
      <w:r>
        <w:rPr>
          <w:rFonts w:hint="eastAsia"/>
        </w:rPr>
        <w:t>产业升级方面，在保护好青山绿水的同时，重点打造了“食用菌种植、高效经济林、石材开发、旅游开发、特色养殖、中草药种植”</w:t>
      </w:r>
      <w:r>
        <w:t>6张名片。2020年香菇种植量逆势增长100万袋，达到800多万袋，预计净收益2500万元。同时新建冷库3座、机械化制菌厂一家、30万袋标准化基地两处，大幅提高香菇生产规模化、标准化水平。经过多年培育引导，全乡石材企业达到一百余家，为巩固环保攻坚成果，我们持续推动石材产业升级，对科技附加值低、环保工艺落后的小型石材加工企业进行整改提升，注重引进科学、环保的新型石材企业，逐步改变我乡石材企业规模</w:t>
      </w:r>
      <w:r>
        <w:rPr>
          <w:rFonts w:hint="eastAsia"/>
        </w:rPr>
        <w:t>小、经营分散的状况，实现工业提档升级，吸收大批群众在家门口务工，月均工资在</w:t>
      </w:r>
      <w:r>
        <w:t>5000元左右，最高可达一万元以上。发展高效经济林7000余亩，基本形成了以黑李、薄壳核桃、大樱桃、晚秋黄梨为主的林果产业格局，全乡注册家庭农场56家，成立农民专业合作社60家。</w:t>
      </w:r>
    </w:p>
    <w:p>
      <w:pPr>
        <w:spacing w:before="65"/>
        <w:ind w:firstLine="640"/>
      </w:pPr>
      <w:r>
        <w:rPr>
          <w:rFonts w:hint="eastAsia"/>
        </w:rPr>
        <w:t>特色农业方面，提高食用菌产业规模，增加农民收入；林果种植形成以大樱桃、黑李、晚秋黄梨为主的林果产业格局。目前已注册登记以林果产业示范区为主题的家庭农场</w:t>
      </w:r>
      <w:r>
        <w:t>28家，其中板场昊森林果种植专业合作社建设大樱桃基地1000亩左右，200亩已初见效益。</w:t>
      </w:r>
    </w:p>
    <w:p>
      <w:pPr>
        <w:spacing w:before="65"/>
        <w:ind w:firstLine="640"/>
      </w:pPr>
      <w:r>
        <w:rPr>
          <w:rFonts w:hint="eastAsia"/>
        </w:rPr>
        <w:t>旅游发展方面，二龙山旅游隧道建设项目、二龙山旅游道路工程、中原二龙山风景区汉王寨度假养生区，投资五千余万元建设从夏管小栗坪到板场乡让河村贾凹的隧道，投资五千余万元建设从夏管小栗坪到板场乡让河村贾凹的旅游道路。</w:t>
      </w:r>
    </w:p>
    <w:p>
      <w:pPr>
        <w:pStyle w:val="3"/>
      </w:pPr>
      <w:bookmarkStart w:id="13" w:name="_Toc185608278"/>
      <w:r>
        <w:rPr>
          <w:rFonts w:hint="eastAsia"/>
        </w:rPr>
        <w:t>主要问题和风险挑战</w:t>
      </w:r>
      <w:bookmarkEnd w:id="13"/>
    </w:p>
    <w:p>
      <w:pPr>
        <w:pStyle w:val="4"/>
        <w:spacing w:before="195" w:beforeLines="60" w:after="195" w:afterLines="60" w:line="240" w:lineRule="auto"/>
      </w:pPr>
      <w:r>
        <w:rPr>
          <w:rFonts w:hint="eastAsia"/>
        </w:rPr>
        <w:t>主要问题</w:t>
      </w:r>
    </w:p>
    <w:p>
      <w:pPr>
        <w:spacing w:before="65"/>
        <w:ind w:firstLine="640"/>
      </w:pPr>
      <w:r>
        <w:rPr>
          <w:rFonts w:hint="eastAsia"/>
        </w:rPr>
        <w:t>乡域公共服务设施和基础设施建设有待加强。全乡公共服务设施配置尚可，但缺少养老、体育、公园绿地等。基础设施不够完善，排污、污水处理、农业基础设施等方面存在不足，基础设施建设有待进一步加强</w:t>
      </w:r>
      <w:r>
        <w:t>。</w:t>
      </w:r>
    </w:p>
    <w:p>
      <w:pPr>
        <w:spacing w:before="65"/>
        <w:ind w:firstLine="640"/>
        <w:rPr>
          <w:lang w:bidi="ar"/>
        </w:rPr>
      </w:pPr>
      <w:r>
        <w:rPr>
          <w:rFonts w:hint="eastAsia"/>
        </w:rPr>
        <w:t>建设用地集约利用水平不高。建设用地方面，</w:t>
      </w:r>
      <w:r>
        <w:t>2020年，乡镇人均城乡建设用地面积282.06平方米，高于全县的282.04平方米，高于南阳市252.95平方米的平均水平；从人均城乡建设用地的水平来看，利用相对粗放</w:t>
      </w:r>
      <w:r>
        <w:rPr>
          <w:rFonts w:hint="eastAsia"/>
          <w:lang w:bidi="ar"/>
        </w:rPr>
        <w:t>。</w:t>
      </w:r>
    </w:p>
    <w:p>
      <w:pPr>
        <w:pStyle w:val="4"/>
        <w:spacing w:before="195" w:beforeLines="60" w:after="195" w:afterLines="60" w:line="240" w:lineRule="auto"/>
      </w:pPr>
      <w:r>
        <w:rPr>
          <w:rFonts w:hint="eastAsia"/>
        </w:rPr>
        <w:t>风险挑战</w:t>
      </w:r>
    </w:p>
    <w:p>
      <w:pPr>
        <w:spacing w:before="65"/>
        <w:ind w:firstLine="640"/>
      </w:pPr>
      <w:r>
        <w:rPr>
          <w:rFonts w:hint="eastAsia"/>
        </w:rPr>
        <w:t>板场乡大部分区域位于地质灾害高风险区，且板场以矿产开采为主要产业，板场乡因矿产开采存在地面塌陷风险；这些对生产生活安全存在一定负面影响。</w:t>
      </w:r>
    </w:p>
    <w:p>
      <w:pPr>
        <w:spacing w:before="65"/>
        <w:ind w:firstLine="640"/>
        <w:rPr>
          <w:lang w:bidi="ar"/>
        </w:rPr>
      </w:pPr>
      <w:r>
        <w:rPr>
          <w:rFonts w:hint="eastAsia"/>
        </w:rPr>
        <w:t>板场乡产业发展方面开始转向旅游服务业，传统矿产开采与旅游发展存在一定矛盾。做好项目的衔接和系统谋划面临着一定的挑战</w:t>
      </w:r>
      <w:r>
        <w:rPr>
          <w:rFonts w:hint="eastAsia"/>
          <w:lang w:bidi="ar"/>
        </w:rPr>
        <w:t>。</w:t>
      </w:r>
    </w:p>
    <w:p>
      <w:pPr>
        <w:pStyle w:val="3"/>
      </w:pPr>
      <w:bookmarkStart w:id="14" w:name="_Toc185608279"/>
      <w:r>
        <w:rPr>
          <w:rFonts w:hint="eastAsia"/>
        </w:rPr>
        <w:t>区域重大战略、上位规划</w:t>
      </w:r>
      <w:bookmarkEnd w:id="14"/>
    </w:p>
    <w:p>
      <w:pPr>
        <w:pStyle w:val="4"/>
        <w:spacing w:before="195" w:beforeLines="60" w:after="195" w:afterLines="60" w:line="240" w:lineRule="auto"/>
      </w:pPr>
      <w:r>
        <w:rPr>
          <w:rFonts w:hint="eastAsia"/>
        </w:rPr>
        <w:t>区域重大战略</w:t>
      </w:r>
    </w:p>
    <w:p>
      <w:pPr>
        <w:ind w:firstLine="640"/>
      </w:pPr>
      <w:r>
        <w:rPr>
          <w:rFonts w:hint="eastAsia"/>
        </w:rPr>
        <w:t>1</w:t>
      </w:r>
      <w:r>
        <w:t>.</w:t>
      </w:r>
      <w:r>
        <w:rPr>
          <w:rFonts w:hint="eastAsia"/>
        </w:rPr>
        <w:t>主体功能区战略</w:t>
      </w:r>
    </w:p>
    <w:p>
      <w:pPr>
        <w:spacing w:before="65"/>
        <w:ind w:firstLine="640"/>
      </w:pPr>
      <w:r>
        <w:rPr>
          <w:rFonts w:hint="eastAsia"/>
        </w:rPr>
        <w:t>河南省国土空间规划中确定，内乡县为国家级重点生态功能区；南阳市国土空间总体规划中确定，板场乡是内乡县</w:t>
      </w:r>
      <w:r>
        <w:t>8个重点生态功能区之一。主体功能区是立足资源环境承载能力、经济社会发展水平、战略区位等综合比较优势，划定的具有某种特定主体功能、实施差别化管控的地域空间单元。重点生态功能区是以保障国家和区域生态安全、维护生态系统服务功能、推进山水林田湖草系统治理、保持并提高生态产品供给能力、引领生态文明建设、践行“两山”理念为主要功能的地域空间。</w:t>
      </w:r>
    </w:p>
    <w:p>
      <w:pPr>
        <w:spacing w:before="65"/>
        <w:ind w:firstLine="640"/>
      </w:pPr>
      <w:r>
        <w:rPr>
          <w:rFonts w:hint="eastAsia"/>
        </w:rPr>
        <w:t>在主体功能区战略中，板场乡的主要任务是推进山水林田湖草系统治理，提高生态产品供给能力。</w:t>
      </w:r>
    </w:p>
    <w:p>
      <w:pPr>
        <w:ind w:firstLine="640"/>
      </w:pPr>
      <w:r>
        <w:rPr>
          <w:rFonts w:hint="eastAsia"/>
        </w:rPr>
        <w:t>2</w:t>
      </w:r>
      <w:r>
        <w:t>.</w:t>
      </w:r>
      <w:r>
        <w:rPr>
          <w:rFonts w:hint="eastAsia"/>
        </w:rPr>
        <w:t>新型城镇化战略</w:t>
      </w:r>
    </w:p>
    <w:p>
      <w:pPr>
        <w:spacing w:before="65"/>
        <w:ind w:firstLine="640"/>
      </w:pPr>
      <w:r>
        <w:rPr>
          <w:rFonts w:hint="eastAsia"/>
        </w:rPr>
        <w:t>河南省新型城镇化战略提出构建大中小城市协调发展的城镇化新格局，加快县域经济高质量发展，推动农业转移人口全面融入城市，建设宜居韧性智慧现代化城市，促进城乡深度融合发展，推进城市治理体系和治理能力现代化。在促进城乡深度融合发展中提出充分发挥试验区带动效应，合理配置城乡发展要素，深入开展乡村建设行动，扎实推动城乡共同富裕。</w:t>
      </w:r>
    </w:p>
    <w:p>
      <w:pPr>
        <w:spacing w:before="65"/>
        <w:ind w:firstLine="640"/>
      </w:pPr>
      <w:r>
        <w:rPr>
          <w:rFonts w:hint="eastAsia"/>
        </w:rPr>
        <w:t>在新型城镇化战略中，板场乡的主要任务是深入开展乡村建设行动，扎实推动城乡共同富裕。</w:t>
      </w:r>
    </w:p>
    <w:p>
      <w:pPr>
        <w:ind w:firstLine="640"/>
      </w:pPr>
      <w:r>
        <w:rPr>
          <w:rFonts w:hint="eastAsia"/>
        </w:rPr>
        <w:t>3</w:t>
      </w:r>
      <w:r>
        <w:t>.乡村振兴战略</w:t>
      </w:r>
    </w:p>
    <w:p>
      <w:pPr>
        <w:spacing w:before="65"/>
        <w:ind w:firstLine="640"/>
      </w:pPr>
      <w:r>
        <w:rPr>
          <w:rFonts w:hint="eastAsia"/>
        </w:rPr>
        <w:t>河南省“十四五”乡村振兴和农业农村现代化规划提出，提升粮食等重要农产品核心竞争力，推进农业供给侧结构性改革，构建乡村产业体系，推进创新驱动发展，推进农业农村绿色发展，巩固拓展脱贫攻坚成果同乡村振兴有效衔接，实施乡村建设行动，夯实乡村治理根基，推进城乡融合发展。</w:t>
      </w:r>
    </w:p>
    <w:p>
      <w:pPr>
        <w:spacing w:before="65"/>
        <w:ind w:firstLine="640"/>
      </w:pPr>
      <w:r>
        <w:rPr>
          <w:rFonts w:hint="eastAsia"/>
        </w:rPr>
        <w:t>在乡村振兴战略中，板场乡应强化特色农业培育，重点发展林果业、菌菇业，构建乡村产业体系，加强乡村建设建设行动，科学编制村庄规划，整治提升人居环境，建设美丽乡村。</w:t>
      </w:r>
    </w:p>
    <w:p>
      <w:pPr>
        <w:pStyle w:val="4"/>
        <w:spacing w:before="195" w:beforeLines="60" w:after="195" w:afterLines="60" w:line="240" w:lineRule="auto"/>
      </w:pPr>
      <w:r>
        <w:rPr>
          <w:rFonts w:hint="eastAsia"/>
        </w:rPr>
        <w:t>上位规划</w:t>
      </w:r>
    </w:p>
    <w:p>
      <w:pPr>
        <w:ind w:firstLine="640"/>
      </w:pPr>
      <w:r>
        <w:rPr>
          <w:rFonts w:hint="eastAsia"/>
        </w:rPr>
        <w:t>1</w:t>
      </w:r>
      <w:r>
        <w:t>.</w:t>
      </w:r>
      <w:r>
        <w:rPr>
          <w:rFonts w:hint="eastAsia"/>
        </w:rPr>
        <w:t>内乡县国民经济和社会发展第十四个五年规划和二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w:t>
      </w:r>
    </w:p>
    <w:p>
      <w:pPr>
        <w:spacing w:before="65"/>
        <w:ind w:firstLine="640"/>
      </w:pPr>
      <w:r>
        <w:rPr>
          <w:rFonts w:hint="eastAsia"/>
        </w:rPr>
        <w:t>（</w:t>
      </w:r>
      <w:r>
        <w:t>1）县级发展定位与2035年远景目标</w:t>
      </w:r>
    </w:p>
    <w:p>
      <w:pPr>
        <w:spacing w:before="65"/>
        <w:ind w:firstLine="640"/>
      </w:pPr>
      <w:r>
        <w:rPr>
          <w:rFonts w:hint="eastAsia"/>
        </w:rPr>
        <w:t>发展定位：“十四五”时期，全面开启内乡现代化建设新征程，推动经济社会高质量发展，必须坚持实施“两县一中心”的战略定位——全国现代猪产业第一县；县域治理“三起来”示范县；区域性物流中心。</w:t>
      </w:r>
    </w:p>
    <w:p>
      <w:pPr>
        <w:spacing w:before="65"/>
        <w:ind w:firstLine="640"/>
      </w:pPr>
      <w:r>
        <w:t>2035年远景目标：全国经济强县、全国乡村振兴先进县、全国县域社会治理现代化先进县。</w:t>
      </w:r>
    </w:p>
    <w:p>
      <w:pPr>
        <w:spacing w:before="65"/>
        <w:ind w:firstLine="640"/>
      </w:pPr>
      <w:r>
        <w:rPr>
          <w:rFonts w:hint="eastAsia"/>
        </w:rPr>
        <w:t>（</w:t>
      </w:r>
      <w:r>
        <w:t>2）对板场乡的发展指引</w:t>
      </w:r>
    </w:p>
    <w:p>
      <w:pPr>
        <w:spacing w:before="65"/>
        <w:ind w:firstLine="640"/>
      </w:pPr>
      <w:r>
        <w:rPr>
          <w:rFonts w:hint="eastAsia"/>
        </w:rPr>
        <w:t>发展优质食用菌：重点推进板场、夏馆、马山口</w:t>
      </w:r>
      <w:r>
        <w:t>3个食用菌生产基地建设，大力发展香菇产业，集中打造一批香菇专业乡镇、专业村，做大做强内乡香菇品牌。</w:t>
      </w:r>
    </w:p>
    <w:p>
      <w:pPr>
        <w:spacing w:before="65"/>
        <w:ind w:firstLine="640"/>
      </w:pPr>
      <w:r>
        <w:rPr>
          <w:rFonts w:hint="eastAsia"/>
        </w:rPr>
        <w:t>发展道地中药材：抓住内乡县被纳入全国</w:t>
      </w:r>
      <w:r>
        <w:t>88个“中药材物流基地县”之一的政策机遇，以河南福瑞滋科技有限公司为带动，以板场、夏馆、七里坪等乡镇为依托，持续发展金钗石斛、山茱萸、杜仲、金银花、玄参等特色中药材产业，推进山茱萸规模化标准化种植。</w:t>
      </w:r>
    </w:p>
    <w:p>
      <w:pPr>
        <w:spacing w:before="65"/>
        <w:ind w:firstLine="640"/>
      </w:pPr>
      <w:r>
        <w:rPr>
          <w:rFonts w:hint="eastAsia"/>
        </w:rPr>
        <w:t>积极培育特色乡镇：按照生产空间集聚、生活空间宜居、生态空间优美的要求，打造“宜居宜业宜游”的小城镇。板场乡依托境内二龙山风景区优势，积极发展生态旅游、生态农业。</w:t>
      </w:r>
    </w:p>
    <w:p>
      <w:pPr>
        <w:ind w:firstLine="640"/>
      </w:pPr>
      <w:r>
        <w:rPr>
          <w:rFonts w:hint="eastAsia"/>
        </w:rPr>
        <w:t>2</w:t>
      </w:r>
      <w:r>
        <w:t>.内乡县</w:t>
      </w:r>
      <w:r>
        <w:rPr>
          <w:rFonts w:hint="eastAsia"/>
        </w:rPr>
        <w:t>国土空间总体规划（2</w:t>
      </w:r>
      <w:r>
        <w:t>021-2035</w:t>
      </w:r>
      <w:r>
        <w:rPr>
          <w:rFonts w:hint="eastAsia"/>
        </w:rPr>
        <w:t>年）</w:t>
      </w:r>
    </w:p>
    <w:p>
      <w:pPr>
        <w:spacing w:before="65"/>
        <w:ind w:firstLine="640"/>
      </w:pPr>
      <w:r>
        <w:rPr>
          <w:rFonts w:hint="eastAsia"/>
        </w:rPr>
        <w:t>（</w:t>
      </w:r>
      <w:r>
        <w:t>1）县级发展定位与城市性质</w:t>
      </w:r>
    </w:p>
    <w:p>
      <w:pPr>
        <w:spacing w:before="65"/>
        <w:ind w:firstLine="640"/>
      </w:pPr>
      <w:r>
        <w:rPr>
          <w:rFonts w:hint="eastAsia"/>
        </w:rPr>
        <w:t>发展定位：华夏生猪产业第一县、农牧装备之都、工业强县、农牧大县和文旅名县</w:t>
      </w:r>
    </w:p>
    <w:p>
      <w:pPr>
        <w:spacing w:before="65"/>
        <w:ind w:firstLine="640"/>
      </w:pPr>
      <w:r>
        <w:rPr>
          <w:rFonts w:hint="eastAsia"/>
        </w:rPr>
        <w:t>城市性质：豫陕鄂省际重要的交通枢纽、物流基地，装备制造、农牧和特色农产品加工基地；国家衙署文化（廉政文化、官德文化）标识地，宜居宜业宜游的现代化城市。</w:t>
      </w:r>
    </w:p>
    <w:p>
      <w:pPr>
        <w:spacing w:before="65"/>
        <w:ind w:firstLine="640"/>
      </w:pPr>
      <w:r>
        <w:rPr>
          <w:rFonts w:hint="eastAsia"/>
        </w:rPr>
        <w:t>（</w:t>
      </w:r>
      <w:r>
        <w:t>2）对板场乡的指引</w:t>
      </w:r>
    </w:p>
    <w:p>
      <w:pPr>
        <w:spacing w:before="65"/>
        <w:ind w:firstLine="640"/>
        <w:rPr>
          <w:b/>
          <w:bCs/>
        </w:rPr>
      </w:pPr>
      <w:r>
        <w:rPr>
          <w:rFonts w:hint="eastAsia"/>
        </w:rPr>
        <w:t>在内乡县国土空间总体规划（</w:t>
      </w:r>
      <w:r>
        <w:t>2021-2035年）中，板场乡为一般乡，城镇职能结构为综合型城镇，职能分工为重点发展建材生产、旅游观光、农副产品加工等产业。耕地保有量为0.32万亩，</w:t>
      </w:r>
      <w:bookmarkStart w:id="15" w:name="_Hlk200470472"/>
      <w:r>
        <w:t>永久基本农田为0.27万亩，</w:t>
      </w:r>
      <w:r>
        <w:rPr>
          <w:rFonts w:hint="eastAsia"/>
        </w:rPr>
        <w:t>城镇开发边界1</w:t>
      </w:r>
      <w:r>
        <w:t>9.06</w:t>
      </w:r>
      <w:r>
        <w:rPr>
          <w:rFonts w:hint="eastAsia"/>
        </w:rPr>
        <w:t>公顷，</w:t>
      </w:r>
      <w:r>
        <w:t>不涉及生态保护红线</w:t>
      </w:r>
      <w:bookmarkEnd w:id="15"/>
      <w:r>
        <w:t>。</w:t>
      </w:r>
      <w:r>
        <w:rPr>
          <w:b/>
          <w:bCs/>
        </w:rPr>
        <w:br w:type="page"/>
      </w:r>
    </w:p>
    <w:p>
      <w:pPr>
        <w:spacing w:before="65"/>
        <w:ind w:firstLine="643"/>
        <w:rPr>
          <w:b/>
          <w:bCs/>
        </w:rPr>
      </w:pPr>
    </w:p>
    <w:p>
      <w:pPr>
        <w:pStyle w:val="2"/>
        <w:spacing w:before="489" w:beforeLines="150" w:after="489" w:afterLines="150"/>
      </w:pPr>
      <w:bookmarkStart w:id="16" w:name="_Toc185608280"/>
      <w:bookmarkStart w:id="17" w:name="_Toc221006503"/>
      <w:r>
        <w:rPr>
          <w:rFonts w:hint="eastAsia"/>
        </w:rPr>
        <w:t>发展定位与目标</w:t>
      </w:r>
      <w:bookmarkEnd w:id="16"/>
      <w:bookmarkEnd w:id="17"/>
    </w:p>
    <w:p>
      <w:pPr>
        <w:pStyle w:val="3"/>
      </w:pPr>
      <w:bookmarkStart w:id="18" w:name="_Toc185608281"/>
      <w:r>
        <w:rPr>
          <w:rFonts w:hint="eastAsia"/>
        </w:rPr>
        <w:t>发展定位</w:t>
      </w:r>
      <w:bookmarkEnd w:id="18"/>
    </w:p>
    <w:p>
      <w:pPr>
        <w:pStyle w:val="4"/>
        <w:spacing w:before="195" w:beforeLines="60" w:after="195" w:afterLines="60" w:line="240" w:lineRule="auto"/>
      </w:pPr>
      <w:r>
        <w:rPr>
          <w:rFonts w:hint="eastAsia"/>
        </w:rPr>
        <w:t>落实乡镇主体功能</w:t>
      </w:r>
    </w:p>
    <w:p>
      <w:pPr>
        <w:spacing w:before="65"/>
        <w:ind w:firstLine="640"/>
        <w:rPr>
          <w:u w:val="single"/>
        </w:rPr>
      </w:pPr>
      <w:r>
        <w:rPr>
          <w:rFonts w:hint="eastAsia"/>
          <w:u w:val="single"/>
          <w:lang w:bidi="ar"/>
        </w:rPr>
        <w:t>板场乡为重点生态功能区、能源资源富集区</w:t>
      </w:r>
      <w:r>
        <w:rPr>
          <w:rFonts w:hint="eastAsia"/>
          <w:u w:val="single"/>
        </w:rPr>
        <w:t>。</w:t>
      </w:r>
    </w:p>
    <w:p>
      <w:pPr>
        <w:pStyle w:val="4"/>
        <w:spacing w:before="195" w:beforeLines="60" w:after="195" w:afterLines="60" w:line="240" w:lineRule="auto"/>
      </w:pPr>
      <w:r>
        <w:rPr>
          <w:rFonts w:hint="eastAsia"/>
        </w:rPr>
        <w:t>发展定位</w:t>
      </w:r>
    </w:p>
    <w:p>
      <w:pPr>
        <w:spacing w:before="65"/>
        <w:ind w:firstLine="640"/>
      </w:pPr>
      <w:r>
        <w:rPr>
          <w:rFonts w:hint="eastAsia"/>
        </w:rPr>
        <w:t>生态农旅与矿产资源型乡镇，以生态旅游、生态林果、石材开采加工为主要发展方向的生态农旅与矿产资源型乡镇。</w:t>
      </w:r>
    </w:p>
    <w:p>
      <w:pPr>
        <w:pStyle w:val="3"/>
      </w:pPr>
      <w:bookmarkStart w:id="19" w:name="_Toc185608282"/>
      <w:r>
        <w:rPr>
          <w:rFonts w:hint="eastAsia"/>
        </w:rPr>
        <w:t>发展目标</w:t>
      </w:r>
      <w:bookmarkEnd w:id="19"/>
    </w:p>
    <w:p>
      <w:pPr>
        <w:pStyle w:val="4"/>
        <w:spacing w:before="195" w:beforeLines="60" w:after="195" w:afterLines="60" w:line="240" w:lineRule="auto"/>
      </w:pPr>
      <w:r>
        <w:rPr>
          <w:rFonts w:hint="eastAsia"/>
        </w:rPr>
        <w:t>发展目标</w:t>
      </w:r>
    </w:p>
    <w:p>
      <w:pPr>
        <w:ind w:firstLine="640"/>
      </w:pPr>
      <w:r>
        <w:t>1.2025</w:t>
      </w:r>
      <w:r>
        <w:rPr>
          <w:rFonts w:hint="eastAsia"/>
        </w:rPr>
        <w:t>年发展目标</w:t>
      </w:r>
    </w:p>
    <w:p>
      <w:pPr>
        <w:ind w:firstLine="640"/>
      </w:pPr>
      <w:bookmarkStart w:id="20" w:name="_Hlk143791640"/>
      <w:r>
        <w:rPr>
          <w:rFonts w:hint="eastAsia"/>
        </w:rPr>
        <w:t>开展现代化建设，优化国土空间，完善基础设施，整合旅游、石材资源，培育石农旅融合发展机制，打造生态农旅产业基地。</w:t>
      </w:r>
      <w:bookmarkEnd w:id="20"/>
    </w:p>
    <w:p>
      <w:pPr>
        <w:ind w:firstLine="640"/>
      </w:pPr>
      <w:r>
        <w:t>2.</w:t>
      </w:r>
      <w:r>
        <w:rPr>
          <w:rFonts w:hint="eastAsia"/>
        </w:rPr>
        <w:t>2035年发展目标</w:t>
      </w:r>
    </w:p>
    <w:p>
      <w:pPr>
        <w:spacing w:before="65"/>
        <w:ind w:firstLine="640"/>
      </w:pPr>
      <w:r>
        <w:rPr>
          <w:rFonts w:hint="eastAsia"/>
        </w:rPr>
        <w:t>以伏牛山生态保护与发展为指引，保障伏牛山生态安全，优化国土空间与产业布局，整合生态旅游、林果种植、石材开采加工等产业，建设“石材名乡、林旅强乡”。</w:t>
      </w:r>
    </w:p>
    <w:p>
      <w:pPr>
        <w:pStyle w:val="3"/>
      </w:pPr>
      <w:bookmarkStart w:id="21" w:name="_Toc185608283"/>
      <w:r>
        <w:rPr>
          <w:rFonts w:hint="eastAsia"/>
        </w:rPr>
        <w:t>规划指标体系</w:t>
      </w:r>
      <w:bookmarkEnd w:id="21"/>
    </w:p>
    <w:p>
      <w:pPr>
        <w:pStyle w:val="4"/>
        <w:spacing w:before="195" w:beforeLines="60" w:after="195" w:afterLines="60" w:line="240" w:lineRule="auto"/>
      </w:pPr>
      <w:r>
        <w:rPr>
          <w:rFonts w:hint="eastAsia"/>
        </w:rPr>
        <w:t>规划指标体系</w:t>
      </w:r>
    </w:p>
    <w:p>
      <w:pPr>
        <w:spacing w:before="65"/>
        <w:ind w:firstLine="640"/>
      </w:pPr>
      <w:bookmarkStart w:id="22" w:name="_Hlk152769328"/>
      <w:r>
        <w:rPr>
          <w:rFonts w:hint="eastAsia"/>
        </w:rPr>
        <w:t>乡镇国土空间规划指标体系涉及空间底线、空间结构与效率以及空间品质，共三大类</w:t>
      </w:r>
      <w:r>
        <w:t>17</w:t>
      </w:r>
      <w:r>
        <w:rPr>
          <w:rFonts w:hint="eastAsia"/>
        </w:rPr>
        <w:t>项，其中约束性指标</w:t>
      </w:r>
      <w:r>
        <w:t>7</w:t>
      </w:r>
      <w:r>
        <w:rPr>
          <w:rFonts w:hint="eastAsia"/>
        </w:rPr>
        <w:t>项，预期性指标</w:t>
      </w:r>
      <w:r>
        <w:t>12</w:t>
      </w:r>
      <w:r>
        <w:rPr>
          <w:rFonts w:hint="eastAsia"/>
        </w:rPr>
        <w:t>项。指标体系基于2</w:t>
      </w:r>
      <w:r>
        <w:t>020</w:t>
      </w:r>
      <w:r>
        <w:rPr>
          <w:rFonts w:hint="eastAsia"/>
        </w:rPr>
        <w:t>年为基期值，提出2</w:t>
      </w:r>
      <w:r>
        <w:t>025</w:t>
      </w:r>
      <w:r>
        <w:rPr>
          <w:rFonts w:hint="eastAsia"/>
        </w:rPr>
        <w:t>年和2</w:t>
      </w:r>
      <w:r>
        <w:t>035</w:t>
      </w:r>
      <w:r>
        <w:rPr>
          <w:rFonts w:hint="eastAsia"/>
        </w:rPr>
        <w:t>年目标值</w:t>
      </w:r>
      <w:r>
        <w:t>。</w:t>
      </w:r>
      <w:r>
        <w:rPr>
          <w:rFonts w:hint="eastAsia"/>
        </w:rPr>
        <w:t>详见附表</w:t>
      </w:r>
      <w:r>
        <w:t>1</w:t>
      </w:r>
      <w:r>
        <w:rPr>
          <w:rFonts w:hint="eastAsia"/>
        </w:rPr>
        <w:t>。</w:t>
      </w:r>
    </w:p>
    <w:p>
      <w:pPr>
        <w:pStyle w:val="4"/>
        <w:spacing w:before="195" w:beforeLines="60" w:after="195" w:afterLines="60" w:line="240" w:lineRule="auto"/>
        <w:ind w:left="0"/>
      </w:pPr>
      <w:r>
        <w:rPr>
          <w:rFonts w:hint="eastAsia"/>
        </w:rPr>
        <w:t>国土空间开发保护策略</w:t>
      </w:r>
    </w:p>
    <w:p>
      <w:pPr>
        <w:spacing w:before="65"/>
        <w:ind w:firstLine="640"/>
      </w:pPr>
      <w:r>
        <w:rPr>
          <w:rFonts w:hint="eastAsia"/>
        </w:rPr>
        <w:t>落实底线约束，</w:t>
      </w:r>
      <w:bookmarkStart w:id="23" w:name="_Hlk200529556"/>
      <w:r>
        <w:rPr>
          <w:rFonts w:hint="eastAsia"/>
        </w:rPr>
        <w:t>确定空间格局</w:t>
      </w:r>
      <w:bookmarkEnd w:id="23"/>
      <w:r>
        <w:rPr>
          <w:rFonts w:hint="eastAsia"/>
        </w:rPr>
        <w:t>。落实最严格的耕地保护制度、生态保护制度和节约用地制度。科学避让地质灾害风险，构建安全韧性国土空间，维护粮食安全、生态安全。</w:t>
      </w:r>
    </w:p>
    <w:p>
      <w:pPr>
        <w:spacing w:before="65"/>
        <w:ind w:firstLine="640"/>
      </w:pPr>
      <w:r>
        <w:rPr>
          <w:rFonts w:hint="eastAsia"/>
        </w:rPr>
        <w:t>加强生态修复，对林地植被、废弃矿山、水生态等进行修复保护。预留建设用地机动指标优先保障难以确定选址的农村一二三产业融合等农村产业项目用地需求，在充分尊重农民意愿的前提下，盘活农村存量建设用地，腾挪空间用于支持农村产业融合发展和乡村振兴。对符合规划的存量集体建设用地积极探索农村集体经营性建设用地入市。</w:t>
      </w:r>
    </w:p>
    <w:p>
      <w:pPr>
        <w:spacing w:before="65"/>
        <w:ind w:firstLine="640"/>
      </w:pPr>
      <w:r>
        <w:rPr>
          <w:rFonts w:hint="eastAsia"/>
        </w:rPr>
        <w:t>产业融合发展，夯实全镇发展动能。大力发展富农产业，在传统板材产业的基础上，适度提升农文旅融合发展。发挥主导产业优势，提升产业集聚效应，实现扩容升级。</w:t>
      </w:r>
    </w:p>
    <w:p>
      <w:pPr>
        <w:spacing w:before="65"/>
        <w:ind w:firstLine="640"/>
      </w:pPr>
      <w:r>
        <w:rPr>
          <w:rFonts w:hint="eastAsia"/>
        </w:rPr>
        <w:t>完善设施配套，打造宜居板场。完善基础服务设施，助力乡村振兴。公服均等，设施共享</w:t>
      </w:r>
      <w:r>
        <w:t>，共建城乡生活圈。保</w:t>
      </w:r>
      <w:r>
        <w:rPr>
          <w:rFonts w:hint="eastAsia"/>
        </w:rPr>
        <w:t>护乡土氛围，对人居环境进行提质改造，风貌品质提升。</w:t>
      </w:r>
      <w:bookmarkEnd w:id="22"/>
      <w:r>
        <w:br w:type="page"/>
      </w:r>
    </w:p>
    <w:p>
      <w:pPr>
        <w:spacing w:before="65"/>
        <w:ind w:firstLine="640"/>
      </w:pPr>
    </w:p>
    <w:p>
      <w:pPr>
        <w:pStyle w:val="2"/>
        <w:spacing w:before="489" w:beforeLines="150" w:after="489" w:afterLines="150"/>
      </w:pPr>
      <w:bookmarkStart w:id="24" w:name="_Toc221006504"/>
      <w:bookmarkStart w:id="25" w:name="_Hlk150329632"/>
      <w:r>
        <w:rPr>
          <w:rFonts w:hint="eastAsia"/>
        </w:rPr>
        <w:t>底线约束</w:t>
      </w:r>
      <w:bookmarkEnd w:id="24"/>
    </w:p>
    <w:bookmarkEnd w:id="25"/>
    <w:p>
      <w:pPr>
        <w:pStyle w:val="3"/>
      </w:pPr>
      <w:bookmarkStart w:id="26" w:name="_Toc185608286"/>
      <w:bookmarkStart w:id="27" w:name="_Hlk142658448"/>
      <w:r>
        <w:rPr>
          <w:rFonts w:hint="eastAsia"/>
        </w:rPr>
        <w:t>严格落实“三区三线”</w:t>
      </w:r>
      <w:bookmarkEnd w:id="26"/>
    </w:p>
    <w:bookmarkEnd w:id="27"/>
    <w:p>
      <w:pPr>
        <w:pStyle w:val="4"/>
        <w:spacing w:before="195" w:beforeLines="60" w:after="195" w:afterLines="60" w:line="240" w:lineRule="auto"/>
      </w:pPr>
      <w:r>
        <w:rPr>
          <w:rFonts w:hint="eastAsia"/>
        </w:rPr>
        <w:t>严格落实</w:t>
      </w:r>
      <w:r>
        <w:t>耕地和</w:t>
      </w:r>
      <w:r>
        <w:rPr>
          <w:rFonts w:hint="eastAsia"/>
        </w:rPr>
        <w:t>永久基本农田</w:t>
      </w:r>
    </w:p>
    <w:p>
      <w:pPr>
        <w:spacing w:before="65"/>
        <w:ind w:firstLine="640"/>
      </w:pPr>
      <w:bookmarkStart w:id="28" w:name="_Hlk220577023"/>
      <w:r>
        <w:rPr>
          <w:rFonts w:hint="eastAsia"/>
          <w:u w:val="single"/>
        </w:rPr>
        <w:t>根据内乡县级规划传导，板场乡下达耕地保护目标不低于</w:t>
      </w:r>
      <w:r>
        <w:rPr>
          <w:u w:val="single"/>
        </w:rPr>
        <w:t>214.10公顷，下达永久基本农田保护面积不低于183.11公顷。</w:t>
      </w:r>
      <w:r>
        <w:rPr>
          <w:rFonts w:hint="eastAsia"/>
          <w:u w:val="single"/>
        </w:rPr>
        <w:t>板场乡</w:t>
      </w:r>
      <w:r>
        <w:rPr>
          <w:u w:val="single"/>
        </w:rPr>
        <w:t>实际落实耕地保护面积不低于214.10公顷，</w:t>
      </w:r>
      <w:r>
        <w:t>根据永久基本农田核实处置成果，实际落实永久基本农田面积190.11公顷。</w:t>
      </w:r>
    </w:p>
    <w:bookmarkEnd w:id="28"/>
    <w:p>
      <w:pPr>
        <w:pStyle w:val="4"/>
        <w:spacing w:before="195" w:after="195"/>
      </w:pPr>
      <w:r>
        <w:rPr>
          <w:rFonts w:hint="eastAsia"/>
        </w:rPr>
        <w:t>严格落实生态保护红线</w:t>
      </w:r>
    </w:p>
    <w:p>
      <w:pPr>
        <w:spacing w:before="65" w:after="120"/>
        <w:ind w:firstLine="640"/>
      </w:pPr>
      <w:bookmarkStart w:id="29" w:name="_Hlk150442329"/>
      <w:r>
        <w:rPr>
          <w:rFonts w:hint="eastAsia"/>
        </w:rPr>
        <w:t>根据上位规划传导，全乡无生态保护红线</w:t>
      </w:r>
      <w:r>
        <w:t>。</w:t>
      </w:r>
    </w:p>
    <w:bookmarkEnd w:id="29"/>
    <w:p>
      <w:pPr>
        <w:pStyle w:val="4"/>
        <w:spacing w:before="195" w:beforeLines="60" w:after="195" w:afterLines="60" w:line="240" w:lineRule="auto"/>
      </w:pPr>
      <w:r>
        <w:rPr>
          <w:rFonts w:hint="eastAsia"/>
        </w:rPr>
        <w:t>严格落实城镇开发边界</w:t>
      </w:r>
    </w:p>
    <w:p>
      <w:pPr>
        <w:spacing w:before="65" w:after="156"/>
        <w:ind w:firstLine="640"/>
      </w:pPr>
      <w:r>
        <w:rPr>
          <w:rFonts w:hint="eastAsia"/>
          <w:u w:val="single"/>
        </w:rPr>
        <w:t>根据上位规划，板场乡落实城镇开发边界</w:t>
      </w:r>
      <w:r>
        <w:rPr>
          <w:u w:val="single"/>
        </w:rPr>
        <w:t>19.06公顷。</w:t>
      </w:r>
    </w:p>
    <w:p>
      <w:pPr>
        <w:pStyle w:val="3"/>
      </w:pPr>
      <w:bookmarkStart w:id="30" w:name="_Toc185608287"/>
      <w:bookmarkStart w:id="31" w:name="_Hlk142575005"/>
      <w:r>
        <w:rPr>
          <w:rFonts w:hint="eastAsia"/>
        </w:rPr>
        <w:t>核准落实其他控制线</w:t>
      </w:r>
      <w:bookmarkEnd w:id="30"/>
    </w:p>
    <w:p>
      <w:pPr>
        <w:pStyle w:val="4"/>
        <w:spacing w:before="195" w:beforeLines="60" w:after="195" w:afterLines="60" w:line="240" w:lineRule="auto"/>
      </w:pPr>
      <w:r>
        <w:rPr>
          <w:rFonts w:hint="eastAsia"/>
        </w:rPr>
        <w:t>历史文化保护线</w:t>
      </w:r>
    </w:p>
    <w:p>
      <w:pPr>
        <w:spacing w:before="65" w:after="156"/>
        <w:ind w:firstLine="640"/>
      </w:pPr>
      <w:bookmarkStart w:id="32" w:name="_Hlk152257056"/>
      <w:r>
        <w:rPr>
          <w:rFonts w:hint="eastAsia"/>
          <w:u w:val="single"/>
        </w:rPr>
        <w:t>根据上位规划，落实历史文化保护线</w:t>
      </w:r>
      <w:r>
        <w:rPr>
          <w:u w:val="single"/>
        </w:rPr>
        <w:t>1处，为县级文物保护单位保护线，是符庄墓葬，历史文化保护线总面积为0.22公顷。</w:t>
      </w:r>
      <w:r>
        <w:rPr>
          <w:rFonts w:hint="eastAsia"/>
        </w:rPr>
        <w:t>板场乡历史文化保护线结合乡域历史文化遗产保护范围和建设控制地带的划定情况，及时落实动态补划，纳入国土空间规划“一张图”进行管控。</w:t>
      </w:r>
    </w:p>
    <w:bookmarkEnd w:id="32"/>
    <w:p>
      <w:pPr>
        <w:pStyle w:val="4"/>
        <w:spacing w:before="195" w:beforeLines="60" w:after="195" w:afterLines="60" w:line="240" w:lineRule="auto"/>
      </w:pPr>
      <w:r>
        <w:rPr>
          <w:rFonts w:hint="eastAsia"/>
        </w:rPr>
        <w:t>洪涝风险控制线</w:t>
      </w:r>
    </w:p>
    <w:p>
      <w:pPr>
        <w:spacing w:before="65" w:after="156"/>
        <w:ind w:firstLine="640"/>
      </w:pPr>
      <w:bookmarkStart w:id="33" w:name="_Hlk152257166"/>
      <w:r>
        <w:rPr>
          <w:rFonts w:hint="eastAsia"/>
        </w:rPr>
        <w:t>根据上位规划传导，落实洪涝风险控制线，主要为</w:t>
      </w:r>
      <w:r>
        <w:t>后河、酿河（让河）、鱼道河、东让河</w:t>
      </w:r>
      <w:r>
        <w:rPr>
          <w:rFonts w:hint="eastAsia"/>
        </w:rPr>
        <w:t>，落实洪涝风险控制线</w:t>
      </w:r>
      <w:r>
        <w:t>面积208.57公顷</w:t>
      </w:r>
      <w:r>
        <w:rPr>
          <w:rFonts w:hint="eastAsia"/>
        </w:rPr>
        <w:t>。</w:t>
      </w:r>
      <w:r>
        <w:t>洪涝风险控制线内禁止新增城乡建设用地，确需新增的，需经得水利部门的意见后落实。</w:t>
      </w:r>
    </w:p>
    <w:bookmarkEnd w:id="33"/>
    <w:p>
      <w:pPr>
        <w:pStyle w:val="4"/>
        <w:spacing w:before="195" w:beforeLines="60" w:after="195" w:afterLines="60" w:line="240" w:lineRule="auto"/>
      </w:pPr>
      <w:r>
        <w:rPr>
          <w:rFonts w:hint="eastAsia"/>
        </w:rPr>
        <w:t>矿产资源开采保护线</w:t>
      </w:r>
    </w:p>
    <w:p>
      <w:pPr>
        <w:spacing w:before="65"/>
        <w:ind w:firstLine="640"/>
      </w:pPr>
      <w:bookmarkStart w:id="34" w:name="_Hlk152257181"/>
      <w:r>
        <w:rPr>
          <w:rFonts w:hint="eastAsia"/>
        </w:rPr>
        <w:t>乡镇落实矿产资源开采保护线</w:t>
      </w:r>
      <w:r>
        <w:t>15处，覆盖整个乡镇。分别为河南省内乡县板厂一带多金属矿详查（老虎山外围）、河南省内乡县板厂一带铜多金属矿详查、河南省内乡县前庄石墨矿详查、河南省内乡县雁岭石墨矿普查、河南省内乡县叶坪—七里坪矿区石墨矿详查、河南省西峡县竹园沟-内乡县韭菜沟一带金多金属矿详查、内乡板场乡符竹园石墨矿、内乡县板场乡独垛寨石墨矿普查、内乡县板场乡让河饰面花岗岩矿、内乡县板场乡石庙饰面花岗岩矿、内乡县板场乡西岭饰面花岗岩矿、内乡县板场乡中河饰面花岗岩矿、西峡米坪重点开采区、西峡宋庄石墨矿详查、西峡县山根大</w:t>
      </w:r>
      <w:r>
        <w:rPr>
          <w:rFonts w:hint="eastAsia"/>
        </w:rPr>
        <w:t>理岩，涉及规模</w:t>
      </w:r>
      <w:r>
        <w:t>15326.30公顷。</w:t>
      </w:r>
    </w:p>
    <w:bookmarkEnd w:id="34"/>
    <w:p>
      <w:pPr>
        <w:pStyle w:val="4"/>
        <w:spacing w:before="195" w:beforeLines="60" w:after="195" w:afterLines="60" w:line="240" w:lineRule="auto"/>
      </w:pPr>
      <w:r>
        <w:rPr>
          <w:rFonts w:hint="eastAsia"/>
        </w:rPr>
        <w:t>廊道控制线</w:t>
      </w:r>
    </w:p>
    <w:p>
      <w:pPr>
        <w:spacing w:before="65"/>
        <w:ind w:firstLine="640"/>
      </w:pPr>
      <w:bookmarkStart w:id="35" w:name="_Hlk152257192"/>
      <w:r>
        <w:rPr>
          <w:rFonts w:hint="eastAsia"/>
        </w:rPr>
        <w:t>乡镇交通控制廊道涉及国道：</w:t>
      </w:r>
      <w:r>
        <w:t>G241；省道：S243、S328；县道：X002；乡道：Y003、Y006、Y060、Y011；根据《公路安全保护条例》，在公路两侧修建永久性工程设施，其建筑物边缘与公路边沟外缘的间距为：国道不少于20米；省道不少于15米；县道不少于10米；乡道不少于5米。高速公路的，公路建筑控制区的范围从公路用地外缘起向外的距离标准不少于30米。</w:t>
      </w:r>
      <w:bookmarkEnd w:id="35"/>
    </w:p>
    <w:p>
      <w:pPr>
        <w:pStyle w:val="3"/>
      </w:pPr>
      <w:bookmarkStart w:id="36" w:name="_Toc185608288"/>
      <w:r>
        <w:rPr>
          <w:rFonts w:hint="eastAsia"/>
        </w:rPr>
        <w:t>划定村庄建设边界</w:t>
      </w:r>
      <w:bookmarkEnd w:id="36"/>
    </w:p>
    <w:p>
      <w:pPr>
        <w:pStyle w:val="4"/>
        <w:spacing w:before="195" w:beforeLines="60" w:after="195" w:afterLines="60" w:line="240" w:lineRule="auto"/>
      </w:pPr>
      <w:r>
        <w:rPr>
          <w:rFonts w:hint="eastAsia"/>
        </w:rPr>
        <w:t>村庄建设边界</w:t>
      </w:r>
      <w:r>
        <w:t>划定</w:t>
      </w:r>
    </w:p>
    <w:p>
      <w:pPr>
        <w:spacing w:before="65"/>
        <w:ind w:firstLine="640"/>
      </w:pPr>
      <w:bookmarkStart w:id="37" w:name="_Hlk175646380"/>
      <w:r>
        <w:rPr>
          <w:rFonts w:hint="eastAsia"/>
        </w:rPr>
        <w:t>全乡划定村庄建设边界</w:t>
      </w:r>
      <w:r>
        <w:t>435.63公顷，其中，机动指标为13.19公顷，占村庄建设边界的3.03%。</w:t>
      </w:r>
    </w:p>
    <w:bookmarkEnd w:id="37"/>
    <w:p>
      <w:pPr>
        <w:ind w:firstLine="640"/>
      </w:pPr>
      <w:bookmarkStart w:id="38" w:name="_Toc185608289"/>
      <w:r>
        <w:br w:type="page"/>
      </w:r>
    </w:p>
    <w:p>
      <w:pPr>
        <w:ind w:firstLine="640"/>
      </w:pPr>
    </w:p>
    <w:p>
      <w:pPr>
        <w:pStyle w:val="2"/>
      </w:pPr>
      <w:bookmarkStart w:id="39" w:name="_Toc221006505"/>
      <w:r>
        <w:rPr>
          <w:rFonts w:hint="eastAsia"/>
        </w:rPr>
        <w:t>规划分区</w:t>
      </w:r>
      <w:bookmarkEnd w:id="39"/>
    </w:p>
    <w:p>
      <w:pPr>
        <w:pStyle w:val="3"/>
      </w:pPr>
      <w:r>
        <w:rPr>
          <w:rFonts w:hint="eastAsia"/>
        </w:rPr>
        <w:t>国土空间开发保护总体格局</w:t>
      </w:r>
      <w:bookmarkEnd w:id="38"/>
    </w:p>
    <w:p>
      <w:pPr>
        <w:pStyle w:val="4"/>
        <w:spacing w:before="195" w:beforeLines="60" w:after="195" w:afterLines="60" w:line="240" w:lineRule="auto"/>
      </w:pPr>
      <w:r>
        <w:rPr>
          <w:rFonts w:hint="eastAsia"/>
        </w:rPr>
        <w:t>国土空间开发保护总体格局</w:t>
      </w:r>
    </w:p>
    <w:p>
      <w:pPr>
        <w:spacing w:before="65"/>
        <w:ind w:firstLine="640"/>
      </w:pPr>
      <w:r>
        <w:rPr>
          <w:rFonts w:hint="eastAsia"/>
        </w:rPr>
        <w:t>融合三生空间，兼顾保护与发展，构建“两轴两区心三区”的生态化集约化的国土空间开发保护总体格局。</w:t>
      </w:r>
    </w:p>
    <w:p>
      <w:pPr>
        <w:spacing w:before="65"/>
        <w:ind w:firstLine="640"/>
      </w:pPr>
      <w:r>
        <w:rPr>
          <w:rFonts w:hint="eastAsia"/>
        </w:rPr>
        <w:t>两轴：国道</w:t>
      </w:r>
      <w:r>
        <w:t>240和乡道001城镇发展轴，是板场乡与内乡县和西峡县的主要通道，也是板场乡连通高速，与南阳市等其他城市沟通的纽带。</w:t>
      </w:r>
    </w:p>
    <w:p>
      <w:pPr>
        <w:spacing w:before="65"/>
        <w:ind w:firstLine="640"/>
      </w:pPr>
      <w:r>
        <w:rPr>
          <w:rFonts w:hint="eastAsia"/>
        </w:rPr>
        <w:t>两心：集镇区为基础的城镇建设聚集区，以后湖村村庄建设区为基础的村庄建设集聚区。</w:t>
      </w:r>
    </w:p>
    <w:p>
      <w:pPr>
        <w:spacing w:before="65"/>
        <w:ind w:firstLine="640"/>
      </w:pPr>
      <w:r>
        <w:rPr>
          <w:rFonts w:hint="eastAsia"/>
        </w:rPr>
        <w:t>三区：分别是板场乡北部、西部的生态控制区；集镇区北侧与南侧为矿产资源开采加工为核心的矿产发展区；中部以集镇区为基础的建设集镇区。</w:t>
      </w:r>
    </w:p>
    <w:p>
      <w:pPr>
        <w:pStyle w:val="3"/>
      </w:pPr>
      <w:bookmarkStart w:id="40" w:name="_Toc185608290"/>
      <w:r>
        <w:rPr>
          <w:rFonts w:hint="eastAsia"/>
        </w:rPr>
        <w:t>规划分区与用途管制</w:t>
      </w:r>
      <w:bookmarkEnd w:id="40"/>
    </w:p>
    <w:p>
      <w:pPr>
        <w:pStyle w:val="4"/>
        <w:spacing w:before="195" w:beforeLines="60" w:after="195" w:afterLines="60" w:line="240" w:lineRule="auto"/>
      </w:pPr>
      <w:r>
        <w:rPr>
          <w:rFonts w:hint="eastAsia"/>
        </w:rPr>
        <w:t>生态控制区</w:t>
      </w:r>
    </w:p>
    <w:p>
      <w:pPr>
        <w:ind w:firstLine="640"/>
      </w:pPr>
      <w:r>
        <w:rPr>
          <w:rFonts w:hint="eastAsia"/>
        </w:rPr>
        <w:t>1</w:t>
      </w:r>
      <w:r>
        <w:t>.生态控制区划定</w:t>
      </w:r>
    </w:p>
    <w:p>
      <w:pPr>
        <w:spacing w:before="65"/>
        <w:ind w:firstLine="640"/>
      </w:pPr>
      <w:r>
        <w:rPr>
          <w:rFonts w:hint="eastAsia"/>
          <w:lang w:bidi="ar"/>
        </w:rPr>
        <w:t>依据上位规划传导，并结合板场乡实际情况，局部进行优化，乡镇划定生态控制区面积</w:t>
      </w:r>
      <w:bookmarkStart w:id="41" w:name="_Hlk200468060"/>
      <w:r>
        <w:rPr>
          <w:lang w:bidi="ar"/>
        </w:rPr>
        <w:t>10122.19公顷</w:t>
      </w:r>
      <w:bookmarkEnd w:id="41"/>
      <w:r>
        <w:rPr>
          <w:lang w:bidi="ar"/>
        </w:rPr>
        <w:t>，占全域面积的</w:t>
      </w:r>
      <w:bookmarkStart w:id="42" w:name="_Hlk200468066"/>
      <w:r>
        <w:rPr>
          <w:lang w:bidi="ar"/>
        </w:rPr>
        <w:t>64.91%</w:t>
      </w:r>
      <w:bookmarkEnd w:id="42"/>
      <w:r>
        <w:rPr>
          <w:lang w:bidi="ar"/>
        </w:rPr>
        <w:t>。生态控制区主要包括生态保护红线外的自然保护地、天然林、公益林、河湖水系、湿地等需要予以保留原貌、强化生态保育和生态建设、限制开发建设的区域。板场乡域范围内主要为天然林、公益林和河湖水系。天然林、公益林主要分布在乡镇北部伏牛山余脉，河湖水系主要为</w:t>
      </w:r>
      <w:r>
        <w:rPr>
          <w:rFonts w:hint="eastAsia"/>
          <w:lang w:bidi="ar"/>
        </w:rPr>
        <w:t>鱼道河</w:t>
      </w:r>
      <w:r>
        <w:rPr>
          <w:lang w:bidi="ar"/>
        </w:rPr>
        <w:t>等</w:t>
      </w:r>
      <w:r>
        <w:rPr>
          <w:rFonts w:hint="eastAsia"/>
          <w:lang w:bidi="ar"/>
        </w:rPr>
        <w:t>。</w:t>
      </w:r>
      <w:bookmarkStart w:id="43" w:name="_Hlk152319665"/>
    </w:p>
    <w:bookmarkEnd w:id="43"/>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spacing w:before="195" w:beforeLines="60" w:after="195" w:afterLines="60" w:line="240" w:lineRule="auto"/>
      </w:pPr>
      <w:r>
        <w:rPr>
          <w:rFonts w:hint="eastAsia"/>
        </w:rPr>
        <w:t>农田保护区</w:t>
      </w:r>
    </w:p>
    <w:p>
      <w:pPr>
        <w:ind w:firstLine="640"/>
      </w:pPr>
      <w:r>
        <w:rPr>
          <w:rFonts w:hint="eastAsia"/>
        </w:rPr>
        <w:t>1</w:t>
      </w:r>
      <w:r>
        <w:t>.农田保护区划定</w:t>
      </w:r>
    </w:p>
    <w:p>
      <w:pPr>
        <w:spacing w:before="65"/>
        <w:ind w:firstLine="640"/>
      </w:pPr>
      <w:bookmarkStart w:id="44" w:name="_Hlk152319961"/>
      <w:r>
        <w:rPr>
          <w:rFonts w:hint="eastAsia"/>
          <w:lang w:bidi="ar"/>
        </w:rPr>
        <w:t>依据上位规划传导，乡镇划定农田保护区面积</w:t>
      </w:r>
      <w:bookmarkStart w:id="45" w:name="_Hlk200468077"/>
      <w:r>
        <w:rPr>
          <w:lang w:bidi="ar"/>
        </w:rPr>
        <w:t>226.44</w:t>
      </w:r>
      <w:bookmarkEnd w:id="45"/>
      <w:r>
        <w:rPr>
          <w:lang w:bidi="ar"/>
        </w:rPr>
        <w:t>公顷，占全域面积的</w:t>
      </w:r>
      <w:bookmarkStart w:id="46" w:name="_Hlk200468084"/>
      <w:r>
        <w:rPr>
          <w:lang w:bidi="ar"/>
        </w:rPr>
        <w:t>1.45</w:t>
      </w:r>
      <w:bookmarkEnd w:id="46"/>
      <w:r>
        <w:rPr>
          <w:lang w:bidi="ar"/>
        </w:rPr>
        <w:t>%，包括全部的永久基本农田，主要集中分布于中部的平原丘陵地区</w:t>
      </w:r>
      <w:r>
        <w:rPr>
          <w:rFonts w:hint="eastAsia"/>
          <w:lang w:bidi="ar"/>
        </w:rPr>
        <w:t>。</w:t>
      </w:r>
    </w:p>
    <w:bookmarkEnd w:id="44"/>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beforeLines="60" w:after="195" w:afterLines="60" w:line="240" w:lineRule="auto"/>
      </w:pPr>
      <w:bookmarkStart w:id="47" w:name="_Hlk200468114"/>
      <w:r>
        <w:rPr>
          <w:rFonts w:hint="eastAsia"/>
        </w:rPr>
        <w:t>城镇发展区</w:t>
      </w:r>
    </w:p>
    <w:p>
      <w:pPr>
        <w:ind w:firstLine="640"/>
      </w:pPr>
      <w:r>
        <w:rPr>
          <w:rFonts w:hint="eastAsia"/>
        </w:rPr>
        <w:t>1</w:t>
      </w:r>
      <w:r>
        <w:t>.城镇发展区划定</w:t>
      </w:r>
    </w:p>
    <w:p>
      <w:pPr>
        <w:spacing w:before="65"/>
        <w:ind w:firstLine="640"/>
      </w:pPr>
      <w:bookmarkStart w:id="48" w:name="_Hlk152319991"/>
      <w:r>
        <w:rPr>
          <w:rFonts w:hint="eastAsia"/>
        </w:rPr>
        <w:t>乡镇划定城镇发展区面积</w:t>
      </w:r>
      <w:r>
        <w:t>19.06公顷，全部为集中建设区，占全域面积的0.12%</w:t>
      </w:r>
      <w:r>
        <w:rPr>
          <w:rFonts w:hint="eastAsia"/>
        </w:rPr>
        <w:t>。</w:t>
      </w:r>
    </w:p>
    <w:bookmarkEnd w:id="47"/>
    <w:bookmarkEnd w:id="48"/>
    <w:p>
      <w:pPr>
        <w:ind w:firstLine="640"/>
      </w:pPr>
      <w:r>
        <w:rPr>
          <w:rFonts w:hint="eastAsia"/>
        </w:rPr>
        <w:t>2</w:t>
      </w:r>
      <w:r>
        <w:t>.管控规则</w:t>
      </w:r>
    </w:p>
    <w:p>
      <w:pPr>
        <w:spacing w:before="65"/>
        <w:ind w:firstLine="640"/>
      </w:pPr>
      <w:r>
        <w:rPr>
          <w:rFonts w:hint="eastAsia"/>
        </w:rPr>
        <w:t>城镇发展区主要用于城镇建设，是允许开展城镇开发建设行为的核心区域，应实现详细规划全覆盖，按照详细规划进行精细化管理，限制农业生产、土地整治和村庄建设。</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 xml:space="preserve">城镇集中建设区内的战略预留区宜维持现状用途为主，在用途明确前应控制区内新建扩建各项建设，按照原用途使用。 </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p>
    <w:p>
      <w:pPr>
        <w:pStyle w:val="4"/>
        <w:spacing w:before="195" w:beforeLines="60" w:after="195" w:afterLines="60" w:line="240" w:lineRule="auto"/>
      </w:pPr>
      <w:r>
        <w:rPr>
          <w:rFonts w:hint="eastAsia"/>
        </w:rPr>
        <w:t>乡村发展区</w:t>
      </w:r>
    </w:p>
    <w:p>
      <w:pPr>
        <w:spacing w:before="65"/>
        <w:ind w:firstLine="640"/>
      </w:pPr>
      <w:bookmarkStart w:id="49" w:name="_Hlk200468184"/>
      <w:bookmarkStart w:id="50" w:name="_Hlk152837370"/>
      <w:r>
        <w:rPr>
          <w:rFonts w:hint="eastAsia"/>
          <w:lang w:bidi="ar"/>
        </w:rPr>
        <w:t>乡镇划定乡村发展区面积</w:t>
      </w:r>
      <w:r>
        <w:rPr>
          <w:lang w:bidi="ar"/>
        </w:rPr>
        <w:t>1556.36公顷，占全域面积的9.98%</w:t>
      </w:r>
      <w:bookmarkEnd w:id="49"/>
      <w:r>
        <w:rPr>
          <w:lang w:bidi="ar"/>
        </w:rPr>
        <w:t>。乡村发展区包含村庄建设区、一般农业区等二级规划分区；乡村发展区包括永久基本农田集中区外，为满足农林牧渔等农业发展以及农民集中生活和生产配套为主的区域，主要分布于适宜农业生产、农民集中生活和生产配套为主的区域</w:t>
      </w:r>
      <w:r>
        <w:rPr>
          <w:rFonts w:hint="eastAsia"/>
          <w:lang w:bidi="ar"/>
        </w:rPr>
        <w:t>。</w:t>
      </w:r>
    </w:p>
    <w:bookmarkEnd w:id="50"/>
    <w:p>
      <w:pPr>
        <w:ind w:firstLine="640"/>
      </w:pPr>
      <w:r>
        <w:rPr>
          <w:rFonts w:hint="eastAsia"/>
        </w:rPr>
        <w:t>1</w:t>
      </w:r>
      <w:r>
        <w:t>.</w:t>
      </w:r>
      <w:r>
        <w:rPr>
          <w:rFonts w:hint="eastAsia"/>
        </w:rPr>
        <w:t>村庄建设区</w:t>
      </w:r>
    </w:p>
    <w:p>
      <w:pPr>
        <w:spacing w:before="65"/>
        <w:ind w:firstLine="640"/>
      </w:pPr>
      <w:bookmarkStart w:id="51" w:name="_Hlk200468195"/>
      <w:r>
        <w:rPr>
          <w:rFonts w:hint="eastAsia"/>
        </w:rPr>
        <w:t>乡镇划定村庄建设区面积</w:t>
      </w:r>
      <w:r>
        <w:t>422.44公顷，占全域</w:t>
      </w:r>
      <w:r>
        <w:rPr>
          <w:rFonts w:hint="eastAsia"/>
        </w:rPr>
        <w:t>乡村发展区</w:t>
      </w:r>
      <w:r>
        <w:t>面积的27.14%。</w:t>
      </w:r>
    </w:p>
    <w:bookmarkEnd w:id="51"/>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r>
        <w:rPr>
          <w:rFonts w:hint="eastAsia"/>
        </w:rPr>
        <w:t>2</w:t>
      </w:r>
      <w:r>
        <w:t>.</w:t>
      </w:r>
      <w:r>
        <w:rPr>
          <w:rFonts w:hint="eastAsia"/>
        </w:rPr>
        <w:t>一般农业区</w:t>
      </w:r>
    </w:p>
    <w:p>
      <w:pPr>
        <w:spacing w:before="65"/>
        <w:ind w:firstLine="640"/>
      </w:pPr>
      <w:bookmarkStart w:id="52" w:name="_Hlk200468201"/>
      <w:r>
        <w:rPr>
          <w:rFonts w:hint="eastAsia"/>
          <w:lang w:bidi="ar"/>
        </w:rPr>
        <w:t>乡镇划定一般农业区面积</w:t>
      </w:r>
      <w:r>
        <w:rPr>
          <w:lang w:bidi="ar"/>
        </w:rPr>
        <w:t>1133.93公顷，占全域乡村发展区面积的72.86%。</w:t>
      </w:r>
    </w:p>
    <w:bookmarkEnd w:id="52"/>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ind w:firstLine="640"/>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rPr>
          <w:lang w:bidi="ar"/>
        </w:rPr>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spacing w:before="195" w:beforeLines="60" w:after="195" w:afterLines="60" w:line="240" w:lineRule="auto"/>
      </w:pPr>
      <w:r>
        <w:rPr>
          <w:rFonts w:hint="eastAsia"/>
        </w:rPr>
        <w:t>矿产能源发展区</w:t>
      </w:r>
    </w:p>
    <w:p>
      <w:pPr>
        <w:ind w:firstLine="640"/>
      </w:pPr>
      <w:r>
        <w:rPr>
          <w:rFonts w:hint="eastAsia"/>
        </w:rPr>
        <w:t>1</w:t>
      </w:r>
      <w:r>
        <w:t>.矿产能源发展区划定</w:t>
      </w:r>
    </w:p>
    <w:p>
      <w:pPr>
        <w:ind w:firstLine="640"/>
      </w:pPr>
      <w:bookmarkStart w:id="53" w:name="_Hlk200468242"/>
      <w:r>
        <w:rPr>
          <w:rFonts w:hint="eastAsia"/>
          <w:lang w:bidi="ar"/>
        </w:rPr>
        <w:t>依据上位规划传导，落实划定矿产能源发展区，乡镇划定矿产能源发展区面积</w:t>
      </w:r>
      <w:r>
        <w:rPr>
          <w:lang w:bidi="ar"/>
        </w:rPr>
        <w:t>3670.16公顷，占全域面积的23.54%</w:t>
      </w:r>
      <w:bookmarkEnd w:id="53"/>
      <w:r>
        <w:rPr>
          <w:lang w:bidi="ar"/>
        </w:rPr>
        <w:t>。矿产能源发展区包括采矿区、战略性矿产储量区，主要分布于北部山区</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p>
    <w:p>
      <w:pPr>
        <w:spacing w:before="65"/>
        <w:ind w:firstLine="640"/>
        <w:rPr>
          <w:lang w:bidi="ar"/>
        </w:rPr>
      </w:pPr>
      <w:r>
        <w:rPr>
          <w:rFonts w:hint="eastAsia"/>
          <w:lang w:bidi="ar"/>
        </w:rPr>
        <w:t>规划分区详见附表3。</w:t>
      </w:r>
    </w:p>
    <w:p>
      <w:pPr>
        <w:spacing w:before="65"/>
        <w:ind w:firstLine="640"/>
        <w:rPr>
          <w:lang w:bidi="ar"/>
        </w:rPr>
      </w:pPr>
      <w:r>
        <w:rPr>
          <w:lang w:bidi="ar"/>
        </w:rPr>
        <w:br w:type="page"/>
      </w:r>
    </w:p>
    <w:p>
      <w:pPr>
        <w:spacing w:before="65"/>
        <w:ind w:firstLine="640"/>
        <w:rPr>
          <w:lang w:bidi="ar"/>
        </w:rPr>
      </w:pPr>
    </w:p>
    <w:p>
      <w:pPr>
        <w:pStyle w:val="2"/>
      </w:pPr>
      <w:bookmarkStart w:id="54" w:name="_Toc221006506"/>
      <w:bookmarkStart w:id="55" w:name="_Toc185608291"/>
      <w:r>
        <w:rPr>
          <w:rFonts w:hint="eastAsia"/>
        </w:rPr>
        <w:t>国土空间功能结构调整</w:t>
      </w:r>
      <w:bookmarkEnd w:id="54"/>
    </w:p>
    <w:p>
      <w:pPr>
        <w:pStyle w:val="3"/>
      </w:pPr>
      <w:r>
        <w:rPr>
          <w:rFonts w:hint="eastAsia"/>
        </w:rPr>
        <w:t>国土空间功能结构调整</w:t>
      </w:r>
      <w:bookmarkEnd w:id="55"/>
    </w:p>
    <w:bookmarkEnd w:id="31"/>
    <w:p>
      <w:pPr>
        <w:pStyle w:val="4"/>
        <w:spacing w:before="195" w:beforeLines="60" w:after="195" w:afterLines="60" w:line="240" w:lineRule="auto"/>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t>214.10</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园地面积适量减少，林地面积保持稳定；草地面积</w:t>
      </w:r>
      <w:bookmarkStart w:id="56" w:name="OLE_LINK5"/>
      <w:bookmarkStart w:id="57" w:name="OLE_LINK4"/>
      <w:r>
        <w:rPr>
          <w:rFonts w:hint="eastAsia" w:ascii="Times New Roman" w:cs="宋体"/>
          <w:lang w:bidi="ar"/>
        </w:rPr>
        <w:t>适度减少</w:t>
      </w:r>
      <w:bookmarkEnd w:id="56"/>
      <w:bookmarkEnd w:id="57"/>
      <w:r>
        <w:rPr>
          <w:rFonts w:hint="eastAsia" w:ascii="Times New Roman" w:cs="宋体"/>
          <w:lang w:bidi="ar"/>
        </w:rPr>
        <w:t>；湿地保持稳定；农业设施建设用地适量增加；城镇用地面积不超过</w:t>
      </w:r>
      <w:r>
        <w:t>19.70</w:t>
      </w:r>
      <w:r>
        <w:rPr>
          <w:rFonts w:hint="eastAsia" w:ascii="Times New Roman" w:cs="宋体"/>
          <w:lang w:bidi="ar"/>
        </w:rPr>
        <w:t>公顷；</w:t>
      </w:r>
      <w:r>
        <w:rPr>
          <w:rFonts w:hint="eastAsia"/>
        </w:rPr>
        <w:t>村庄用地规模不得超过城镇开发边界外村庄用地总规模</w:t>
      </w:r>
      <w:r>
        <w:t>435.63公顷</w:t>
      </w:r>
      <w:r>
        <w:rPr>
          <w:rFonts w:hint="eastAsia" w:ascii="Times New Roman" w:cs="宋体"/>
          <w:lang w:bidi="ar"/>
        </w:rPr>
        <w:t>；区域基础设施用地面积持续增加；其他建设用地面积适度增加；陆地水域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ascii="Times New Roman" w:cs="宋体"/>
          <w:lang w:bidi="ar"/>
        </w:rPr>
        <w:t>）。</w:t>
      </w:r>
    </w:p>
    <w:p>
      <w:pPr>
        <w:pStyle w:val="5"/>
        <w:ind w:firstLine="640"/>
      </w:pPr>
      <w:bookmarkStart w:id="58" w:name="_Hlk206605833"/>
      <w:r>
        <w:rPr>
          <w:rFonts w:hint="eastAsia"/>
        </w:rPr>
        <w:t>优化农用地结构</w:t>
      </w:r>
    </w:p>
    <w:bookmarkEnd w:id="58"/>
    <w:p>
      <w:pPr>
        <w:widowControl w:val="0"/>
        <w:spacing w:before="48" w:after="163" w:afterLines="50"/>
        <w:ind w:firstLine="640"/>
        <w:rPr>
          <w:lang w:bidi="ar"/>
        </w:rPr>
      </w:pPr>
      <w:r>
        <w:rPr>
          <w:rFonts w:hint="eastAsia"/>
          <w:lang w:bidi="ar"/>
        </w:rPr>
        <w:t>耕地：规划期内全乡耕地面积不低于在“三区三线”划定成果中确定的耕地保护目标</w:t>
      </w:r>
      <w:r>
        <w:t>214.10</w:t>
      </w:r>
      <w:r>
        <w:rPr>
          <w:rFonts w:hint="eastAsia"/>
          <w:lang w:bidi="ar"/>
        </w:rPr>
        <w:t>公顷。</w:t>
      </w:r>
    </w:p>
    <w:p>
      <w:pPr>
        <w:widowControl w:val="0"/>
        <w:spacing w:before="48" w:after="163" w:afterLines="50"/>
        <w:ind w:firstLine="640"/>
        <w:rPr>
          <w:lang w:bidi="ar"/>
        </w:rPr>
      </w:pPr>
      <w:r>
        <w:rPr>
          <w:rFonts w:hint="eastAsia"/>
          <w:lang w:bidi="ar"/>
        </w:rPr>
        <w:t>园地：规划至2035年，园地面积适度减少。</w:t>
      </w:r>
    </w:p>
    <w:p>
      <w:pPr>
        <w:widowControl w:val="0"/>
        <w:spacing w:before="48" w:after="163" w:afterLines="50"/>
        <w:ind w:firstLine="640"/>
        <w:rPr>
          <w:lang w:bidi="ar"/>
        </w:rPr>
      </w:pPr>
      <w:r>
        <w:rPr>
          <w:rFonts w:hint="eastAsia"/>
          <w:lang w:bidi="ar"/>
        </w:rPr>
        <w:t>林地：规划期内，林地面积保持稳定。</w:t>
      </w:r>
    </w:p>
    <w:p>
      <w:pPr>
        <w:widowControl w:val="0"/>
        <w:spacing w:before="48" w:after="163" w:afterLines="50"/>
        <w:ind w:firstLine="640"/>
        <w:rPr>
          <w:lang w:bidi="ar"/>
        </w:rPr>
      </w:pPr>
      <w:r>
        <w:rPr>
          <w:rFonts w:hint="eastAsia"/>
          <w:lang w:bidi="ar"/>
        </w:rPr>
        <w:t>草地：规划至2035年，草地面积结合土地综合整治项目</w:t>
      </w:r>
      <w:r>
        <w:rPr>
          <w:rFonts w:hint="eastAsia" w:ascii="Times New Roman" w:cs="宋体"/>
          <w:lang w:bidi="ar"/>
        </w:rPr>
        <w:t>适度减少</w:t>
      </w:r>
      <w:r>
        <w:rPr>
          <w:rFonts w:hint="eastAsia"/>
          <w:lang w:bidi="ar"/>
        </w:rPr>
        <w:t>。</w:t>
      </w:r>
    </w:p>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p>
    <w:p>
      <w:pPr>
        <w:ind w:firstLine="640"/>
      </w:pPr>
      <w:r>
        <w:rPr>
          <w:rFonts w:hint="eastAsia"/>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适度增加。</w:t>
      </w:r>
    </w:p>
    <w:p>
      <w:pPr>
        <w:pStyle w:val="5"/>
        <w:ind w:firstLine="640"/>
      </w:pPr>
      <w:bookmarkStart w:id="59" w:name="_Hlk206605851"/>
      <w:r>
        <w:rPr>
          <w:rFonts w:hint="eastAsia"/>
        </w:rPr>
        <w:t>优化建设用地结构</w:t>
      </w:r>
      <w:bookmarkEnd w:id="59"/>
    </w:p>
    <w:p>
      <w:pPr>
        <w:spacing w:before="48"/>
        <w:ind w:firstLine="640"/>
        <w:rPr>
          <w:lang w:bidi="ar"/>
        </w:rPr>
      </w:pPr>
      <w:r>
        <w:rPr>
          <w:rFonts w:hint="eastAsia"/>
          <w:lang w:bidi="ar"/>
        </w:rPr>
        <w:t>城镇用地：</w:t>
      </w:r>
      <w:r>
        <w:rPr>
          <w:lang w:bidi="ar"/>
        </w:rPr>
        <w:t>规划至2035年城镇用地规模不得超过</w:t>
      </w:r>
      <w:r>
        <w:t>19.70</w:t>
      </w:r>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r>
        <w:t>435.63</w:t>
      </w:r>
      <w:r>
        <w:rPr>
          <w:lang w:bidi="ar"/>
        </w:rPr>
        <w:t>公顷</w:t>
      </w:r>
      <w:r>
        <w:rPr>
          <w:rFonts w:hint="eastAsia"/>
          <w:lang w:bidi="ar"/>
        </w:rPr>
        <w:t>。</w:t>
      </w:r>
    </w:p>
    <w:p>
      <w:pPr>
        <w:spacing w:before="48"/>
        <w:ind w:firstLine="640"/>
      </w:pPr>
      <w:bookmarkStart w:id="60" w:name="_Hlk206605887"/>
      <w:r>
        <w:rPr>
          <w:rFonts w:hint="eastAsia"/>
          <w:lang w:bidi="ar"/>
        </w:rPr>
        <w:t>区域基础设施用地：</w:t>
      </w:r>
      <w:bookmarkEnd w:id="60"/>
      <w:r>
        <w:rPr>
          <w:rFonts w:hint="eastAsia"/>
          <w:lang w:bidi="ar"/>
        </w:rPr>
        <w:t>规划期内，严格落实国家、省、市级重点项目用地需求，规划期内区域基础设施用地根据实际需求增加。</w:t>
      </w:r>
    </w:p>
    <w:p>
      <w:pPr>
        <w:ind w:firstLine="640"/>
      </w:pPr>
      <w:bookmarkStart w:id="61"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p>
    <w:bookmarkEnd w:id="61"/>
    <w:p>
      <w:pPr>
        <w:pStyle w:val="5"/>
        <w:ind w:firstLine="640"/>
      </w:pPr>
      <w:bookmarkStart w:id="62" w:name="_Hlk206605870"/>
      <w:r>
        <w:rPr>
          <w:rFonts w:hint="eastAsia"/>
        </w:rPr>
        <w:t>合理利用其他土地</w:t>
      </w:r>
      <w:bookmarkEnd w:id="62"/>
    </w:p>
    <w:p>
      <w:pPr>
        <w:ind w:firstLine="640"/>
        <w:rPr>
          <w:lang w:bidi="ar"/>
        </w:rPr>
      </w:pPr>
      <w:r>
        <w:rPr>
          <w:rFonts w:hint="eastAsia"/>
          <w:lang w:bidi="ar"/>
        </w:rPr>
        <w:t>严格河湖水域岸线管理保护，积极开展鱼道河、让河以及农村</w:t>
      </w:r>
      <w:r>
        <w:rPr>
          <w:lang w:bidi="ar"/>
        </w:rPr>
        <w:t>水系沟渠连通治理工程，提高河道防洪能力，规划期末陆地水域面积保持稳定</w:t>
      </w:r>
      <w:r>
        <w:rPr>
          <w:rFonts w:hint="eastAsia"/>
          <w:lang w:bidi="ar"/>
        </w:rPr>
        <w:t>。</w:t>
      </w:r>
    </w:p>
    <w:p>
      <w:pPr>
        <w:pStyle w:val="3"/>
      </w:pPr>
      <w:bookmarkStart w:id="63" w:name="_Toc185608292"/>
      <w:r>
        <w:rPr>
          <w:rFonts w:hint="eastAsia"/>
        </w:rPr>
        <w:t>留白用地</w:t>
      </w:r>
      <w:bookmarkEnd w:id="63"/>
    </w:p>
    <w:p>
      <w:pPr>
        <w:pStyle w:val="4"/>
        <w:spacing w:before="195" w:beforeLines="60" w:after="195" w:afterLines="60" w:line="240" w:lineRule="auto"/>
        <w:ind w:left="0"/>
      </w:pPr>
      <w:bookmarkStart w:id="64" w:name="_Hlk200530783"/>
      <w:r>
        <w:rPr>
          <w:rFonts w:hint="eastAsia"/>
        </w:rPr>
        <w:t>留白用地</w:t>
      </w:r>
    </w:p>
    <w:bookmarkEnd w:id="64"/>
    <w:p>
      <w:pPr>
        <w:spacing w:before="65"/>
        <w:ind w:firstLine="640"/>
      </w:pPr>
      <w:r>
        <w:rPr>
          <w:rFonts w:hint="eastAsia"/>
        </w:rPr>
        <w:t>村庄规划阶段可按照现状村庄建设用地的</w:t>
      </w:r>
      <w:r>
        <w:t>5%作为规划留白，用于暂时无法确定用途或位置的乡乡域内农村公益设施、乡村文旅设施、农村一二三产融合发展用地等。规划留白不得占用永久基本农田、生态保护红线。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beforeLines="150" w:after="489" w:afterLines="150"/>
      </w:pPr>
      <w:bookmarkStart w:id="65" w:name="_Toc221006507"/>
      <w:bookmarkStart w:id="66" w:name="_Toc185608293"/>
      <w:r>
        <w:rPr>
          <w:rFonts w:hint="eastAsia"/>
        </w:rPr>
        <w:t>自然资源保护与利用</w:t>
      </w:r>
      <w:bookmarkEnd w:id="65"/>
      <w:bookmarkEnd w:id="66"/>
    </w:p>
    <w:p>
      <w:pPr>
        <w:pStyle w:val="3"/>
      </w:pPr>
      <w:bookmarkStart w:id="67" w:name="_Toc185608294"/>
      <w:r>
        <w:rPr>
          <w:rFonts w:hint="eastAsia"/>
        </w:rPr>
        <w:t>耕地资源保护与利用</w:t>
      </w:r>
      <w:bookmarkEnd w:id="67"/>
    </w:p>
    <w:p>
      <w:pPr>
        <w:pStyle w:val="4"/>
        <w:spacing w:before="195" w:beforeLines="60" w:after="195" w:afterLines="60" w:line="240" w:lineRule="auto"/>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规划至2035年，全乡耕地保有量不低于</w:t>
      </w:r>
      <w:r>
        <w:rPr>
          <w:u w:val="single"/>
          <w:lang w:bidi="ar"/>
        </w:rPr>
        <w:t>214.10</w:t>
      </w:r>
      <w:r>
        <w:rPr>
          <w:rFonts w:hint="eastAsia"/>
          <w:u w:val="single"/>
          <w:lang w:bidi="ar"/>
        </w:rPr>
        <w:t>公顷</w:t>
      </w:r>
      <w:r>
        <w:rPr>
          <w:u w:val="single"/>
          <w:lang w:bidi="ar"/>
        </w:rPr>
        <w:t>，</w:t>
      </w:r>
      <w:bookmarkStart w:id="68" w:name="_Hlk207123644"/>
      <w:r>
        <w:rPr>
          <w:rFonts w:hint="eastAsia"/>
          <w:u w:val="single"/>
          <w:lang w:bidi="ar"/>
        </w:rPr>
        <w:t>根据上位规划，永久基本农田保护面积不低于</w:t>
      </w:r>
      <w:r>
        <w:rPr>
          <w:u w:val="single"/>
          <w:lang w:bidi="ar"/>
        </w:rPr>
        <w:t>183.11公顷，</w:t>
      </w:r>
      <w:r>
        <w:rPr>
          <w:lang w:bidi="ar"/>
        </w:rPr>
        <w:t>根据永久基本农田核实处置成果，实际落实永久基本农田保护红线面积190.11公顷</w:t>
      </w:r>
      <w:bookmarkEnd w:id="68"/>
      <w:r>
        <w:rPr>
          <w:lang w:bidi="ar"/>
        </w:rPr>
        <w:t>。</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乡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rPr>
        <w:t>规范补充耕地实施。依法依规将非耕地垦造、恢复为稳定利用耕地的，均可作为补充耕地，质量不达标的不得用于占用耕地的补充。各地应结合土地综合整治、高标准农田建设、耕地整改恢复等工作，有序推进补充耕地实施。补充耕地应按规定配套建设农田基础设施，由自然资源主管部门核定补充耕地数量、农业农村主管部门开展补充耕地质量鉴定</w:t>
      </w:r>
      <w:r>
        <w:rPr>
          <w:rFonts w:hint="eastAsia"/>
          <w:lang w:bidi="ar"/>
        </w:rPr>
        <w:t>。</w:t>
      </w:r>
    </w:p>
    <w:p>
      <w:pPr>
        <w:pStyle w:val="4"/>
        <w:spacing w:before="195" w:after="195"/>
      </w:pPr>
      <w:r>
        <w:rPr>
          <w:rFonts w:hint="eastAsia"/>
        </w:rPr>
        <w:t>加强耕地质量建设</w:t>
      </w:r>
    </w:p>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p>
      <w:pPr>
        <w:pStyle w:val="3"/>
        <w:spacing w:before="326" w:beforeLines="100" w:after="326" w:afterLines="100"/>
      </w:pPr>
      <w:bookmarkStart w:id="69" w:name="_Toc185608295"/>
      <w:r>
        <w:rPr>
          <w:rFonts w:hint="eastAsia"/>
        </w:rPr>
        <w:t>森林资源保护与利用</w:t>
      </w:r>
      <w:bookmarkEnd w:id="69"/>
    </w:p>
    <w:p>
      <w:pPr>
        <w:pStyle w:val="4"/>
        <w:spacing w:before="195" w:beforeLines="60" w:after="195" w:afterLines="60" w:line="240" w:lineRule="auto"/>
      </w:pPr>
      <w:r>
        <w:rPr>
          <w:rFonts w:hint="eastAsia"/>
        </w:rPr>
        <w:t>落实</w:t>
      </w:r>
      <w:r>
        <w:t>森林资源</w:t>
      </w:r>
      <w:r>
        <w:rPr>
          <w:rFonts w:hint="eastAsia"/>
        </w:rPr>
        <w:t>保护任务</w:t>
      </w:r>
    </w:p>
    <w:p>
      <w:pPr>
        <w:spacing w:before="65"/>
        <w:ind w:firstLine="640"/>
      </w:pPr>
      <w:r>
        <w:rPr>
          <w:rFonts w:hint="eastAsia"/>
        </w:rPr>
        <w:t>以水源涵养和生物多样性功能提升为目标，不断提高森林覆盖率，巩固和扩大生态空间。优化林业生产布局，针对后湖村、符庄村、玉皇村长兴村周边等重点区域，精准落实绿化空间、科学开展国土绿化。至</w:t>
      </w:r>
      <w:r>
        <w:t>2035年，落实造林绿化空间7.75公顷。</w:t>
      </w:r>
    </w:p>
    <w:p>
      <w:pPr>
        <w:pStyle w:val="4"/>
        <w:spacing w:before="195" w:beforeLines="60" w:after="195" w:afterLines="60" w:line="240" w:lineRule="auto"/>
      </w:pPr>
      <w:r>
        <w:rPr>
          <w:rFonts w:hint="eastAsia"/>
        </w:rPr>
        <w:t>落实完善</w:t>
      </w:r>
      <w:r>
        <w:t>林地分类保护</w:t>
      </w:r>
      <w:r>
        <w:rPr>
          <w:rFonts w:hint="eastAsia"/>
        </w:rPr>
        <w:t>机制</w:t>
      </w:r>
    </w:p>
    <w:p>
      <w:pPr>
        <w:spacing w:before="65"/>
        <w:ind w:firstLine="640"/>
      </w:pPr>
      <w:r>
        <w:rPr>
          <w:rFonts w:hint="eastAsia"/>
        </w:rPr>
        <w:t>板场乡天然林面积</w:t>
      </w:r>
      <w:r>
        <w:t>13028.21公顷，占乡镇面积的83.55%，主要分布于北部山区和西部丘陵区；乡镇生态公益林面积5348.54公顷，占乡镇面积的34.30%，全部位于双庙村、板场村、河口村、让河村、三岔村、龙凤村、符庄村、后湖村、青竹村、玉皇村、冯庄村、长兴村、雁岭村、符竹园村、文龙村、前庄村16个村庄范围内。</w:t>
      </w: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助推内乡县森林城市建设。</w:t>
      </w:r>
    </w:p>
    <w:p>
      <w:pPr>
        <w:pStyle w:val="4"/>
        <w:spacing w:before="195" w:beforeLines="60" w:after="195" w:afterLines="60" w:line="240" w:lineRule="auto"/>
      </w:pPr>
      <w:r>
        <w:rPr>
          <w:rFonts w:hint="eastAsia"/>
        </w:rPr>
        <w:t>促进</w:t>
      </w:r>
      <w:r>
        <w:t>森林资源生态产品价值实现</w:t>
      </w:r>
    </w:p>
    <w:p>
      <w:pPr>
        <w:spacing w:before="65"/>
        <w:ind w:firstLine="640"/>
      </w:pPr>
      <w:r>
        <w:rPr>
          <w:rFonts w:hint="eastAsia"/>
        </w:rPr>
        <w:t>依托板场乡丰富的森林资源，重点</w:t>
      </w:r>
      <w:r>
        <w:t>在</w:t>
      </w:r>
      <w:r>
        <w:rPr>
          <w:rFonts w:hint="eastAsia"/>
        </w:rPr>
        <w:t>乡镇中部推进特色经济林、林下经济、森林旅游等产业化集群建设。以板场乡传统</w:t>
      </w:r>
      <w:r>
        <w:t>林果</w:t>
      </w:r>
      <w:r>
        <w:rPr>
          <w:rFonts w:hint="eastAsia"/>
        </w:rPr>
        <w:t>特色产业为</w:t>
      </w:r>
      <w:r>
        <w:t>依托</w:t>
      </w:r>
      <w:r>
        <w:rPr>
          <w:rFonts w:hint="eastAsia"/>
        </w:rPr>
        <w:t>，推动传统产业优化升级，高标准打造让河村、后湖村</w:t>
      </w:r>
      <w:r>
        <w:t>等</w:t>
      </w:r>
      <w:r>
        <w:rPr>
          <w:rFonts w:hint="eastAsia"/>
        </w:rPr>
        <w:t>森林生产基地。努力推进布局区域化、经营规模化、生产标准化、发展产业化，整合优势资源，以基地建设为载体，围绕“绿色、有机”特色，发展中药材、食用菌、禽类养殖等林下经济。建设和完善接待、餐饮、消防、环卫等设施，提高服务保障能力，加快森林旅游产业发展。推进林业一二三产业融合发展，加快林业产业绿色化、优质化、特色化、品牌化建设。</w:t>
      </w:r>
    </w:p>
    <w:p>
      <w:pPr>
        <w:pStyle w:val="3"/>
        <w:spacing w:before="326" w:beforeLines="100" w:after="326" w:afterLines="100"/>
      </w:pPr>
      <w:bookmarkStart w:id="70" w:name="_Toc185608296"/>
      <w:r>
        <w:rPr>
          <w:rFonts w:hint="eastAsia"/>
        </w:rPr>
        <w:t>湿地资源保护与利用</w:t>
      </w:r>
      <w:bookmarkEnd w:id="70"/>
    </w:p>
    <w:p>
      <w:pPr>
        <w:pStyle w:val="4"/>
        <w:spacing w:before="195" w:beforeLines="60" w:after="195" w:afterLines="60" w:line="240" w:lineRule="auto"/>
      </w:pPr>
      <w:r>
        <w:rPr>
          <w:rFonts w:hint="eastAsia"/>
        </w:rPr>
        <w:t>落实湿地资源保护责任</w:t>
      </w:r>
    </w:p>
    <w:p>
      <w:pPr>
        <w:spacing w:before="65"/>
        <w:ind w:firstLine="640"/>
      </w:pPr>
      <w:r>
        <w:t>加强</w:t>
      </w:r>
      <w:r>
        <w:rPr>
          <w:rFonts w:hint="eastAsia"/>
        </w:rPr>
        <w:t>乡镇</w:t>
      </w:r>
      <w:r>
        <w:t>湿地资源保护</w:t>
      </w:r>
      <w:r>
        <w:rPr>
          <w:rFonts w:hint="eastAsia"/>
        </w:rPr>
        <w:t>，严格保障湿地生态空间，落实</w:t>
      </w:r>
      <w:r>
        <w:t>湿地资源</w:t>
      </w:r>
      <w:r>
        <w:rPr>
          <w:rFonts w:hint="eastAsia"/>
        </w:rPr>
        <w:t>保护</w:t>
      </w:r>
      <w:r>
        <w:t>责任。</w:t>
      </w:r>
      <w:r>
        <w:rPr>
          <w:rFonts w:hint="eastAsia"/>
        </w:rPr>
        <w:t>乡镇</w:t>
      </w:r>
      <w:r>
        <w:t>湿地面积1.66</w:t>
      </w:r>
      <w:r>
        <w:rPr>
          <w:rFonts w:hint="eastAsia"/>
        </w:rPr>
        <w:t>公顷，</w:t>
      </w:r>
      <w:r>
        <w:t>主要</w:t>
      </w:r>
      <w:r>
        <w:rPr>
          <w:rFonts w:hint="eastAsia"/>
        </w:rPr>
        <w:t>分布于</w:t>
      </w:r>
      <w:r>
        <w:rPr>
          <w:rFonts w:hint="eastAsia" w:cs="宋体"/>
        </w:rPr>
        <w:t>鱼道河等</w:t>
      </w:r>
      <w:r>
        <w:rPr>
          <w:rFonts w:cs="宋体"/>
        </w:rPr>
        <w:t>河湖水库周边。</w:t>
      </w:r>
    </w:p>
    <w:p>
      <w:pPr>
        <w:pStyle w:val="4"/>
        <w:spacing w:before="195" w:beforeLines="60" w:after="195" w:afterLines="60" w:line="240" w:lineRule="auto"/>
      </w:pPr>
      <w:r>
        <w:rPr>
          <w:rFonts w:hint="eastAsia"/>
        </w:rPr>
        <w:t>加强湿地保护</w:t>
      </w:r>
      <w:r>
        <w:t>管理</w:t>
      </w:r>
    </w:p>
    <w:p>
      <w:pPr>
        <w:spacing w:before="65"/>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鱼道河、让河</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71" w:name="_Toc185608297"/>
      <w:r>
        <w:t>建设用地节约集约利用</w:t>
      </w:r>
      <w:bookmarkEnd w:id="71"/>
    </w:p>
    <w:p>
      <w:pPr>
        <w:pStyle w:val="4"/>
        <w:spacing w:before="195" w:beforeLines="60" w:after="195" w:afterLines="60" w:line="240" w:lineRule="auto"/>
      </w:pPr>
      <w:r>
        <w:rPr>
          <w:rFonts w:hint="eastAsia"/>
        </w:rPr>
        <w:t>实行总量控制，保障建设</w:t>
      </w:r>
      <w:r>
        <w:t>用地需求。</w:t>
      </w:r>
    </w:p>
    <w:p>
      <w:pPr>
        <w:spacing w:before="48" w:after="163" w:afterLines="50"/>
        <w:ind w:firstLine="640"/>
        <w:rPr>
          <w:rFonts w:cs="宋体"/>
          <w:lang w:bidi="ar"/>
        </w:rPr>
      </w:pPr>
      <w:bookmarkStart w:id="72" w:name="_Hlk207123797"/>
      <w:r>
        <w:rPr>
          <w:rFonts w:hint="eastAsia" w:cs="宋体"/>
          <w:lang w:bidi="ar"/>
        </w:rPr>
        <w:t>严控新增城乡用地规模。规划期末，城镇建设用地规模不超过</w:t>
      </w:r>
      <w:r>
        <w:rPr>
          <w:rFonts w:cs="宋体"/>
          <w:lang w:bidi="ar"/>
        </w:rPr>
        <w:t>19.70</w:t>
      </w:r>
      <w:r>
        <w:rPr>
          <w:rFonts w:hint="eastAsia" w:cs="宋体"/>
          <w:lang w:bidi="ar"/>
        </w:rPr>
        <w:t>公顷，村庄建设用地不超过</w:t>
      </w:r>
      <w:r>
        <w:rPr>
          <w:rFonts w:cs="宋体"/>
          <w:lang w:bidi="ar"/>
        </w:rPr>
        <w:t>435.63</w:t>
      </w:r>
      <w:r>
        <w:rPr>
          <w:rFonts w:hint="eastAsia" w:cs="宋体"/>
          <w:lang w:bidi="ar"/>
        </w:rPr>
        <w:t>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65" w:after="163" w:afterLines="50"/>
        <w:ind w:firstLine="640"/>
        <w:rPr>
          <w:rFonts w:cs="宋体"/>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乡域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72"/>
      <w:r>
        <w:rPr>
          <w:rFonts w:cs="宋体"/>
          <w:lang w:bidi="ar"/>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内乡县农村宅基地和村民自建住房管理办法（试行）</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spacing w:before="326" w:beforeLines="100" w:after="326" w:afterLines="100"/>
      </w:pPr>
      <w:bookmarkStart w:id="73" w:name="_Toc185608298"/>
      <w:r>
        <w:rPr>
          <w:rFonts w:hint="eastAsia"/>
        </w:rPr>
        <w:t>水资源保护与利用</w:t>
      </w:r>
      <w:bookmarkEnd w:id="73"/>
    </w:p>
    <w:p>
      <w:pPr>
        <w:pStyle w:val="4"/>
        <w:spacing w:before="195" w:after="195"/>
      </w:pPr>
      <w:r>
        <w:rPr>
          <w:rFonts w:hint="eastAsia"/>
        </w:rPr>
        <w:t>落实水源保护范围</w:t>
      </w:r>
    </w:p>
    <w:p>
      <w:pPr>
        <w:spacing w:before="65"/>
        <w:ind w:firstLine="640"/>
      </w:pPr>
      <w:bookmarkStart w:id="74" w:name="_Hlk207124065"/>
      <w:r>
        <w:rPr>
          <w:rFonts w:hint="eastAsia"/>
        </w:rPr>
        <w:t>落实内乡县板场乡地下水井范围</w:t>
      </w:r>
      <w:r>
        <w:t>12.54</w:t>
      </w:r>
      <w:r>
        <w:rPr>
          <w:rFonts w:hint="eastAsia"/>
        </w:rPr>
        <w:t>公顷，为一级保护区，位于板场乡河口村南部</w:t>
      </w:r>
      <w:bookmarkEnd w:id="74"/>
      <w:r>
        <w:t>。</w:t>
      </w:r>
    </w:p>
    <w:p>
      <w:pPr>
        <w:pStyle w:val="4"/>
        <w:spacing w:before="195" w:after="195"/>
      </w:pPr>
      <w:r>
        <w:rPr>
          <w:rFonts w:hint="eastAsia"/>
        </w:rPr>
        <w:t>加强河湖水域岸线空间管控及水生态治理</w:t>
      </w:r>
    </w:p>
    <w:p>
      <w:pPr>
        <w:spacing w:before="65"/>
        <w:ind w:firstLine="640"/>
      </w:pPr>
      <w:r>
        <w:rPr>
          <w:rFonts w:hint="eastAsia"/>
        </w:rPr>
        <w:t>落实河湖水系范围，包括后河、酿河（让河）、鱼道河、东让河，管理范围面积</w:t>
      </w:r>
      <w:r>
        <w:t>9.25平方千米，</w:t>
      </w:r>
      <w:r>
        <w:rPr>
          <w:rFonts w:hint="eastAsia"/>
        </w:rPr>
        <w:t>管理</w:t>
      </w:r>
      <w:r>
        <w:t>范围面积2.09平方千米。</w:t>
      </w:r>
    </w:p>
    <w:p>
      <w:pPr>
        <w:spacing w:before="65"/>
        <w:ind w:firstLine="640"/>
      </w:pPr>
      <w:r>
        <w:t>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北金堤滞洪区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乡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全乡</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pStyle w:val="3"/>
      </w:pPr>
      <w:bookmarkStart w:id="75" w:name="_Hlk200530993"/>
      <w:r>
        <w:rPr>
          <w:rFonts w:hint="eastAsia"/>
        </w:rPr>
        <w:t>矿产资源保护和利用</w:t>
      </w:r>
    </w:p>
    <w:p>
      <w:pPr>
        <w:pStyle w:val="4"/>
        <w:spacing w:before="195" w:beforeLines="60" w:after="195" w:afterLines="60" w:line="240" w:lineRule="auto"/>
      </w:pPr>
      <w:r>
        <w:t>保护与利用目标</w:t>
      </w:r>
    </w:p>
    <w:p>
      <w:pPr>
        <w:ind w:firstLine="640"/>
      </w:pPr>
      <w:r>
        <w:rPr>
          <w:rFonts w:hint="eastAsia"/>
        </w:rPr>
        <w:t>统筹协调矿产资源开发与保护的关系，严格控制矿产资源开发强度，优化矿产资源勘查和开发利用布局，提高矿产资源综合利用效率，推进矿山地质环境恢复治理体系建设。</w:t>
      </w:r>
    </w:p>
    <w:p>
      <w:pPr>
        <w:ind w:firstLine="640"/>
      </w:pPr>
      <w:r>
        <w:rPr>
          <w:rFonts w:hint="eastAsia"/>
        </w:rPr>
        <w:t>确定矿产资源开发的主要区域。划定王行庄井田—赵家寨井田煤炭矿区为煤炭重点开采区，在重点开采区内加强统筹部署，优先出让采矿权，积极引导各类要素向重点开采区集聚。</w:t>
      </w:r>
    </w:p>
    <w:p>
      <w:pPr>
        <w:ind w:firstLine="640"/>
      </w:pPr>
      <w:r>
        <w:rPr>
          <w:rFonts w:hint="eastAsia"/>
        </w:rPr>
        <w:t>明确矿产开发的“三率”指标。大力推动主要矿种生产矿产采用先进的采选技术和设备，矿产资源利用指标不得低于国家规定、行业标准和自然资源部门制定的最低“三率”指标要求。煤炭回采率不低于</w:t>
      </w:r>
      <w:r>
        <w:t>80%，煤矸石综合利用率不低</w:t>
      </w:r>
      <w:r>
        <w:rPr>
          <w:rFonts w:hint="eastAsia"/>
        </w:rPr>
        <w:t>于</w:t>
      </w:r>
      <w:r>
        <w:t>75%。到2035年，矿产资源保障程度进一步提升，资源</w:t>
      </w:r>
      <w:r>
        <w:rPr>
          <w:rFonts w:hint="eastAsia"/>
        </w:rPr>
        <w:t>供应能力持续稳定，矿区生态环境实现根本好转，矿业实现全面转型升级和绿色发展，生态保护和矿业高质量发展相协调的发展格局全面形成。</w:t>
      </w:r>
    </w:p>
    <w:p>
      <w:pPr>
        <w:pStyle w:val="4"/>
        <w:spacing w:before="195" w:beforeLines="60" w:after="195" w:afterLines="60" w:line="240" w:lineRule="auto"/>
      </w:pPr>
      <w:r>
        <w:t>加快推进绿色矿区建设</w:t>
      </w:r>
    </w:p>
    <w:p>
      <w:pPr>
        <w:ind w:firstLine="640"/>
      </w:pPr>
      <w:r>
        <w:rPr>
          <w:rFonts w:hint="eastAsia"/>
        </w:rPr>
        <w:t>以矿产开发综合利用、生态环境保护和促进矿地和谐为主要目标，督促和支持企业统筹矿产开采与环境保护、企业发展与社区建设的关系，通过创建绿色矿业示范单位，带动和推进绿色矿区、和谐矿区建设。规划期内，建立完善的绿色矿区建设和管理制度，研究形成配套绿色矿区建设的激励政策。</w:t>
      </w:r>
    </w:p>
    <w:p>
      <w:pPr>
        <w:pStyle w:val="4"/>
        <w:spacing w:before="195" w:beforeLines="60" w:after="195" w:afterLines="60" w:line="240" w:lineRule="auto"/>
      </w:pPr>
      <w:r>
        <w:t>提高矿产资源开发利用水平</w:t>
      </w:r>
    </w:p>
    <w:p>
      <w:pPr>
        <w:ind w:firstLine="640"/>
      </w:pPr>
      <w:r>
        <w:rPr>
          <w:rFonts w:hint="eastAsia"/>
        </w:rPr>
        <w:t>合理处置</w:t>
      </w:r>
      <w:r>
        <w:rPr>
          <w:rFonts w:hint="eastAsia" w:ascii="仿宋_GB2312" w:hAnsi="仿宋_GB2312" w:cs="仿宋_GB2312"/>
        </w:rPr>
        <w:t>现状矿业权，促进产业转型升级，提高资源集</w:t>
      </w:r>
      <w:r>
        <w:rPr>
          <w:rFonts w:hint="eastAsia"/>
        </w:rPr>
        <w:t>中度，规模会、集约化开发利用矿产资源。强化资源高效利用技术、废石尾矿资源化利用技术及节能环保关键技术的应用，向无尾矿、无废弃物矿产发展。加强共生矿、伴生矿等各类资源综合利用情况调查与可利用评价，支撑矿产资源综合利用、梯次利用、循环利用。</w:t>
      </w:r>
    </w:p>
    <w:bookmarkEnd w:id="75"/>
    <w:p>
      <w:pPr>
        <w:spacing w:before="65"/>
        <w:ind w:firstLine="640"/>
      </w:pPr>
      <w:r>
        <w:br w:type="page"/>
      </w:r>
    </w:p>
    <w:p>
      <w:pPr>
        <w:spacing w:before="65"/>
        <w:ind w:firstLine="640"/>
      </w:pPr>
    </w:p>
    <w:p>
      <w:pPr>
        <w:pStyle w:val="2"/>
        <w:spacing w:before="489" w:beforeLines="150" w:after="489" w:afterLines="150"/>
      </w:pPr>
      <w:bookmarkStart w:id="76" w:name="_Toc185608299"/>
      <w:bookmarkStart w:id="77" w:name="_Toc221006508"/>
      <w:r>
        <w:rPr>
          <w:rFonts w:hint="eastAsia"/>
        </w:rPr>
        <w:t>产业规划</w:t>
      </w:r>
      <w:bookmarkEnd w:id="76"/>
      <w:bookmarkEnd w:id="77"/>
    </w:p>
    <w:p>
      <w:pPr>
        <w:pStyle w:val="3"/>
        <w:spacing w:before="326" w:beforeLines="100" w:after="326" w:afterLines="100"/>
      </w:pPr>
      <w:bookmarkStart w:id="78" w:name="_Toc185608300"/>
      <w:r>
        <w:rPr>
          <w:rFonts w:hint="eastAsia"/>
        </w:rPr>
        <w:t>产业规划</w:t>
      </w:r>
      <w:bookmarkEnd w:id="78"/>
    </w:p>
    <w:p>
      <w:pPr>
        <w:pStyle w:val="4"/>
        <w:spacing w:before="195" w:beforeLines="60" w:after="195" w:afterLines="60" w:line="240" w:lineRule="auto"/>
      </w:pPr>
      <w:r>
        <w:rPr>
          <w:rFonts w:hint="eastAsia"/>
        </w:rPr>
        <w:t>产业发展策略</w:t>
      </w:r>
    </w:p>
    <w:p>
      <w:pPr>
        <w:spacing w:before="65"/>
        <w:ind w:firstLine="640"/>
      </w:pPr>
      <w:r>
        <w:rPr>
          <w:rFonts w:hint="eastAsia"/>
        </w:rPr>
        <w:t>促进农村一二三产融合发展。推动农村产业深度融合，不断拓展乡村多种功能，培育农村新产业新业态，发展特色小镇，发展壮大乡村产业。</w:t>
      </w:r>
    </w:p>
    <w:p>
      <w:pPr>
        <w:spacing w:before="65"/>
        <w:ind w:firstLine="640"/>
      </w:pPr>
      <w:r>
        <w:rPr>
          <w:rFonts w:hint="eastAsia"/>
        </w:rPr>
        <w:t>培育乡村发展新动能。支持发展特色农业、休闲农业、现代农业产品加工业、乡村旅游业、电子商务等产业。培育新产业、新业态、新模式</w:t>
      </w:r>
      <w:r>
        <w:t>。</w:t>
      </w:r>
    </w:p>
    <w:p>
      <w:pPr>
        <w:pStyle w:val="4"/>
        <w:spacing w:before="195" w:beforeLines="60" w:after="195" w:afterLines="60" w:line="240" w:lineRule="auto"/>
      </w:pPr>
      <w:r>
        <w:rPr>
          <w:rFonts w:hint="eastAsia"/>
        </w:rPr>
        <w:t>产业发展定位</w:t>
      </w:r>
    </w:p>
    <w:p>
      <w:pPr>
        <w:spacing w:before="65"/>
        <w:ind w:firstLine="640"/>
      </w:pPr>
      <w:r>
        <w:rPr>
          <w:rFonts w:hint="eastAsia"/>
        </w:rPr>
        <w:t>结合上位规划和现有发展条件及优势，板场乡产业发展定位为：板材加工、特色农副产品加工、生态旅游小镇。</w:t>
      </w:r>
    </w:p>
    <w:p>
      <w:pPr>
        <w:spacing w:before="65"/>
        <w:ind w:firstLine="640"/>
      </w:pPr>
      <w:r>
        <w:rPr>
          <w:rFonts w:hint="eastAsia"/>
        </w:rPr>
        <w:t>第一产业突出农业特色，重点发展食用菌种植。第二产业重点发展板材加工。第三产业提升旅游服务能力，重点发展生态旅游。推动一二三产业融合发展，全力布局特色农业，统筹推进农产品初加工、精深加工，提高农业综合效益；打造农旅示范区，积极开发美丽乡村体验、特色小镇休闲娱乐等业态，完善旅游服务设施，推动全乡旅游发展。</w:t>
      </w:r>
    </w:p>
    <w:p>
      <w:pPr>
        <w:pStyle w:val="4"/>
        <w:spacing w:before="195" w:beforeLines="60" w:after="195" w:afterLines="60" w:line="240" w:lineRule="auto"/>
      </w:pPr>
      <w:r>
        <w:rPr>
          <w:rFonts w:hint="eastAsia"/>
        </w:rPr>
        <w:t>优化产业布局</w:t>
      </w:r>
    </w:p>
    <w:p>
      <w:pPr>
        <w:spacing w:before="65"/>
        <w:ind w:firstLine="640"/>
      </w:pPr>
      <w:r>
        <w:rPr>
          <w:rFonts w:hint="eastAsia"/>
        </w:rPr>
        <w:t>统筹产业发展方向及产业用地需求，规划形成“两心、两轴、三区、多基地”的产业布局。</w:t>
      </w:r>
    </w:p>
    <w:p>
      <w:pPr>
        <w:spacing w:before="65"/>
        <w:ind w:firstLine="640"/>
      </w:pPr>
      <w:r>
        <w:rPr>
          <w:rFonts w:hint="eastAsia"/>
        </w:rPr>
        <w:t>两心：主要结合集镇区和后湖村商贸服务设施形成的综合服务中心。</w:t>
      </w:r>
    </w:p>
    <w:p>
      <w:pPr>
        <w:spacing w:before="65"/>
        <w:ind w:firstLine="640"/>
      </w:pPr>
      <w:r>
        <w:rPr>
          <w:rFonts w:hint="eastAsia"/>
        </w:rPr>
        <w:t>两轴：沿</w:t>
      </w:r>
      <w:r>
        <w:t>G241、Y001形成的“T字型”产业发展轴，串联乡镇内村庄及发展节点。</w:t>
      </w:r>
    </w:p>
    <w:p>
      <w:pPr>
        <w:spacing w:before="65"/>
        <w:ind w:firstLine="640"/>
      </w:pPr>
      <w:r>
        <w:rPr>
          <w:rFonts w:hint="eastAsia"/>
        </w:rPr>
        <w:t>三区：北部、西部主要为生态保育区；中部为矿产发展区，延续传统板材加工产业，北部为旅游发展区，依托二龙山旅游风景区建设生态旅游示范区。</w:t>
      </w:r>
    </w:p>
    <w:p>
      <w:pPr>
        <w:spacing w:before="65"/>
        <w:ind w:firstLine="640"/>
      </w:pPr>
      <w:r>
        <w:rPr>
          <w:rFonts w:hint="eastAsia"/>
        </w:rPr>
        <w:t>多基地：主要发挥特色优势农业，打造板材加工、林果、食用菌、二龙山生态旅游等多个特色基地。</w:t>
      </w:r>
    </w:p>
    <w:p>
      <w:pPr>
        <w:pStyle w:val="3"/>
      </w:pPr>
      <w:bookmarkStart w:id="79" w:name="_Hlk200531043"/>
      <w:r>
        <w:rPr>
          <w:rFonts w:hint="eastAsia"/>
        </w:rPr>
        <w:t>产业用地保障</w:t>
      </w:r>
    </w:p>
    <w:p>
      <w:pPr>
        <w:pStyle w:val="4"/>
        <w:spacing w:before="195" w:after="195"/>
      </w:pPr>
      <w:r>
        <w:rPr>
          <w:rFonts w:hint="eastAsia"/>
        </w:rPr>
        <w:t>产业准入清单</w:t>
      </w:r>
    </w:p>
    <w:p>
      <w:pPr>
        <w:spacing w:before="65"/>
        <w:ind w:firstLine="640"/>
      </w:pPr>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在村庄建设边界内，主要布局一直接服务种植养殖业的</w:t>
      </w:r>
      <w:bookmarkStart w:id="80" w:name="_Hlk207382782"/>
      <w:r>
        <w:rPr>
          <w:rFonts w:hint="eastAsia"/>
        </w:rPr>
        <w:t>农产品加工、电子商务、仓储保鲜冷链、产地低温直销配送等一二三产融合发展项目</w:t>
      </w:r>
      <w:bookmarkEnd w:id="80"/>
      <w:r>
        <w:rPr>
          <w:rFonts w:hint="eastAsia"/>
        </w:rPr>
        <w:t>，不得布局对居民生活产生较大影响和污染严重的产业。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在乡镇范围内，原则上不得布局三类工业、危化品生产存储以及其他污染严重的产业，确需布局的，应征得板场乡人民政府或内乡县自然资源局以及相关主管部门的同意。</w:t>
      </w:r>
    </w:p>
    <w:p>
      <w:pPr>
        <w:pStyle w:val="4"/>
      </w:pPr>
      <w:bookmarkStart w:id="81"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81"/>
    <w:p>
      <w:pPr>
        <w:pStyle w:val="4"/>
        <w:spacing w:before="195" w:after="195"/>
      </w:pPr>
      <w:r>
        <w:rPr>
          <w:rFonts w:hint="eastAsia"/>
        </w:rPr>
        <w:t>产业用地管控</w:t>
      </w:r>
    </w:p>
    <w:p>
      <w:pPr>
        <w:spacing w:before="65"/>
        <w:ind w:firstLine="640"/>
      </w:pPr>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bookmarkStart w:id="82" w:name="_Hlk200523747"/>
    </w:p>
    <w:p>
      <w:pPr>
        <w:spacing w:before="65"/>
        <w:ind w:firstLine="640"/>
      </w:pPr>
      <w:bookmarkStart w:id="83" w:name="_Hlk200524039"/>
      <w:r>
        <w:rPr>
          <w:rFonts w:hint="eastAsia"/>
        </w:rPr>
        <w:t>因板场乡全域位于地质灾害高风险区内，符合准入标准的产业项目应先开展地质灾害危险性评估，确定不位于地质灾害高/极高风险区内方可进行规划建设。</w:t>
      </w:r>
    </w:p>
    <w:bookmarkEnd w:id="79"/>
    <w:bookmarkEnd w:id="82"/>
    <w:bookmarkEnd w:id="83"/>
    <w:p>
      <w:pPr>
        <w:spacing w:before="65"/>
        <w:ind w:firstLine="640"/>
      </w:pPr>
      <w:r>
        <w:br w:type="page"/>
      </w:r>
    </w:p>
    <w:p>
      <w:pPr>
        <w:spacing w:before="65"/>
        <w:ind w:firstLine="640"/>
      </w:pPr>
    </w:p>
    <w:p>
      <w:pPr>
        <w:pStyle w:val="2"/>
        <w:spacing w:before="489" w:beforeLines="150" w:after="489" w:afterLines="150"/>
      </w:pPr>
      <w:bookmarkStart w:id="84" w:name="_Toc221006509"/>
      <w:bookmarkStart w:id="85" w:name="_Toc185608301"/>
      <w:r>
        <w:rPr>
          <w:rFonts w:hint="eastAsia"/>
        </w:rPr>
        <w:t>村庄布局</w:t>
      </w:r>
      <w:bookmarkEnd w:id="84"/>
      <w:bookmarkEnd w:id="85"/>
    </w:p>
    <w:p>
      <w:pPr>
        <w:pStyle w:val="3"/>
        <w:spacing w:before="326" w:beforeLines="100" w:after="326" w:afterLines="100"/>
      </w:pPr>
      <w:bookmarkStart w:id="86" w:name="_Toc185608302"/>
      <w:r>
        <w:rPr>
          <w:rFonts w:hint="eastAsia"/>
        </w:rPr>
        <w:t>乡镇人口预测</w:t>
      </w:r>
      <w:bookmarkEnd w:id="86"/>
    </w:p>
    <w:p>
      <w:pPr>
        <w:pStyle w:val="4"/>
        <w:spacing w:before="195" w:beforeLines="60" w:after="195" w:afterLines="60" w:line="240" w:lineRule="auto"/>
        <w:rPr>
          <w:lang w:val="zh-CN"/>
        </w:rPr>
      </w:pPr>
      <w:r>
        <w:rPr>
          <w:rFonts w:hint="eastAsia"/>
          <w:lang w:val="zh-CN"/>
        </w:rPr>
        <w:t>人口规模预测</w:t>
      </w:r>
    </w:p>
    <w:p>
      <w:pPr>
        <w:ind w:firstLine="640"/>
      </w:pPr>
      <w:r>
        <w:rPr>
          <w:rFonts w:hint="eastAsia"/>
        </w:rPr>
        <w:t>1</w:t>
      </w:r>
      <w:r>
        <w:t>.</w:t>
      </w:r>
      <w:r>
        <w:rPr>
          <w:rFonts w:hint="eastAsia"/>
        </w:rPr>
        <w:t>乡镇</w:t>
      </w:r>
      <w:r>
        <w:t>户籍人口</w:t>
      </w:r>
    </w:p>
    <w:p>
      <w:pPr>
        <w:ind w:firstLine="640"/>
        <w:rPr>
          <w:rFonts w:ascii="Times New Roman" w:hAnsi="Times New Roman"/>
        </w:rPr>
      </w:pPr>
      <w:r>
        <w:rPr>
          <w:rFonts w:ascii="Times New Roman" w:hAnsi="Times New Roman"/>
        </w:rPr>
        <w:t>规划基期年，</w:t>
      </w:r>
      <w:r>
        <w:rPr>
          <w:rFonts w:hint="eastAsia" w:ascii="Times New Roman" w:hAnsi="Times New Roman"/>
        </w:rPr>
        <w:t>乡镇</w:t>
      </w:r>
      <w:r>
        <w:rPr>
          <w:rFonts w:ascii="Times New Roman" w:hAnsi="Times New Roman"/>
        </w:rPr>
        <w:t>户籍总人口</w:t>
      </w:r>
      <w:r>
        <w:t>12201</w:t>
      </w:r>
      <w:r>
        <w:rPr>
          <w:rFonts w:ascii="Times New Roman" w:hAnsi="Times New Roman"/>
        </w:rPr>
        <w:t>人。至2025年，</w:t>
      </w:r>
      <w:r>
        <w:rPr>
          <w:rFonts w:hint="eastAsia" w:ascii="Times New Roman" w:hAnsi="Times New Roman"/>
        </w:rPr>
        <w:t>乡镇</w:t>
      </w:r>
      <w:r>
        <w:rPr>
          <w:rFonts w:ascii="Times New Roman" w:hAnsi="Times New Roman"/>
        </w:rPr>
        <w:t>户籍总人口1.10</w:t>
      </w:r>
      <w:r>
        <w:rPr>
          <w:rFonts w:hint="eastAsia" w:ascii="Times New Roman" w:hAnsi="Times New Roman"/>
        </w:rPr>
        <w:t>万</w:t>
      </w:r>
      <w:r>
        <w:rPr>
          <w:rFonts w:ascii="Times New Roman" w:hAnsi="Times New Roman"/>
        </w:rPr>
        <w:t>人；至2035年，</w:t>
      </w:r>
      <w:r>
        <w:rPr>
          <w:rFonts w:hint="eastAsia" w:ascii="Times New Roman" w:hAnsi="Times New Roman"/>
        </w:rPr>
        <w:t>乡镇</w:t>
      </w:r>
      <w:r>
        <w:rPr>
          <w:rFonts w:ascii="Times New Roman" w:hAnsi="Times New Roman"/>
        </w:rPr>
        <w:t>户籍总人口0.95</w:t>
      </w:r>
      <w:r>
        <w:rPr>
          <w:rFonts w:hint="eastAsia" w:ascii="Times New Roman" w:hAnsi="Times New Roman"/>
        </w:rPr>
        <w:t>万</w:t>
      </w:r>
      <w:r>
        <w:rPr>
          <w:rFonts w:ascii="Times New Roman" w:hAnsi="Times New Roman"/>
        </w:rPr>
        <w:t>人。</w:t>
      </w:r>
    </w:p>
    <w:p>
      <w:pPr>
        <w:ind w:firstLine="640"/>
      </w:pPr>
      <w:r>
        <w:rPr>
          <w:rFonts w:hint="eastAsia"/>
        </w:rPr>
        <w:t>2</w:t>
      </w:r>
      <w:r>
        <w:t>.</w:t>
      </w:r>
      <w:r>
        <w:rPr>
          <w:rFonts w:hint="eastAsia"/>
        </w:rPr>
        <w:t>乡镇</w:t>
      </w:r>
      <w:r>
        <w:t>常住人口</w:t>
      </w:r>
    </w:p>
    <w:p>
      <w:pPr>
        <w:ind w:firstLine="640"/>
        <w:rPr>
          <w:rFonts w:ascii="Times New Roman" w:hAnsi="Times New Roman"/>
        </w:rPr>
      </w:pPr>
      <w:r>
        <w:rPr>
          <w:rFonts w:ascii="Times New Roman" w:hAnsi="Times New Roman"/>
        </w:rPr>
        <w:t>规划基期年，</w:t>
      </w:r>
      <w:r>
        <w:rPr>
          <w:rFonts w:hint="eastAsia" w:ascii="Times New Roman" w:hAnsi="Times New Roman"/>
        </w:rPr>
        <w:t>乡镇</w:t>
      </w:r>
      <w:r>
        <w:rPr>
          <w:rFonts w:ascii="Times New Roman" w:hAnsi="Times New Roman"/>
        </w:rPr>
        <w:t>常住总人口</w:t>
      </w:r>
      <w:r>
        <w:t>7804</w:t>
      </w:r>
      <w:r>
        <w:rPr>
          <w:rFonts w:ascii="Times New Roman" w:hAnsi="Times New Roman"/>
        </w:rPr>
        <w:t>人。至2025年，</w:t>
      </w:r>
      <w:r>
        <w:rPr>
          <w:rFonts w:hint="eastAsia" w:ascii="Times New Roman" w:hAnsi="Times New Roman"/>
        </w:rPr>
        <w:t>乡镇</w:t>
      </w:r>
      <w:r>
        <w:rPr>
          <w:rFonts w:ascii="Times New Roman" w:hAnsi="Times New Roman"/>
        </w:rPr>
        <w:t>常住总人口</w:t>
      </w:r>
      <w:r>
        <w:rPr>
          <w:rFonts w:hint="eastAsia" w:ascii="Times New Roman" w:hAnsi="Times New Roman"/>
        </w:rPr>
        <w:t>0</w:t>
      </w:r>
      <w:r>
        <w:rPr>
          <w:rFonts w:ascii="Times New Roman" w:hAnsi="Times New Roman"/>
        </w:rPr>
        <w:t>.72</w:t>
      </w:r>
      <w:r>
        <w:rPr>
          <w:rFonts w:hint="eastAsia" w:ascii="Times New Roman" w:hAnsi="Times New Roman"/>
        </w:rPr>
        <w:t>万</w:t>
      </w:r>
      <w:r>
        <w:rPr>
          <w:rFonts w:ascii="Times New Roman" w:hAnsi="Times New Roman"/>
        </w:rPr>
        <w:t>人；至2035年，</w:t>
      </w:r>
      <w:r>
        <w:rPr>
          <w:rFonts w:hint="eastAsia" w:ascii="Times New Roman" w:hAnsi="Times New Roman"/>
        </w:rPr>
        <w:t>乡镇</w:t>
      </w:r>
      <w:r>
        <w:rPr>
          <w:rFonts w:ascii="Times New Roman" w:hAnsi="Times New Roman"/>
        </w:rPr>
        <w:t>常住总人口0.65</w:t>
      </w:r>
      <w:r>
        <w:rPr>
          <w:rFonts w:hint="eastAsia" w:ascii="Times New Roman" w:hAnsi="Times New Roman"/>
        </w:rPr>
        <w:t>万</w:t>
      </w:r>
      <w:r>
        <w:rPr>
          <w:rFonts w:ascii="Times New Roman" w:hAnsi="Times New Roman"/>
        </w:rPr>
        <w:t>人。</w:t>
      </w:r>
    </w:p>
    <w:p>
      <w:pPr>
        <w:ind w:firstLine="640"/>
      </w:pPr>
      <w:r>
        <w:rPr>
          <w:rFonts w:hint="eastAsia"/>
        </w:rPr>
        <w:t>3</w:t>
      </w:r>
      <w:r>
        <w:t>.集镇区人口规模</w:t>
      </w:r>
    </w:p>
    <w:p>
      <w:pPr>
        <w:ind w:firstLine="640"/>
        <w:rPr>
          <w:rFonts w:ascii="Times New Roman" w:hAnsi="Times New Roman"/>
        </w:rPr>
      </w:pPr>
      <w:r>
        <w:rPr>
          <w:rFonts w:ascii="Times New Roman" w:hAnsi="Times New Roman"/>
        </w:rPr>
        <w:t>2020年底，现状建成区总人口为1432人；预测近期至2025年，集镇区常住人口规模为1581人；预测远期至2035年，集镇区常住人口规模为1746人。</w:t>
      </w:r>
    </w:p>
    <w:p>
      <w:pPr>
        <w:pStyle w:val="3"/>
        <w:spacing w:before="326" w:beforeLines="100" w:after="326" w:afterLines="100"/>
      </w:pPr>
      <w:bookmarkStart w:id="87" w:name="_Toc185608303"/>
      <w:r>
        <w:rPr>
          <w:rFonts w:hint="eastAsia"/>
        </w:rPr>
        <w:t>村庄分类布局</w:t>
      </w:r>
      <w:bookmarkEnd w:id="87"/>
    </w:p>
    <w:p>
      <w:pPr>
        <w:pStyle w:val="4"/>
        <w:spacing w:before="195" w:beforeLines="60" w:after="195" w:afterLines="60" w:line="240" w:lineRule="auto"/>
      </w:pPr>
      <w:r>
        <w:rPr>
          <w:rFonts w:hint="eastAsia"/>
        </w:rPr>
        <w:t>村庄分类</w:t>
      </w:r>
    </w:p>
    <w:p>
      <w:pPr>
        <w:spacing w:before="65"/>
        <w:ind w:firstLine="640"/>
      </w:pPr>
      <w:r>
        <w:rPr>
          <w:rFonts w:hint="eastAsia"/>
        </w:rPr>
        <w:t>乡镇共有</w:t>
      </w:r>
      <w:r>
        <w:t>16个行政村，其中1个城郊融合类、3个集聚提升类、1个特色保护类和11个整治改善类</w:t>
      </w:r>
      <w:r>
        <w:rPr>
          <w:rFonts w:hint="eastAsia"/>
        </w:rPr>
        <w:t>。</w:t>
      </w:r>
    </w:p>
    <w:p>
      <w:pPr>
        <w:pStyle w:val="4"/>
        <w:spacing w:before="195" w:beforeLines="60" w:after="195" w:afterLines="60" w:line="240" w:lineRule="auto"/>
      </w:pPr>
      <w:r>
        <w:rPr>
          <w:rFonts w:hint="eastAsia"/>
        </w:rPr>
        <w:t>村庄</w:t>
      </w:r>
      <w:r>
        <w:t>发展引导</w:t>
      </w:r>
    </w:p>
    <w:p>
      <w:pPr>
        <w:spacing w:before="65"/>
        <w:ind w:firstLine="640"/>
      </w:pPr>
      <w:r>
        <w:rPr>
          <w:rFonts w:hint="eastAsia"/>
        </w:rPr>
        <w:t>板场村等城郊融合类村庄应综合考虑工业化、城镇化和村庄自身发展需要，加快城乡产业融合发展、基础设施互联互通、公共服务共建共享，在形态上保留乡村风貌，在治理上体现城市水平，逐步强化服务城镇发展、承接城镇功能外溢的作用。</w:t>
      </w:r>
    </w:p>
    <w:p>
      <w:pPr>
        <w:spacing w:before="65"/>
        <w:ind w:firstLine="640"/>
      </w:pPr>
      <w:r>
        <w:rPr>
          <w:rFonts w:hint="eastAsia"/>
        </w:rPr>
        <w:t>后湖村、双庙村、雁岭村等</w:t>
      </w:r>
      <w:r>
        <w:t>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65"/>
        <w:ind w:firstLine="640"/>
      </w:pPr>
      <w:r>
        <w:rPr>
          <w:rFonts w:hint="eastAsia"/>
        </w:rPr>
        <w:t>让河村等</w:t>
      </w:r>
      <w:r>
        <w:t>特色保护类村庄</w:t>
      </w:r>
      <w:r>
        <w:rPr>
          <w:rFonts w:hint="eastAsia"/>
        </w:rPr>
        <w:t>应以</w:t>
      </w:r>
      <w:r>
        <w:t>保护优先，活化利用，重点完善旅游配套、提升服务产业</w:t>
      </w:r>
      <w:r>
        <w:rPr>
          <w:rFonts w:hint="eastAsia"/>
        </w:rPr>
        <w:t>，</w:t>
      </w:r>
      <w:r>
        <w:t>统筹保护、利用与发展的关系，努力保持村庄的完整性、真实性和延续性。</w:t>
      </w:r>
      <w:r>
        <w:rPr>
          <w:rFonts w:hint="eastAsia"/>
        </w:rPr>
        <w:t>让河村以</w:t>
      </w:r>
      <w:r>
        <w:t>发展</w:t>
      </w:r>
      <w:r>
        <w:rPr>
          <w:rFonts w:hint="eastAsia"/>
        </w:rPr>
        <w:t>特色</w:t>
      </w:r>
      <w:r>
        <w:t>产业</w:t>
      </w:r>
      <w:r>
        <w:rPr>
          <w:rFonts w:hint="eastAsia"/>
        </w:rPr>
        <w:t>为基础</w:t>
      </w:r>
      <w:r>
        <w:t>，加快改善村庄基础设施和公共环境，合理利用村庄特色资源，发展乡村旅游和特色产业</w:t>
      </w:r>
      <w:r>
        <w:rPr>
          <w:rFonts w:hint="eastAsia"/>
        </w:rPr>
        <w:t>。</w:t>
      </w:r>
    </w:p>
    <w:p>
      <w:pPr>
        <w:spacing w:before="65"/>
        <w:ind w:firstLine="640"/>
      </w:pPr>
      <w:r>
        <w:rPr>
          <w:rFonts w:hint="eastAsia"/>
        </w:rPr>
        <w:t>河口村、冯庄村、符竹园村、符庄村、龙凤村、前庄村、青竹村、文龙村、玉皇村、长兴村、三岔村等整治改善类村庄应着重</w:t>
      </w:r>
      <w:r>
        <w:t>于</w:t>
      </w:r>
      <w:r>
        <w:rPr>
          <w:rFonts w:hint="eastAsia"/>
        </w:rPr>
        <w:t>村庄危房改造、人居环境整治、基础设施与公共服务设施提升、土地整治、生态保护与修复等，满足建设需要。</w:t>
      </w:r>
    </w:p>
    <w:p>
      <w:pPr>
        <w:pStyle w:val="3"/>
      </w:pPr>
      <w:bookmarkStart w:id="88" w:name="_Hlk200531317"/>
      <w:r>
        <w:rPr>
          <w:rFonts w:hint="eastAsia"/>
        </w:rPr>
        <w:t>镇村体系规划</w:t>
      </w:r>
    </w:p>
    <w:p>
      <w:pPr>
        <w:pStyle w:val="4"/>
        <w:spacing w:before="195" w:beforeLines="60" w:after="195" w:afterLines="60" w:line="240" w:lineRule="auto"/>
      </w:pPr>
      <w:r>
        <w:rPr>
          <w:rFonts w:hint="eastAsia"/>
        </w:rPr>
        <w:t>镇村体系</w:t>
      </w:r>
    </w:p>
    <w:p>
      <w:pPr>
        <w:spacing w:before="65"/>
        <w:ind w:firstLine="640"/>
      </w:pPr>
      <w:r>
        <w:rPr>
          <w:rFonts w:hint="eastAsia"/>
        </w:rPr>
        <w:t>强化集镇区的核心地位，同时结合村庄的实际发展条件，以均衡布局为原则，构建“集镇区</w:t>
      </w:r>
      <w:r>
        <w:t>+</w:t>
      </w:r>
      <w:r>
        <w:rPr>
          <w:rFonts w:hint="eastAsia"/>
        </w:rPr>
        <w:t>中心</w:t>
      </w:r>
      <w:r>
        <w:t>村+基层村”三级镇村体</w:t>
      </w:r>
      <w:r>
        <w:rPr>
          <w:rFonts w:hint="eastAsia"/>
        </w:rPr>
        <w:t>系。</w:t>
      </w:r>
    </w:p>
    <w:p>
      <w:pPr>
        <w:spacing w:before="65"/>
        <w:ind w:firstLine="640"/>
      </w:pPr>
      <w:r>
        <w:rPr>
          <w:rFonts w:hint="eastAsia"/>
        </w:rPr>
        <w:t>集镇区为板场村</w:t>
      </w:r>
      <w:r>
        <w:t>；</w:t>
      </w:r>
      <w:r>
        <w:rPr>
          <w:rFonts w:hint="eastAsia"/>
        </w:rPr>
        <w:t>中心</w:t>
      </w:r>
      <w:r>
        <w:t>村为</w:t>
      </w:r>
      <w:r>
        <w:rPr>
          <w:rFonts w:hint="eastAsia"/>
        </w:rPr>
        <w:t>后湖村、雁岭村、双庙村</w:t>
      </w:r>
      <w:r>
        <w:t>；基层村</w:t>
      </w:r>
      <w:r>
        <w:rPr>
          <w:rFonts w:hint="eastAsia"/>
        </w:rPr>
        <w:t>为其他</w:t>
      </w:r>
      <w:r>
        <w:t>12个行政村。</w:t>
      </w:r>
    </w:p>
    <w:p>
      <w:pPr>
        <w:spacing w:before="65"/>
        <w:ind w:firstLine="640"/>
      </w:pPr>
      <w:r>
        <w:rPr>
          <w:rFonts w:hint="eastAsia"/>
        </w:rPr>
        <w:t>进一步完善城乡要素平等交换、双向流动的政策体系，引导人口、产业向镇区、中心村集聚，带动乡镇社会经济发展。</w:t>
      </w:r>
    </w:p>
    <w:p>
      <w:pPr>
        <w:pStyle w:val="4"/>
        <w:spacing w:before="195" w:beforeLines="60" w:after="195" w:afterLines="60" w:line="240" w:lineRule="auto"/>
      </w:pPr>
      <w:bookmarkStart w:id="89" w:name="_Hlk200479710"/>
      <w:r>
        <w:t>村庄职能结构</w:t>
      </w:r>
    </w:p>
    <w:p>
      <w:pPr>
        <w:ind w:firstLine="640"/>
      </w:pPr>
      <w:r>
        <w:rPr>
          <w:rFonts w:hint="eastAsia"/>
        </w:rPr>
        <w:t>此次规划中，将板场村规划为公共服务区，主要发展公共服务及商业服务；将让河村规划为旅游发展区，主要发展观光旅游和休闲养生产业；将龙凤村、三岔村、符庄村、玉皇村、后湖村、雁岭村、青竹村规划为农副产品生产区，主要发展林果种植和菌菇养殖等产业；将河口村、双庙村、长兴村、冯庄村、符竹园村、文龙村、前庄村规划为矿产发展区，主要发展石材加工等产业。</w:t>
      </w:r>
    </w:p>
    <w:p>
      <w:pPr>
        <w:pStyle w:val="4"/>
      </w:pPr>
      <w:bookmarkStart w:id="90" w:name="_Hlk207291743"/>
      <w:bookmarkStart w:id="91" w:name="_Hlk206668990"/>
      <w:r>
        <w:rPr>
          <w:rFonts w:hint="eastAsia"/>
        </w:rPr>
        <w:t>乡村建设引导</w:t>
      </w:r>
    </w:p>
    <w:p>
      <w:pPr>
        <w:ind w:firstLine="640"/>
      </w:pPr>
      <w:r>
        <w:t>构建“</w:t>
      </w:r>
      <w:r>
        <w:rPr>
          <w:rFonts w:hint="eastAsia"/>
        </w:rPr>
        <w:t>集镇区</w:t>
      </w:r>
      <w:r>
        <w:t>-</w:t>
      </w:r>
      <w:r>
        <w:rPr>
          <w:rFonts w:hint="eastAsia"/>
        </w:rPr>
        <w:t>中心村</w:t>
      </w:r>
      <w:r>
        <w:t>-</w:t>
      </w:r>
      <w:r>
        <w:rPr>
          <w:rFonts w:hint="eastAsia"/>
        </w:rPr>
        <w:t>基层</w:t>
      </w:r>
      <w:r>
        <w:t>村”三级体系</w:t>
      </w:r>
      <w:r>
        <w:rPr>
          <w:rFonts w:hint="eastAsia"/>
        </w:rPr>
        <w:t>，强化集镇区的核心地位，培育中心村</w:t>
      </w:r>
      <w:r>
        <w:t>，引导周边自然村和基层村的人口向其适度集中，提供高于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开发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90"/>
    <w:p>
      <w:pPr>
        <w:pStyle w:val="3"/>
      </w:pPr>
      <w:bookmarkStart w:id="92" w:name="_Hlk207292006"/>
      <w:r>
        <w:rPr>
          <w:rFonts w:hint="eastAsia"/>
        </w:rPr>
        <w:t>城乡生活圈构建</w:t>
      </w:r>
    </w:p>
    <w:p>
      <w:pPr>
        <w:pStyle w:val="4"/>
        <w:spacing w:before="195" w:beforeLines="60" w:after="195" w:afterLines="60" w:line="240" w:lineRule="auto"/>
      </w:pPr>
      <w:r>
        <w:rPr>
          <w:rFonts w:hint="eastAsia"/>
        </w:rPr>
        <w:t>乡镇生活圈构建</w:t>
      </w:r>
    </w:p>
    <w:p>
      <w:pPr>
        <w:spacing w:before="65"/>
        <w:ind w:firstLine="640"/>
      </w:pPr>
      <w:r>
        <w:rPr>
          <w:rFonts w:hint="eastAsia"/>
        </w:rPr>
        <w:t>结合《社区生活圈规划技术指南》（</w:t>
      </w:r>
      <w:r>
        <w:t>TD/T1062-2021）和《城市居住区规划设计标准》（GB50180-2018），综合考虑</w:t>
      </w:r>
      <w:r>
        <w:rPr>
          <w:rFonts w:hint="eastAsia"/>
        </w:rPr>
        <w:t>板场</w:t>
      </w:r>
      <w:r>
        <w:t>地形地貌、交通条件、出行距离、出行方式、设施使用频率、人口构成特点等因素，划定社区生活圈为城镇社区生活圈和乡村社区生活圈。</w:t>
      </w:r>
    </w:p>
    <w:p>
      <w:pPr>
        <w:spacing w:before="65"/>
        <w:ind w:firstLine="640"/>
      </w:pPr>
      <w:bookmarkStart w:id="93" w:name="_Hlk200522719"/>
      <w:r>
        <w:rPr>
          <w:rFonts w:hint="eastAsia"/>
        </w:rPr>
        <w:t>依据行政界线、村庄分类、镇村体系、地理位置</w:t>
      </w:r>
      <w:r>
        <w:rPr>
          <w:rFonts w:hint="eastAsia" w:ascii="仿宋_GB2312" w:hAnsi="仿宋_GB2312" w:cs="仿宋_GB2312"/>
        </w:rPr>
        <w:t>等因素，板场乡</w:t>
      </w:r>
      <w:r>
        <w:rPr>
          <w:rFonts w:hint="eastAsia"/>
        </w:rPr>
        <w:t>共划定</w:t>
      </w:r>
      <w:r>
        <w:t>4个乡村单元。其中：</w:t>
      </w:r>
    </w:p>
    <w:p>
      <w:pPr>
        <w:spacing w:before="65"/>
        <w:ind w:firstLine="640"/>
      </w:pPr>
      <w:r>
        <w:rPr>
          <w:rFonts w:hint="eastAsia"/>
        </w:rPr>
        <w:t>集镇区单元以集镇区为中心，包含河口村、让河村，以综合服务、生活居住、旅游观光、产城融合发展</w:t>
      </w:r>
      <w:r>
        <w:t>为主。</w:t>
      </w:r>
    </w:p>
    <w:p>
      <w:pPr>
        <w:spacing w:before="65"/>
        <w:ind w:firstLine="640"/>
      </w:pPr>
      <w:r>
        <w:rPr>
          <w:rFonts w:hint="eastAsia"/>
        </w:rPr>
        <w:t>后湖村庄单元以后湖村为中心，包含龙凤村、符庄村、玉皇村、青竹村</w:t>
      </w:r>
      <w:r>
        <w:t>，以发展</w:t>
      </w:r>
      <w:r>
        <w:rPr>
          <w:rFonts w:hint="eastAsia"/>
        </w:rPr>
        <w:t>林果种植</w:t>
      </w:r>
      <w:r>
        <w:t>、</w:t>
      </w:r>
      <w:r>
        <w:rPr>
          <w:rFonts w:hint="eastAsia"/>
        </w:rPr>
        <w:t>菌菇种植</w:t>
      </w:r>
      <w:r>
        <w:t>为主。</w:t>
      </w:r>
    </w:p>
    <w:p>
      <w:pPr>
        <w:spacing w:before="65"/>
        <w:ind w:firstLine="640"/>
      </w:pPr>
      <w:r>
        <w:rPr>
          <w:rFonts w:hint="eastAsia"/>
        </w:rPr>
        <w:t>雁岭村庄单元以雁岭村为中心，包含冯庄村、长兴村、符竹园村、文龙村</w:t>
      </w:r>
      <w:r>
        <w:t>，以</w:t>
      </w:r>
      <w:r>
        <w:rPr>
          <w:rFonts w:hint="eastAsia"/>
        </w:rPr>
        <w:t>石材加工</w:t>
      </w:r>
      <w:r>
        <w:t>为主。</w:t>
      </w:r>
    </w:p>
    <w:p>
      <w:pPr>
        <w:spacing w:before="65"/>
        <w:ind w:firstLine="640"/>
      </w:pPr>
      <w:r>
        <w:rPr>
          <w:rFonts w:hint="eastAsia"/>
        </w:rPr>
        <w:t>双庙村庄单元以双庙村为中心，包含前庄村，以石材加工为主</w:t>
      </w:r>
      <w:r>
        <w:t>。</w:t>
      </w:r>
    </w:p>
    <w:bookmarkEnd w:id="93"/>
    <w:p>
      <w:pPr>
        <w:pStyle w:val="4"/>
        <w:spacing w:before="195" w:after="195"/>
      </w:pPr>
      <w:r>
        <w:rPr>
          <w:rFonts w:hint="eastAsia"/>
        </w:rPr>
        <w:t>公共服务设施配建标准</w:t>
      </w:r>
    </w:p>
    <w:p>
      <w:pPr>
        <w:spacing w:before="65" w:after="120"/>
        <w:ind w:firstLine="640"/>
      </w:pPr>
      <w:r>
        <w:rPr>
          <w:rFonts w:hint="eastAsia"/>
        </w:rPr>
        <w:t>规划依据《社区生活圈规划技术指南（TD/T1062-2021）》，结合乡村振兴要求，落实“乡村社区生活圈”理念，兼顾行政管理需求，注重养老育幼设施配置。</w:t>
      </w:r>
      <w:bookmarkEnd w:id="91"/>
      <w:bookmarkEnd w:id="92"/>
      <w:r>
        <w:br w:type="page"/>
      </w:r>
    </w:p>
    <w:bookmarkEnd w:id="88"/>
    <w:bookmarkEnd w:id="89"/>
    <w:p>
      <w:pPr>
        <w:spacing w:before="65"/>
        <w:ind w:firstLine="640"/>
      </w:pPr>
    </w:p>
    <w:p>
      <w:pPr>
        <w:pStyle w:val="2"/>
        <w:spacing w:before="489" w:beforeLines="150" w:after="489" w:afterLines="150"/>
      </w:pPr>
      <w:bookmarkStart w:id="94" w:name="_Toc221006510"/>
      <w:bookmarkStart w:id="95" w:name="_Toc185608304"/>
      <w:r>
        <w:rPr>
          <w:rFonts w:hint="eastAsia"/>
        </w:rPr>
        <w:t>支撑体系规划</w:t>
      </w:r>
      <w:bookmarkEnd w:id="94"/>
      <w:bookmarkEnd w:id="95"/>
    </w:p>
    <w:p>
      <w:pPr>
        <w:pStyle w:val="3"/>
        <w:spacing w:before="326" w:beforeLines="100" w:after="326" w:afterLines="100"/>
      </w:pPr>
      <w:bookmarkStart w:id="96" w:name="_Toc185608305"/>
      <w:bookmarkStart w:id="97" w:name="_Hlk142657734"/>
      <w:bookmarkStart w:id="98" w:name="_Toc129799047"/>
      <w:r>
        <w:rPr>
          <w:rFonts w:hint="eastAsia"/>
        </w:rPr>
        <w:t>道路交通规划</w:t>
      </w:r>
      <w:bookmarkEnd w:id="96"/>
    </w:p>
    <w:p>
      <w:pPr>
        <w:pStyle w:val="4"/>
        <w:spacing w:before="195" w:beforeLines="60" w:after="195" w:afterLines="60" w:line="240" w:lineRule="auto"/>
      </w:pPr>
      <w:bookmarkStart w:id="99" w:name="_Hlk150185677"/>
      <w:r>
        <w:rPr>
          <w:rFonts w:hint="eastAsia"/>
        </w:rPr>
        <w:t>发展目标与策略</w:t>
      </w:r>
    </w:p>
    <w:p>
      <w:pPr>
        <w:spacing w:before="65"/>
        <w:ind w:firstLine="640"/>
      </w:pPr>
      <w:r>
        <w:rPr>
          <w:rFonts w:hint="eastAsia"/>
        </w:rPr>
        <w:t>发展目标：落实干线公路建设，加强县、乡公路与区域性道路的有机衔接；强化板场乡在全县道路交通体系中的作用、支撑内乡县交通枢纽地位。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，加强集镇区、中心村、特色村与区域交通干线的衔接，构建“结构清晰、节点突出、互联互通、便捷高效”的交通网络。</w:t>
      </w:r>
    </w:p>
    <w:p>
      <w:pPr>
        <w:pStyle w:val="4"/>
        <w:spacing w:before="195" w:beforeLines="60" w:after="195" w:afterLines="60" w:line="240" w:lineRule="auto"/>
      </w:pPr>
      <w:r>
        <w:rPr>
          <w:rFonts w:hint="eastAsia"/>
        </w:rPr>
        <w:t>区域交通基础设施</w:t>
      </w:r>
    </w:p>
    <w:p>
      <w:pPr>
        <w:spacing w:before="65"/>
        <w:ind w:firstLine="640"/>
      </w:pPr>
      <w:r>
        <w:rPr>
          <w:rFonts w:hint="eastAsia"/>
        </w:rPr>
        <w:t>落实乡域东侧嵩内高速，保留现状</w:t>
      </w:r>
      <w:r>
        <w:t>G241线型，结合乡道Y001、Y016和Y010，形成以集镇区为中心，东西可达（西峡县、夏馆镇）的区域交通格局</w:t>
      </w:r>
      <w:r>
        <w:rPr>
          <w:rFonts w:hint="eastAsia"/>
        </w:rPr>
        <w:t>。</w:t>
      </w:r>
    </w:p>
    <w:p>
      <w:pPr>
        <w:pStyle w:val="4"/>
        <w:spacing w:before="195" w:beforeLines="60" w:after="195" w:afterLines="60" w:line="240" w:lineRule="auto"/>
      </w:pPr>
      <w:r>
        <w:rPr>
          <w:rFonts w:hint="eastAsia"/>
        </w:rPr>
        <w:t>乡镇道路网布局规划</w:t>
      </w:r>
    </w:p>
    <w:p>
      <w:pPr>
        <w:spacing w:before="65"/>
        <w:ind w:firstLine="640"/>
      </w:pPr>
      <w:r>
        <w:rPr>
          <w:rFonts w:hint="eastAsia"/>
        </w:rPr>
        <w:t>规划形成“三横两纵”的乡域交通网络。其中“四横”为</w:t>
      </w:r>
      <w:r>
        <w:t>G241、S328和Y001，“两纵”为Y010和Y016。完善加密村庄路网布局，建设“四好农村路”，提升城乡交通一体化水平</w:t>
      </w:r>
      <w:r>
        <w:rPr>
          <w:rFonts w:hint="eastAsia"/>
        </w:rPr>
        <w:t>。</w:t>
      </w:r>
    </w:p>
    <w:p>
      <w:pPr>
        <w:pStyle w:val="4"/>
        <w:spacing w:before="195" w:beforeLines="60" w:after="195" w:afterLines="60" w:line="240" w:lineRule="auto"/>
      </w:pPr>
      <w:r>
        <w:rPr>
          <w:rFonts w:hint="eastAsia"/>
        </w:rPr>
        <w:t>城乡公交站场</w:t>
      </w:r>
    </w:p>
    <w:bookmarkEnd w:id="99"/>
    <w:p>
      <w:pPr>
        <w:spacing w:before="65"/>
        <w:ind w:firstLine="640"/>
      </w:pPr>
      <w:r>
        <w:rPr>
          <w:rFonts w:hint="eastAsia"/>
        </w:rPr>
        <w:t>在集镇区初中南侧北侧设城乡公交站场，服务整个乡域，到</w:t>
      </w:r>
      <w:r>
        <w:t>2035年实现村村通公交车，在大型新型农村社区设置城乡公交首末站，提升城乡公交覆盖率</w:t>
      </w:r>
      <w:r>
        <w:rPr>
          <w:rFonts w:hint="eastAsia"/>
        </w:rPr>
        <w:t>。</w:t>
      </w:r>
    </w:p>
    <w:p>
      <w:pPr>
        <w:pStyle w:val="3"/>
        <w:spacing w:before="326" w:beforeLines="100" w:after="326" w:afterLines="100"/>
      </w:pPr>
      <w:bookmarkStart w:id="100" w:name="_Toc185608306"/>
      <w:r>
        <w:rPr>
          <w:rFonts w:hint="eastAsia"/>
        </w:rPr>
        <w:t>市政公用设施规划</w:t>
      </w:r>
      <w:bookmarkEnd w:id="100"/>
    </w:p>
    <w:p>
      <w:pPr>
        <w:pStyle w:val="4"/>
        <w:spacing w:before="195" w:beforeLines="60" w:after="195" w:afterLines="60" w:line="240" w:lineRule="auto"/>
      </w:pPr>
      <w:r>
        <w:rPr>
          <w:rFonts w:hint="eastAsia"/>
        </w:rPr>
        <w:t>给水工程规划</w:t>
      </w:r>
    </w:p>
    <w:p>
      <w:pPr>
        <w:spacing w:before="65"/>
        <w:ind w:firstLine="640"/>
      </w:pPr>
      <w:bookmarkStart w:id="101" w:name="_Hlk147758533"/>
      <w:r>
        <w:rPr>
          <w:rFonts w:hint="eastAsia"/>
        </w:rPr>
        <w:t>预测乡镇最高日总用水量为</w:t>
      </w:r>
      <w:r>
        <w:t>1118</w:t>
      </w:r>
      <w:r>
        <w:rPr>
          <w:rFonts w:hint="eastAsia"/>
        </w:rPr>
        <w:t>立方米/日。</w:t>
      </w:r>
    </w:p>
    <w:bookmarkEnd w:id="101"/>
    <w:p>
      <w:pPr>
        <w:spacing w:before="65"/>
        <w:ind w:firstLine="640"/>
      </w:pPr>
      <w:r>
        <w:rPr>
          <w:rFonts w:hint="eastAsia"/>
        </w:rPr>
        <w:t>规划乡域集中供水率达到</w:t>
      </w:r>
      <w:r>
        <w:t>100%。规划扩建板场给水厂，规模为500立方米/日，供水水源采用附近的中深层地下水；规划保留村庄供水站</w:t>
      </w:r>
      <w:r>
        <w:rPr>
          <w:rFonts w:hint="eastAsia"/>
        </w:rPr>
        <w:t>。</w:t>
      </w:r>
    </w:p>
    <w:p>
      <w:pPr>
        <w:pStyle w:val="4"/>
        <w:spacing w:before="195" w:beforeLines="60" w:after="195" w:afterLines="60" w:line="240" w:lineRule="auto"/>
      </w:pPr>
      <w:r>
        <w:rPr>
          <w:rFonts w:hint="eastAsia"/>
        </w:rPr>
        <w:t>排水工程规划</w:t>
      </w:r>
    </w:p>
    <w:p>
      <w:pPr>
        <w:spacing w:before="65"/>
        <w:ind w:firstLine="640"/>
      </w:pPr>
      <w:r>
        <w:rPr>
          <w:rFonts w:hint="eastAsia"/>
        </w:rPr>
        <w:t>规划集镇区采用雨污分流制排水系统，村庄一般采用合流制，有条件时采用分流制。</w:t>
      </w:r>
    </w:p>
    <w:p>
      <w:pPr>
        <w:spacing w:before="65"/>
        <w:ind w:firstLine="640"/>
      </w:pPr>
      <w:r>
        <w:rPr>
          <w:rFonts w:hint="eastAsia"/>
        </w:rPr>
        <w:t>预测乡镇最高日总污水量为</w:t>
      </w:r>
      <w:r>
        <w:rPr>
          <w:rFonts w:ascii="Times New Roman" w:hAnsi="Times New Roman"/>
        </w:rPr>
        <w:t>761</w:t>
      </w:r>
      <w:r>
        <w:rPr>
          <w:rFonts w:hint="eastAsia"/>
        </w:rPr>
        <w:t>立方米/日。</w:t>
      </w:r>
    </w:p>
    <w:p>
      <w:pPr>
        <w:spacing w:before="65"/>
        <w:ind w:firstLine="640"/>
      </w:pPr>
      <w:r>
        <w:rPr>
          <w:rFonts w:hint="eastAsia"/>
        </w:rPr>
        <w:t>规划板场乡集镇区污水由污水管网收集排入板场乡污水处理厂，污水厂规模为</w:t>
      </w:r>
      <w:r>
        <w:t>400立方米/日；污水处理厂出水水质要求达到《城镇污水处理厂污染物排放标准》（GB 18918-2002）中规定的一级A标准，处理达标后排入酿河（让河）。让河村、符庄村、后湖村和双庙村建设污水处理站集中处理生活污水，其余村庄因地制宜，结合污水灌溉体系，分散建设独立式小型污水处理设施，推进面源污染治理</w:t>
      </w:r>
      <w:r>
        <w:rPr>
          <w:rFonts w:hint="eastAsia"/>
        </w:rPr>
        <w:t>。</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beforeLines="60" w:after="195" w:afterLines="60" w:line="240" w:lineRule="auto"/>
      </w:pPr>
      <w:r>
        <w:rPr>
          <w:rFonts w:hint="eastAsia"/>
        </w:rPr>
        <w:t>电力工程规划</w:t>
      </w:r>
    </w:p>
    <w:p>
      <w:pPr>
        <w:spacing w:before="65"/>
        <w:ind w:firstLine="640"/>
      </w:pPr>
      <w:r>
        <w:rPr>
          <w:rFonts w:hint="eastAsia"/>
        </w:rPr>
        <w:t>预测乡镇年总用电负荷为</w:t>
      </w:r>
      <w:r>
        <w:t>780万</w:t>
      </w:r>
      <w:r>
        <w:rPr>
          <w:rFonts w:hint="eastAsia"/>
        </w:rPr>
        <w:t>千瓦时。</w:t>
      </w:r>
      <w:bookmarkStart w:id="102" w:name="_Hlk140846865"/>
    </w:p>
    <w:bookmarkEnd w:id="102"/>
    <w:p>
      <w:pPr>
        <w:spacing w:before="65"/>
        <w:ind w:firstLine="640"/>
      </w:pPr>
      <w:r>
        <w:rPr>
          <w:rFonts w:hint="eastAsia"/>
        </w:rPr>
        <w:t>规划新建</w:t>
      </w:r>
      <w:r>
        <w:t>110千伏双庙变，供电容量为1×50兆伏安；规划保留现状35千伏板场变，供电容量为12.5+10兆伏安。</w:t>
      </w:r>
    </w:p>
    <w:p>
      <w:pPr>
        <w:spacing w:before="65"/>
        <w:ind w:firstLine="640"/>
      </w:pPr>
      <w:r>
        <w:rPr>
          <w:rFonts w:hint="eastAsia"/>
        </w:rPr>
        <w:t>依据《城市电力规划规范》（GB/T 50293-2014），220千伏高压线设置40-45米宽的高压走廊；110千伏高压线设置25-30米宽的高压走廊；35千伏高压线设置20-25米宽的高压走廊；高压走廊控制区内严禁各种开发建设活动。</w:t>
      </w:r>
    </w:p>
    <w:p>
      <w:pPr>
        <w:pStyle w:val="4"/>
        <w:spacing w:before="195" w:beforeLines="60" w:after="195" w:afterLines="60" w:line="240" w:lineRule="auto"/>
      </w:pPr>
      <w:r>
        <w:rPr>
          <w:rFonts w:hint="eastAsia"/>
        </w:rPr>
        <w:t>通信工程规划</w:t>
      </w:r>
    </w:p>
    <w:p>
      <w:pPr>
        <w:spacing w:before="65"/>
        <w:ind w:firstLine="640"/>
      </w:pPr>
      <w:r>
        <w:rPr>
          <w:rFonts w:hint="eastAsia"/>
        </w:rPr>
        <w:t>预测乡镇固定电话总量为</w:t>
      </w:r>
      <w:r>
        <w:rPr>
          <w:rFonts w:ascii="Times New Roman" w:hAnsi="Times New Roman"/>
        </w:rPr>
        <w:t>2600</w:t>
      </w:r>
      <w:r>
        <w:rPr>
          <w:rFonts w:hint="eastAsia"/>
        </w:rPr>
        <w:t>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升级完善和合理布局广电设施，提升广电网络功能，推广电视、广播的数字化、高清化和网络化，筹建大功率广播电视发射中心，继续推进“村村通”工程，到2035年实现乡镇广播电视人口综合覆盖率100%。</w:t>
      </w:r>
    </w:p>
    <w:p>
      <w:pPr>
        <w:pStyle w:val="4"/>
        <w:spacing w:before="195" w:beforeLines="60" w:after="195" w:afterLines="60" w:line="240" w:lineRule="auto"/>
      </w:pPr>
      <w:r>
        <w:rPr>
          <w:rFonts w:hint="eastAsia"/>
        </w:rPr>
        <w:t>燃气工程规划</w:t>
      </w:r>
    </w:p>
    <w:p>
      <w:pPr>
        <w:spacing w:before="65"/>
        <w:ind w:firstLine="640"/>
      </w:pPr>
      <w:r>
        <w:rPr>
          <w:rFonts w:hint="eastAsia"/>
        </w:rPr>
        <w:t>预测乡镇天然气总量为</w:t>
      </w:r>
      <w:r>
        <w:rPr>
          <w:rFonts w:ascii="Times New Roman" w:hAnsi="Times New Roman"/>
        </w:rPr>
        <w:t>37.1</w:t>
      </w:r>
      <w:r>
        <w:rPr>
          <w:rFonts w:hint="eastAsia"/>
        </w:rPr>
        <w:t>万立方米/年。</w:t>
      </w:r>
    </w:p>
    <w:p>
      <w:pPr>
        <w:spacing w:before="65"/>
        <w:ind w:firstLine="640"/>
      </w:pPr>
      <w:r>
        <w:rPr>
          <w:rFonts w:hint="eastAsia"/>
        </w:rPr>
        <w:t>规划气源接自西气东输三线。规划集镇区敷设中压燃气管网，有条件的村庄引入天然气管道。</w:t>
      </w:r>
    </w:p>
    <w:p>
      <w:pPr>
        <w:pStyle w:val="4"/>
        <w:spacing w:before="195" w:beforeLines="60" w:after="195" w:afterLines="60" w:line="240" w:lineRule="auto"/>
      </w:pPr>
      <w:r>
        <w:rPr>
          <w:rFonts w:hint="eastAsia"/>
        </w:rPr>
        <w:t>热力工程规划</w:t>
      </w:r>
    </w:p>
    <w:p>
      <w:pPr>
        <w:spacing w:before="65"/>
        <w:ind w:firstLine="640"/>
      </w:pPr>
      <w:r>
        <w:rPr>
          <w:rFonts w:hint="eastAsia"/>
        </w:rPr>
        <w:t>规划集镇区采用分区域集中供热模式，热源为空气源热泵；有条件的村庄可选用天然气等清洁能源分片区集中供热。</w:t>
      </w:r>
    </w:p>
    <w:p>
      <w:pPr>
        <w:pStyle w:val="4"/>
        <w:spacing w:before="195" w:beforeLines="60" w:after="195" w:afterLines="60" w:line="240" w:lineRule="auto"/>
      </w:pPr>
      <w:r>
        <w:rPr>
          <w:rFonts w:hint="eastAsia"/>
        </w:rPr>
        <w:t>环卫工程规划</w:t>
      </w:r>
    </w:p>
    <w:p>
      <w:pPr>
        <w:spacing w:before="65"/>
        <w:ind w:firstLine="640"/>
      </w:pPr>
      <w:r>
        <w:rPr>
          <w:rFonts w:hint="eastAsia"/>
        </w:rPr>
        <w:t>因此至</w:t>
      </w:r>
      <w:r>
        <w:t>2035年，规划预测</w:t>
      </w:r>
      <w:r>
        <w:rPr>
          <w:rFonts w:hint="eastAsia"/>
        </w:rPr>
        <w:t>乡镇</w:t>
      </w:r>
      <w:r>
        <w:t>产生生活垃圾最高日产量为6.5吨/天</w:t>
      </w:r>
      <w:r>
        <w:rPr>
          <w:rFonts w:hint="eastAsia"/>
        </w:rPr>
        <w:t>。</w:t>
      </w:r>
    </w:p>
    <w:p>
      <w:pPr>
        <w:spacing w:before="65"/>
        <w:ind w:firstLine="640"/>
      </w:pPr>
      <w:r>
        <w:rPr>
          <w:rFonts w:hint="eastAsia"/>
        </w:rPr>
        <w:t>建立由垃圾收集点——生活垃圾转运站构成的垃圾收集转运系统。在集镇区规划生活垃圾转运站，乡镇生活垃圾通过垃圾收集点收集，经过垃圾转运站最终送至垃圾处理设施进行统一处理。</w:t>
      </w:r>
    </w:p>
    <w:p>
      <w:pPr>
        <w:pStyle w:val="3"/>
        <w:spacing w:before="326" w:beforeLines="100" w:after="326" w:afterLines="100"/>
      </w:pPr>
      <w:bookmarkStart w:id="103" w:name="_Toc185608307"/>
      <w:r>
        <w:rPr>
          <w:rFonts w:hint="eastAsia"/>
        </w:rPr>
        <w:t>公共服务设施规划</w:t>
      </w:r>
      <w:bookmarkEnd w:id="103"/>
    </w:p>
    <w:p>
      <w:pPr>
        <w:pStyle w:val="4"/>
        <w:spacing w:before="195" w:beforeLines="60" w:after="195" w:afterLines="60" w:line="240" w:lineRule="auto"/>
      </w:pPr>
      <w:bookmarkStart w:id="104" w:name="_Hlk150185614"/>
      <w:bookmarkStart w:id="105" w:name="_Hlk200522761"/>
      <w:r>
        <w:t>教育设施</w:t>
      </w:r>
    </w:p>
    <w:p>
      <w:pPr>
        <w:spacing w:before="65"/>
        <w:ind w:firstLine="640"/>
      </w:pPr>
      <w:r>
        <w:rPr>
          <w:rFonts w:hint="eastAsia"/>
        </w:rPr>
        <w:t>规划</w:t>
      </w:r>
      <w:r>
        <w:t>保</w:t>
      </w:r>
      <w:r>
        <w:rPr>
          <w:rFonts w:hint="eastAsia"/>
        </w:rPr>
        <w:t>留集镇区一处初中；改造提升集镇区一处中心小学；保留2处小学，</w:t>
      </w:r>
      <w:r>
        <w:t>分别为</w:t>
      </w:r>
      <w:r>
        <w:rPr>
          <w:rFonts w:hint="eastAsia"/>
        </w:rPr>
        <w:t>道川中心小学（后湖村）</w:t>
      </w:r>
      <w:r>
        <w:t>、</w:t>
      </w:r>
      <w:r>
        <w:rPr>
          <w:rFonts w:hint="eastAsia"/>
        </w:rPr>
        <w:t>竹园中心小学；根据生源和政策动态调整各行政村教学点。</w:t>
      </w:r>
    </w:p>
    <w:p>
      <w:pPr>
        <w:pStyle w:val="4"/>
        <w:spacing w:before="195" w:beforeLines="60" w:after="195" w:afterLines="60" w:line="240" w:lineRule="auto"/>
      </w:pPr>
      <w:r>
        <w:t>文化体育设施</w:t>
      </w:r>
    </w:p>
    <w:p>
      <w:pPr>
        <w:spacing w:before="65"/>
        <w:ind w:firstLine="640"/>
        <w:rPr>
          <w:rFonts w:ascii="仿宋_GB2312" w:hAnsi="仿宋_GB2312" w:cs="仿宋_GB2312"/>
        </w:rPr>
      </w:pPr>
      <w:r>
        <w:rPr>
          <w:rFonts w:hint="eastAsia"/>
        </w:rPr>
        <w:t>完善集镇区各级文化体育设施布局。目前每个村庄已基本完成文化大院和健身广场的建设，满足居民日常活动建设活动使用需求。鼓励让河村等有民俗文化特色的村庄设置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spacing w:before="195" w:beforeLines="60" w:after="195" w:afterLines="60" w:line="240" w:lineRule="auto"/>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标等建设任务。完善乡镇基层医疗卫生设施配置。规划按照一村一室进行配置村级卫生室，每个村卫生室建设用地约</w:t>
      </w:r>
      <w:r>
        <w:t>1亩。对现有村庄卫</w:t>
      </w:r>
      <w:r>
        <w:rPr>
          <w:rFonts w:hint="eastAsia"/>
        </w:rPr>
        <w:t>生室进行提升，强化基层医疗作用，做到小病不出村。</w:t>
      </w:r>
    </w:p>
    <w:p>
      <w:pPr>
        <w:pStyle w:val="4"/>
        <w:spacing w:before="195" w:beforeLines="60" w:after="195" w:afterLines="60" w:line="240" w:lineRule="auto"/>
      </w:pPr>
      <w:r>
        <w:t>社会福利设施</w:t>
      </w:r>
    </w:p>
    <w:p>
      <w:pPr>
        <w:spacing w:before="65"/>
        <w:ind w:firstLine="640"/>
      </w:pPr>
      <w:r>
        <w:rPr>
          <w:rFonts w:hint="eastAsia"/>
        </w:rPr>
        <w:t>保留位于集镇区敬老院和雁岭村</w:t>
      </w:r>
      <w:r>
        <w:t>养</w:t>
      </w:r>
      <w:r>
        <w:rPr>
          <w:rFonts w:hint="eastAsia"/>
        </w:rPr>
        <w:t>老院，新增养老院</w:t>
      </w:r>
      <w:r>
        <w:t>2处，位于</w:t>
      </w:r>
      <w:r>
        <w:rPr>
          <w:rFonts w:hint="eastAsia"/>
        </w:rPr>
        <w:t>后湖村、双庙村，提供老年人日托服务，包括餐饮、文娱、健身、医疗保健等。在各整治改善类村庄与村委会结合设置1</w:t>
      </w:r>
      <w:r>
        <w:t>2处</w:t>
      </w:r>
      <w:r>
        <w:rPr>
          <w:rFonts w:hint="eastAsia"/>
        </w:rPr>
        <w:t>居家养老服务站，提供居家养老相关服务。</w:t>
      </w:r>
    </w:p>
    <w:p>
      <w:pPr>
        <w:pStyle w:val="4"/>
        <w:spacing w:before="195" w:beforeLines="60" w:after="195" w:afterLines="60" w:line="240" w:lineRule="auto"/>
      </w:pPr>
      <w:r>
        <w:t>商业服务设施</w:t>
      </w:r>
    </w:p>
    <w:p>
      <w:pPr>
        <w:spacing w:before="65"/>
        <w:ind w:firstLine="640"/>
      </w:pPr>
      <w:r>
        <w:rPr>
          <w:rFonts w:hint="eastAsia"/>
        </w:rPr>
        <w:t>延续集镇区沿街底商的商业布局，将各类商业布局优化，将特色农产品、文旅产品等分类型进行分区布局，便于游客购物，保留镇区现状部分质量较好、商品丰富的商业服务设施。规划后湖村、雁岭村、双庙村建设小型农贸市场及小型百货超市，服务于周边村庄。</w:t>
      </w:r>
    </w:p>
    <w:p>
      <w:pPr>
        <w:pStyle w:val="4"/>
        <w:spacing w:before="195" w:beforeLines="60" w:after="195" w:afterLines="60" w:line="240" w:lineRule="auto"/>
      </w:pPr>
      <w:r>
        <w:t>殡葬设施</w:t>
      </w:r>
    </w:p>
    <w:p>
      <w:pPr>
        <w:spacing w:before="65"/>
        <w:ind w:firstLine="640"/>
      </w:pPr>
      <w:r>
        <w:rPr>
          <w:rFonts w:hint="eastAsia"/>
        </w:rPr>
        <w:t>规划在雁岭村建设</w:t>
      </w:r>
      <w:r>
        <w:t>1处占地不少于50亩的公益性公墓。</w:t>
      </w:r>
    </w:p>
    <w:bookmarkEnd w:id="104"/>
    <w:bookmarkEnd w:id="105"/>
    <w:p>
      <w:pPr>
        <w:pStyle w:val="3"/>
        <w:spacing w:before="326" w:beforeLines="100" w:after="326" w:afterLines="100"/>
      </w:pPr>
      <w:bookmarkStart w:id="106" w:name="_Toc185608308"/>
      <w:r>
        <w:rPr>
          <w:rFonts w:hint="eastAsia"/>
        </w:rPr>
        <w:t>防灾减灾规划</w:t>
      </w:r>
      <w:bookmarkEnd w:id="106"/>
    </w:p>
    <w:p>
      <w:pPr>
        <w:pStyle w:val="4"/>
        <w:spacing w:before="195" w:beforeLines="60" w:after="195" w:afterLines="60" w:line="240" w:lineRule="auto"/>
      </w:pPr>
      <w:bookmarkStart w:id="107" w:name="_Hlk151384900"/>
      <w:r>
        <w:rPr>
          <w:rFonts w:hint="eastAsia"/>
        </w:rPr>
        <w:t>主要灾害防灾标准</w:t>
      </w:r>
    </w:p>
    <w:bookmarkEnd w:id="107"/>
    <w:p>
      <w:pPr>
        <w:ind w:firstLine="640"/>
      </w:pPr>
      <w:r>
        <w:rPr>
          <w:rFonts w:hint="eastAsia"/>
        </w:rPr>
        <w:t>1</w:t>
      </w:r>
      <w:r>
        <w:t>.</w:t>
      </w:r>
      <w:r>
        <w:rPr>
          <w:rFonts w:hint="eastAsia"/>
        </w:rPr>
        <w:t>防洪标准</w:t>
      </w:r>
    </w:p>
    <w:p>
      <w:pPr>
        <w:ind w:firstLine="640"/>
        <w:rPr>
          <w:u w:val="single"/>
        </w:rPr>
      </w:pPr>
      <w:bookmarkStart w:id="108" w:name="_Hlk151385439"/>
      <w:r>
        <w:rPr>
          <w:rFonts w:hint="eastAsia"/>
          <w:u w:val="single"/>
        </w:rPr>
        <w:t>板场乡镇区防洪标准为</w:t>
      </w:r>
      <w:r>
        <w:rPr>
          <w:u w:val="single"/>
        </w:rPr>
        <w:t>20年一遇，乡村防洪标准为10年一遇。</w:t>
      </w:r>
    </w:p>
    <w:bookmarkEnd w:id="108"/>
    <w:p>
      <w:pPr>
        <w:ind w:firstLine="640"/>
      </w:pPr>
      <w:r>
        <w:rPr>
          <w:rFonts w:hint="eastAsia"/>
        </w:rPr>
        <w:t>2</w:t>
      </w:r>
      <w:r>
        <w:t>.</w:t>
      </w:r>
      <w:r>
        <w:rPr>
          <w:rFonts w:hint="eastAsia"/>
        </w:rPr>
        <w:t>排涝标准</w:t>
      </w:r>
    </w:p>
    <w:p>
      <w:pPr>
        <w:ind w:firstLine="640"/>
      </w:pPr>
      <w:r>
        <w:rPr>
          <w:rFonts w:hint="eastAsia"/>
          <w:u w:val="single"/>
        </w:rPr>
        <w:t>规划板场乡集镇区内涝防治设计重现期为</w:t>
      </w:r>
      <w:r>
        <w:rPr>
          <w:u w:val="single"/>
        </w:rPr>
        <w:t>20年一遇</w:t>
      </w:r>
      <w:r>
        <w:t>，</w:t>
      </w:r>
      <w:r>
        <w:rPr>
          <w:rFonts w:hint="eastAsia"/>
        </w:rPr>
        <w:t>对超过内涝防治设计重现期的降雨，按照应急预案要求采取应急措施。</w:t>
      </w:r>
    </w:p>
    <w:p>
      <w:pPr>
        <w:ind w:firstLine="640"/>
      </w:pPr>
      <w:r>
        <w:rPr>
          <w:rFonts w:hint="eastAsia"/>
        </w:rPr>
        <w:t>3</w:t>
      </w:r>
      <w:r>
        <w:t>.</w:t>
      </w:r>
      <w:r>
        <w:rPr>
          <w:rFonts w:hint="eastAsia"/>
        </w:rPr>
        <w:t>抗震规划</w:t>
      </w:r>
    </w:p>
    <w:p>
      <w:pPr>
        <w:ind w:firstLine="640"/>
      </w:pPr>
      <w:r>
        <w:rPr>
          <w:rFonts w:hint="eastAsia"/>
          <w:u w:val="single"/>
        </w:rPr>
        <w:t>板场乡集镇区地震烈度为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beforeLines="60" w:after="195" w:afterLines="60" w:line="240" w:lineRule="auto"/>
      </w:pPr>
      <w:r>
        <w:rPr>
          <w:rFonts w:hint="eastAsia"/>
        </w:rPr>
        <w:t>构建防灾安全空间格局</w:t>
      </w:r>
    </w:p>
    <w:p>
      <w:pPr>
        <w:spacing w:before="65"/>
        <w:ind w:firstLine="640"/>
      </w:pPr>
      <w:r>
        <w:rPr>
          <w:rFonts w:hint="eastAsia"/>
        </w:rPr>
        <w:t>结合乡镇主要交通干线，网上乡镇救灾感到体系，与全县共同构建县</w:t>
      </w:r>
      <w:r>
        <w:t>-镇（乡）-村三级防灾设施体系。乡镇境内，国道G241、省道S328为全县的快速救援通道，疏散主要道路为乡道Y001、Y010、Y016等组成，规划强化救灾干道防灾性能，加强疏散通道沿线地区地质灾害和山洪灾害的工程治理。</w:t>
      </w:r>
    </w:p>
    <w:p>
      <w:pPr>
        <w:pStyle w:val="4"/>
        <w:spacing w:before="195" w:beforeLines="60" w:after="195" w:afterLines="60" w:line="240" w:lineRule="auto"/>
      </w:pPr>
      <w:r>
        <w:rPr>
          <w:rFonts w:hint="eastAsia"/>
        </w:rPr>
        <w:t>重大防灾设施配置</w:t>
      </w:r>
    </w:p>
    <w:p>
      <w:pPr>
        <w:ind w:firstLine="640"/>
      </w:pPr>
      <w:r>
        <w:rPr>
          <w:rFonts w:hint="eastAsia"/>
        </w:rPr>
        <w:t>1</w:t>
      </w:r>
      <w:r>
        <w:t>.应急指挥设施体系</w:t>
      </w:r>
    </w:p>
    <w:p>
      <w:pPr>
        <w:ind w:firstLine="640"/>
      </w:pPr>
      <w:r>
        <w:rPr>
          <w:rFonts w:hint="eastAsia"/>
        </w:rPr>
        <w:t>设置</w:t>
      </w:r>
      <w:r>
        <w:t>镇（乡）-村</w:t>
      </w:r>
      <w:r>
        <w:rPr>
          <w:rFonts w:hint="eastAsia"/>
        </w:rPr>
        <w:t>两</w:t>
      </w:r>
      <w:r>
        <w:t>级防灾应急指挥系统，</w:t>
      </w:r>
      <w:r>
        <w:rPr>
          <w:rFonts w:hint="eastAsia"/>
        </w:rPr>
        <w:t>集镇区</w:t>
      </w:r>
      <w:r>
        <w:t>设置应急指挥中心1处，位于</w:t>
      </w:r>
      <w:r>
        <w:rPr>
          <w:rFonts w:hint="eastAsia"/>
        </w:rPr>
        <w:t>板场乡</w:t>
      </w:r>
      <w:r>
        <w:t>人民政府，村综合防灾应急指挥中心</w:t>
      </w:r>
      <w:r>
        <w:rPr>
          <w:rFonts w:hint="eastAsia"/>
        </w:rPr>
        <w:t>设在各村</w:t>
      </w:r>
      <w:r>
        <w:t>村委会。</w:t>
      </w:r>
    </w:p>
    <w:p>
      <w:pPr>
        <w:ind w:firstLine="640"/>
      </w:pPr>
      <w:r>
        <w:rPr>
          <w:rFonts w:hint="eastAsia"/>
        </w:rPr>
        <w:t>2</w:t>
      </w:r>
      <w:r>
        <w:t>.应急救灾物资储备设施</w:t>
      </w:r>
    </w:p>
    <w:p>
      <w:pPr>
        <w:ind w:firstLine="640"/>
      </w:pPr>
      <w:r>
        <w:rPr>
          <w:rFonts w:hint="eastAsia"/>
        </w:rPr>
        <w:t>集镇区设置救灾物资储备库，并配置装卸设备、技防设备、物资保管维护设备、交通工具（应急调度车、救灾物资转运车）与通讯调度设备等。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集镇区依托卫生院设置乡镇级应急医疗设施，各村分别规划设置</w:t>
      </w:r>
      <w:r>
        <w:t>1处</w:t>
      </w:r>
      <w:r>
        <w:rPr>
          <w:rFonts w:hint="eastAsia"/>
        </w:rPr>
        <w:t>村</w:t>
      </w:r>
      <w:r>
        <w:t>级应急医疗设施。</w:t>
      </w:r>
    </w:p>
    <w:p>
      <w:pPr>
        <w:ind w:firstLine="640"/>
      </w:pPr>
      <w:r>
        <w:rPr>
          <w:rFonts w:hint="eastAsia"/>
        </w:rPr>
        <w:t>4</w:t>
      </w:r>
      <w:r>
        <w:t>.消防设施</w:t>
      </w:r>
    </w:p>
    <w:p>
      <w:pPr>
        <w:ind w:firstLine="640"/>
      </w:pPr>
      <w:r>
        <w:rPr>
          <w:rFonts w:hint="eastAsia"/>
        </w:rPr>
        <w:t>规划在集镇区南侧</w:t>
      </w:r>
      <w:r>
        <w:t>设置1处</w:t>
      </w:r>
      <w:r>
        <w:rPr>
          <w:rFonts w:hint="eastAsia"/>
        </w:rPr>
        <w:t>二级乡镇专职消防队</w:t>
      </w:r>
      <w:r>
        <w:t>。</w:t>
      </w:r>
    </w:p>
    <w:p>
      <w:pPr>
        <w:pStyle w:val="4"/>
        <w:spacing w:before="195" w:beforeLines="60" w:after="195" w:afterLines="60" w:line="240" w:lineRule="auto"/>
      </w:pPr>
      <w:r>
        <w:rPr>
          <w:rFonts w:hint="eastAsia"/>
        </w:rPr>
        <w:t>防治措施</w:t>
      </w:r>
    </w:p>
    <w:p>
      <w:pPr>
        <w:ind w:firstLine="640"/>
      </w:pPr>
      <w:r>
        <w:rPr>
          <w:rFonts w:hint="eastAsia"/>
        </w:rPr>
        <w:t>1</w:t>
      </w:r>
      <w:r>
        <w:t>.</w:t>
      </w:r>
      <w:r>
        <w:rPr>
          <w:rFonts w:hint="eastAsia"/>
        </w:rPr>
        <w:t>防洪排涝规划措施</w:t>
      </w:r>
    </w:p>
    <w:p>
      <w:pPr>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ind w:firstLine="640"/>
      </w:pPr>
      <w:r>
        <w:t>防涝措施</w:t>
      </w:r>
      <w:r>
        <w:rPr>
          <w:rFonts w:hint="eastAsia"/>
        </w:rPr>
        <w:t>：完善集镇区雨水管网及排涝设施建设，采取改造原排水河道、改造旧排水管网、增建新管网、实施雨污分流以及污水集中处理和回用等措施；利用公园绿地、低洼地区及周边农田建设调蓄空间。</w:t>
      </w:r>
    </w:p>
    <w:p>
      <w:pPr>
        <w:ind w:firstLine="640"/>
      </w:pPr>
      <w:r>
        <w:rPr>
          <w:rFonts w:hint="eastAsia"/>
        </w:rPr>
        <w:t>2</w:t>
      </w:r>
      <w:r>
        <w:t>.抗震灾害防治</w:t>
      </w:r>
    </w:p>
    <w:p>
      <w:pPr>
        <w:ind w:firstLine="640"/>
      </w:pPr>
      <w:r>
        <w:rPr>
          <w:rFonts w:hint="eastAsia"/>
        </w:rPr>
        <w:t>（1）</w:t>
      </w:r>
      <w:r>
        <w:t>避震疏散场地</w:t>
      </w:r>
    </w:p>
    <w:p>
      <w:pPr>
        <w:ind w:firstLine="640"/>
      </w:pPr>
      <w:r>
        <w:rPr>
          <w:rFonts w:hint="eastAsia"/>
        </w:rPr>
        <w:t>利用公园、绿地、广场、体育场、停车场、学校操场等开敞空间设置人员避震疏散场地，固定避难场所人均有效避难面积不小于</w:t>
      </w:r>
      <w:r>
        <w:t>2.0平方米。</w:t>
      </w:r>
    </w:p>
    <w:p>
      <w:pPr>
        <w:ind w:firstLine="640"/>
      </w:pPr>
      <w:r>
        <w:rPr>
          <w:rFonts w:hint="eastAsia"/>
        </w:rPr>
        <w:t>（2）</w:t>
      </w:r>
      <w:r>
        <w:t>疏散救援通道</w:t>
      </w:r>
    </w:p>
    <w:p>
      <w:pPr>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ind w:firstLine="640"/>
      </w:pPr>
      <w:r>
        <w:rPr>
          <w:rFonts w:hint="eastAsia"/>
        </w:rPr>
        <w:t>（3）</w:t>
      </w:r>
      <w:r>
        <w:t>抗震生命线系统</w:t>
      </w:r>
    </w:p>
    <w:p>
      <w:pPr>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ind w:firstLine="640"/>
      </w:pPr>
      <w:r>
        <w:rPr>
          <w:rFonts w:hint="eastAsia"/>
        </w:rPr>
        <w:t>3</w:t>
      </w:r>
      <w:r>
        <w:t>.地质灾害防治规划</w:t>
      </w:r>
    </w:p>
    <w:p>
      <w:pPr>
        <w:ind w:firstLine="640"/>
      </w:pPr>
      <w:r>
        <w:rPr>
          <w:rFonts w:hint="eastAsia"/>
        </w:rPr>
        <w:t>（1）</w:t>
      </w:r>
      <w:r>
        <w:t>监测预警</w:t>
      </w:r>
    </w:p>
    <w:p>
      <w:pPr>
        <w:ind w:firstLine="640"/>
      </w:pPr>
      <w:r>
        <w:rPr>
          <w:rFonts w:hint="eastAsia"/>
        </w:rPr>
        <w:t>建设地质灾害监测预警体系，建立地质灾害群测群防预警网络及重点地区地质灾害隐患点的专业监测预报网络，建设乡镇地质灾害空间数据库及信息系统。</w:t>
      </w:r>
    </w:p>
    <w:p>
      <w:pPr>
        <w:ind w:firstLine="640"/>
      </w:pPr>
      <w:r>
        <w:rPr>
          <w:rFonts w:hint="eastAsia"/>
        </w:rPr>
        <w:t>（2）</w:t>
      </w:r>
      <w:r>
        <w:t>工程治理</w:t>
      </w:r>
    </w:p>
    <w:p>
      <w:pPr>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ind w:firstLine="640"/>
      </w:pPr>
      <w:r>
        <w:rPr>
          <w:rFonts w:hint="eastAsia"/>
        </w:rPr>
        <w:t>（3）</w:t>
      </w:r>
      <w:r>
        <w:t>避让搬迁</w:t>
      </w:r>
    </w:p>
    <w:p>
      <w:pPr>
        <w:ind w:firstLine="640"/>
      </w:pPr>
      <w:r>
        <w:rPr>
          <w:rFonts w:hint="eastAsia"/>
        </w:rPr>
        <w:t>对突发地质灾害高风险区内的居民，主动采取搬迁措施，避让地质灾害。</w:t>
      </w:r>
    </w:p>
    <w:p>
      <w:pPr>
        <w:ind w:firstLine="640"/>
      </w:pPr>
      <w:r>
        <w:rPr>
          <w:rFonts w:hint="eastAsia"/>
        </w:rPr>
        <w:t>（4）</w:t>
      </w:r>
      <w:r>
        <w:t>宣传培训</w:t>
      </w:r>
    </w:p>
    <w:p>
      <w:pPr>
        <w:ind w:firstLine="640"/>
      </w:pPr>
      <w:r>
        <w:rPr>
          <w:rFonts w:hint="eastAsia"/>
        </w:rPr>
        <w:t>对各村组级开展群测群防知识培训；每年对乡镇地质灾害管理及技术人员进行年度地质灾害防治知识培训。</w:t>
      </w:r>
    </w:p>
    <w:p>
      <w:pPr>
        <w:ind w:firstLine="640"/>
      </w:pPr>
      <w:r>
        <w:rPr>
          <w:rFonts w:hint="eastAsia"/>
        </w:rPr>
        <w:t>4</w:t>
      </w:r>
      <w:r>
        <w:t>.突发公共卫生事件防御规划</w:t>
      </w:r>
    </w:p>
    <w:p>
      <w:pPr>
        <w:ind w:firstLine="640"/>
      </w:pPr>
      <w:r>
        <w:rPr>
          <w:rFonts w:hint="eastAsia"/>
        </w:rPr>
        <w:t>结合内乡县医疗卫生机构，构建突发公共卫生事件日常监测体系，以处理各类突发公共卫生事件信息分析。与内乡县共同构建县</w:t>
      </w:r>
      <w:r>
        <w:t>-</w:t>
      </w:r>
      <w:r>
        <w:rPr>
          <w:rFonts w:hint="eastAsia"/>
        </w:rPr>
        <w:t>乡镇</w:t>
      </w:r>
      <w:r>
        <w:t>-村三级公共卫生事件疫情预警与指挥体系，依托药店、车站、学校、社区、机关企事业单位等设施作为公共卫生事件的监测哨点，全面提升疫情监测预警能力。</w:t>
      </w:r>
    </w:p>
    <w:p>
      <w:pPr>
        <w:ind w:firstLine="640"/>
      </w:pPr>
      <w:r>
        <w:rPr>
          <w:rFonts w:hint="eastAsia"/>
        </w:rPr>
        <w:t>5</w:t>
      </w:r>
      <w:r>
        <w:t>.气象灾害防御规划</w:t>
      </w:r>
    </w:p>
    <w:p>
      <w:pPr>
        <w:ind w:firstLine="640"/>
      </w:pPr>
      <w:r>
        <w:t>加强气象灾害预警应急体系建设。加快现场气象应急保障系统建设，提高应急处置的能力和效率。</w:t>
      </w:r>
    </w:p>
    <w:p>
      <w:pPr>
        <w:ind w:firstLine="640"/>
      </w:pPr>
      <w:r>
        <w:rPr>
          <w:rFonts w:hint="eastAsia"/>
        </w:rPr>
        <w:t>6</w:t>
      </w:r>
      <w:r>
        <w:t>.消防规划</w:t>
      </w:r>
    </w:p>
    <w:p>
      <w:pPr>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ind w:firstLine="640"/>
      </w:pPr>
      <w:r>
        <w:rPr>
          <w:rFonts w:hint="eastAsia"/>
        </w:rPr>
        <w:t>7</w:t>
      </w:r>
      <w:r>
        <w:t>.危险品安全布局与防治规划</w:t>
      </w:r>
    </w:p>
    <w:p>
      <w:pPr>
        <w:ind w:firstLine="640"/>
      </w:pPr>
      <w:r>
        <w:rPr>
          <w:rFonts w:hint="eastAsia"/>
        </w:rPr>
        <w:t>（1）</w:t>
      </w:r>
      <w:r>
        <w:t>重大危险源选址要求</w:t>
      </w:r>
    </w:p>
    <w:p>
      <w:pPr>
        <w:ind w:firstLine="640"/>
      </w:pPr>
      <w:r>
        <w:t>1）充分考虑地质因素以及气象危害，采取可靠技术方案，避开地质复杂地</w:t>
      </w:r>
      <w:r>
        <w:rPr>
          <w:rFonts w:hint="eastAsia"/>
        </w:rPr>
        <w:t>区</w:t>
      </w:r>
      <w:r>
        <w:t>。</w:t>
      </w:r>
    </w:p>
    <w:p>
      <w:pPr>
        <w:ind w:firstLine="640"/>
      </w:pPr>
      <w:r>
        <w:t>2）危险源所在地应不受洪水、湖水和内涝的威胁。</w:t>
      </w:r>
    </w:p>
    <w:p>
      <w:pPr>
        <w:ind w:firstLine="640"/>
      </w:pPr>
      <w:r>
        <w:t>3）一般应位于城市全年最小频率风向的上风方向。</w:t>
      </w:r>
    </w:p>
    <w:p>
      <w:pPr>
        <w:ind w:firstLine="640"/>
      </w:pPr>
      <w:r>
        <w:t>4）重大危险源与周边社区距离应符合有关法律、法规和标准的规定。</w:t>
      </w:r>
    </w:p>
    <w:p>
      <w:pPr>
        <w:ind w:firstLine="640"/>
      </w:pPr>
      <w:r>
        <w:t>5）重大危险源企业内部的平面布局应符合《工业企业总平面设计规划规范》(GB50187-2012)等国家标准规范的有关布局内容的要求。</w:t>
      </w:r>
    </w:p>
    <w:p>
      <w:pPr>
        <w:ind w:firstLine="640"/>
      </w:pPr>
      <w:r>
        <w:t>6）应充分考虑重大危险源的应急通信系统、应急电源、消防设施、监控系统、救援装备、物资器材等安全设施配套。</w:t>
      </w:r>
    </w:p>
    <w:p>
      <w:pPr>
        <w:ind w:firstLine="640"/>
      </w:pPr>
      <w:r>
        <w:rPr>
          <w:rFonts w:hint="eastAsia"/>
        </w:rPr>
        <w:t>（2）</w:t>
      </w:r>
      <w:r>
        <w:t>风险防范措施</w:t>
      </w:r>
    </w:p>
    <w:p>
      <w:pPr>
        <w:ind w:firstLine="640"/>
      </w:pPr>
      <w:r>
        <w:t>1）各企业特别是重污染三类工业选址建设时应远离居民区，其间设置一定的隔离带，减缓对居民的影响，企业严格落实环评及安评制度，环境风险值高的企业应加强要求或不予批准入区建设；储罐区集中并远离高温和明火装置区。拟建罐区300米范围内不得建设居民点，该类企业的办公生活区也应符合安全防护距离的要求。</w:t>
      </w:r>
    </w:p>
    <w:p>
      <w:pPr>
        <w:ind w:firstLine="640"/>
      </w:pPr>
      <w:r>
        <w:t>2）危险化学品储罐区应加装危险物质检测及报警装置，四周加强绿化。在总平面布置时，对生产区和储存区进行优化组合，减少风险事故发生的节点；应避免相关危险源出现在同一空间或相邻空间，避免“链条效应”和“群发效应”。</w:t>
      </w:r>
    </w:p>
    <w:p>
      <w:pPr>
        <w:ind w:firstLine="640"/>
      </w:pPr>
      <w:r>
        <w:t>3）在保持规划产业定位的情况下，建议发展下游消耗危险物质的产业，拉长产业链的同时减少有毒有害、易燃易爆物质在集聚区内的储存量，降低集聚区的环境风险。</w:t>
      </w:r>
    </w:p>
    <w:p>
      <w:pPr>
        <w:ind w:firstLine="640"/>
      </w:pPr>
      <w:r>
        <w:t>4）加强对易燃易爆和有毒有害危险化学品的生产、储存、经营、运输、使用和废弃处置的安全监管，完善的监控设施，提高设施的安全水平；对剧毒化学品的储存量应以维持正常运转为限，不能超量储存；</w:t>
      </w:r>
    </w:p>
    <w:p>
      <w:pPr>
        <w:ind w:firstLine="640"/>
      </w:pPr>
      <w:r>
        <w:t>5）企业建立完备的风险管理部门，实行专人负责制，制定必须的风险应急预案并定期演练；还应建立一套事故应急监测系统，为事故处理决策提供科学依据，落实灾害救援组织和物质保障，形成</w:t>
      </w:r>
      <w:r>
        <w:rPr>
          <w:rFonts w:hint="eastAsia"/>
        </w:rPr>
        <w:t>镇</w:t>
      </w:r>
      <w:r>
        <w:t>政府和企业的联合灾害救援体系。</w:t>
      </w:r>
    </w:p>
    <w:p>
      <w:pPr>
        <w:ind w:firstLine="640"/>
      </w:pPr>
      <w:r>
        <w:t>6）强化安全教育和健康教育。</w:t>
      </w:r>
    </w:p>
    <w:p>
      <w:pPr>
        <w:spacing w:before="65"/>
        <w:ind w:firstLine="640"/>
      </w:pPr>
      <w:r>
        <w:br w:type="page"/>
      </w:r>
    </w:p>
    <w:p>
      <w:pPr>
        <w:spacing w:before="65"/>
        <w:ind w:firstLine="640"/>
      </w:pPr>
    </w:p>
    <w:p>
      <w:pPr>
        <w:pStyle w:val="2"/>
        <w:spacing w:before="489" w:beforeLines="150" w:after="489" w:afterLines="150"/>
      </w:pPr>
      <w:bookmarkStart w:id="109" w:name="_Toc185608309"/>
      <w:bookmarkStart w:id="110" w:name="_Toc221006511"/>
      <w:bookmarkStart w:id="111" w:name="_Hlk142923403"/>
      <w:r>
        <w:t>历史文化与景观风貌规划</w:t>
      </w:r>
      <w:bookmarkEnd w:id="109"/>
      <w:bookmarkEnd w:id="110"/>
    </w:p>
    <w:bookmarkEnd w:id="111"/>
    <w:p>
      <w:pPr>
        <w:pStyle w:val="3"/>
        <w:spacing w:before="326" w:beforeLines="100" w:after="326" w:afterLines="100"/>
      </w:pPr>
      <w:bookmarkStart w:id="112" w:name="_Toc185608310"/>
      <w:bookmarkStart w:id="113" w:name="_Hlk142923409"/>
      <w:r>
        <w:rPr>
          <w:rFonts w:hint="eastAsia"/>
        </w:rPr>
        <w:t>历史文化保护传承</w:t>
      </w:r>
      <w:bookmarkEnd w:id="112"/>
    </w:p>
    <w:bookmarkEnd w:id="113"/>
    <w:p>
      <w:pPr>
        <w:pStyle w:val="4"/>
        <w:spacing w:before="195" w:beforeLines="60" w:after="195" w:afterLines="60" w:line="240" w:lineRule="auto"/>
      </w:pPr>
      <w:bookmarkStart w:id="114" w:name="_Hlk142923435"/>
      <w:r>
        <w:rPr>
          <w:rFonts w:hint="eastAsia"/>
        </w:rPr>
        <w:t>乡镇历史文化遗存</w:t>
      </w:r>
    </w:p>
    <w:bookmarkEnd w:id="114"/>
    <w:p>
      <w:pPr>
        <w:spacing w:before="65"/>
        <w:ind w:firstLine="640"/>
      </w:pPr>
      <w:r>
        <w:rPr>
          <w:rFonts w:hint="eastAsia"/>
          <w:u w:val="single"/>
        </w:rPr>
        <w:t>板场乡历史文化资源包括不可移动文物；乡镇内现存不可移动文物</w:t>
      </w:r>
      <w:r>
        <w:rPr>
          <w:u w:val="single"/>
        </w:rPr>
        <w:t>1处，</w:t>
      </w:r>
      <w:r>
        <w:rPr>
          <w:rFonts w:hint="eastAsia"/>
          <w:u w:val="single"/>
        </w:rPr>
        <w:t>为符庄墓葬，县级文物保护单位</w:t>
      </w:r>
      <w:r>
        <w:rPr>
          <w:u w:val="single"/>
        </w:rPr>
        <w:t>。历史文化资源详见附表6</w:t>
      </w:r>
      <w:r>
        <w:rPr>
          <w:rFonts w:hint="eastAsia"/>
        </w:rPr>
        <w:t>。</w:t>
      </w:r>
    </w:p>
    <w:p>
      <w:pPr>
        <w:pStyle w:val="4"/>
        <w:spacing w:before="195" w:beforeLines="60" w:after="195" w:afterLines="60" w:line="240" w:lineRule="auto"/>
      </w:pPr>
      <w:bookmarkStart w:id="115" w:name="_Hlk142923456"/>
      <w:r>
        <w:rPr>
          <w:rFonts w:hint="eastAsia"/>
        </w:rPr>
        <w:t>乡镇历史文化保护规划</w:t>
      </w:r>
    </w:p>
    <w:bookmarkEnd w:id="115"/>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beforeLines="60" w:after="195" w:afterLines="60" w:line="240" w:lineRule="auto"/>
      </w:pPr>
      <w:bookmarkStart w:id="116" w:name="_Hlk142923462"/>
      <w:r>
        <w:rPr>
          <w:rFonts w:hint="eastAsia"/>
        </w:rPr>
        <w:t>历史文化传承与活化利用</w:t>
      </w:r>
    </w:p>
    <w:bookmarkEnd w:id="116"/>
    <w:p>
      <w:pPr>
        <w:spacing w:before="65"/>
        <w:ind w:firstLine="640"/>
      </w:pPr>
      <w:r>
        <w:rPr>
          <w:rFonts w:hint="eastAsia"/>
        </w:rPr>
        <w:t>在保护基础上加强对各类历史文化遗产的研究，多层次、全方位、持续性的挖掘历史故事、文化价值。构建融入生产生活的历史文化展示线路、廊道和网络。加大文物开放力度，活化利用历史建筑、时代遗产，在保持原有外观风貌、典型构件的基础上，通过加建、改建和添加设施等方式适应现代生产生活需要。促进非物质文化遗产合理利用，推动非物质文化遗产融入现代生产生活。</w:t>
      </w:r>
    </w:p>
    <w:p>
      <w:pPr>
        <w:spacing w:before="65"/>
        <w:ind w:firstLine="640"/>
      </w:pPr>
      <w:r>
        <w:rPr>
          <w:rFonts w:hint="eastAsia"/>
        </w:rPr>
        <w:t>深入挖掘特色村庄历史文化资源，依托二龙山等旅游景点，打造康体养生游、特色乡村游等精品旅游线路。</w:t>
      </w:r>
    </w:p>
    <w:p>
      <w:pPr>
        <w:spacing w:before="65"/>
        <w:ind w:firstLine="640"/>
      </w:pPr>
      <w:r>
        <w:rPr>
          <w:rFonts w:hint="eastAsia"/>
        </w:rPr>
        <w:t>加大历史文化资源的挖掘保护弘扬力度，保护不可移动文物本体及其所处的环境，根据文化旅游的需要，加强不可移动文物景观环境的塑造，提升历史文化及景观资源的综合价值。缝合文化资源碎片空间，建构文化展示体系，塑造富有魅力的文化空间节点。</w:t>
      </w:r>
    </w:p>
    <w:p>
      <w:pPr>
        <w:pStyle w:val="3"/>
        <w:spacing w:before="326" w:beforeLines="100" w:after="326" w:afterLines="100"/>
      </w:pPr>
      <w:bookmarkStart w:id="117" w:name="_Toc185608311"/>
      <w:bookmarkStart w:id="118" w:name="_Hlk142923416"/>
      <w:r>
        <w:rPr>
          <w:rFonts w:hint="eastAsia"/>
        </w:rPr>
        <w:t>乡村景观风貌管控</w:t>
      </w:r>
      <w:bookmarkEnd w:id="117"/>
    </w:p>
    <w:bookmarkEnd w:id="118"/>
    <w:p>
      <w:pPr>
        <w:pStyle w:val="4"/>
        <w:spacing w:before="195" w:beforeLines="60" w:after="195" w:afterLines="60" w:line="240" w:lineRule="auto"/>
      </w:pPr>
      <w:bookmarkStart w:id="119" w:name="_Hlk142923561"/>
      <w:r>
        <w:rPr>
          <w:rFonts w:hint="eastAsia"/>
        </w:rPr>
        <w:t>乡村风貌总体定位</w:t>
      </w:r>
    </w:p>
    <w:bookmarkEnd w:id="119"/>
    <w:p>
      <w:pPr>
        <w:spacing w:before="65" w:after="120"/>
        <w:ind w:firstLine="640"/>
      </w:pPr>
      <w:r>
        <w:rPr>
          <w:rFonts w:hint="eastAsia"/>
        </w:rPr>
        <w:t>依据板场乡整体地形地势及发展现状，将板场乡乡村风貌定位为：豫西南深山区小镇风貌。提升乡村地区的时代特征和乡村气息，注重村庄布局和山水景观、农田景观的协调，避免破坏乡村原有的形态格局，充分体现乡村风光。</w:t>
      </w:r>
    </w:p>
    <w:p>
      <w:pPr>
        <w:pStyle w:val="4"/>
        <w:spacing w:before="195" w:beforeLines="60" w:after="195" w:afterLines="60" w:line="240" w:lineRule="auto"/>
      </w:pPr>
      <w:bookmarkStart w:id="120" w:name="_Hlk142923566"/>
      <w:r>
        <w:rPr>
          <w:rFonts w:hint="eastAsia"/>
        </w:rPr>
        <w:t>乡村风貌总体框架</w:t>
      </w:r>
    </w:p>
    <w:bookmarkEnd w:id="120"/>
    <w:p>
      <w:pPr>
        <w:spacing w:before="65"/>
        <w:ind w:firstLine="640"/>
      </w:pPr>
      <w:r>
        <w:rPr>
          <w:rFonts w:hint="eastAsia"/>
        </w:rPr>
        <w:t>依托板场乡本底自然生态环境，结合文化景观资源，构建“两轴一带三心多点”的全域景观风貌系统。</w:t>
      </w:r>
    </w:p>
    <w:p>
      <w:pPr>
        <w:spacing w:before="65"/>
        <w:ind w:firstLine="640"/>
      </w:pPr>
      <w:r>
        <w:rPr>
          <w:rFonts w:hint="eastAsia"/>
        </w:rPr>
        <w:t>两轴：沿</w:t>
      </w:r>
      <w:r>
        <w:t>G241、Y001形成的乡村景观风貌轴。</w:t>
      </w:r>
    </w:p>
    <w:p>
      <w:pPr>
        <w:spacing w:before="65"/>
        <w:ind w:firstLine="640"/>
      </w:pPr>
      <w:r>
        <w:rPr>
          <w:rFonts w:hint="eastAsia"/>
        </w:rPr>
        <w:t>一带：让河景观带。</w:t>
      </w:r>
    </w:p>
    <w:p>
      <w:pPr>
        <w:spacing w:before="65"/>
        <w:ind w:firstLine="640"/>
      </w:pPr>
      <w:r>
        <w:rPr>
          <w:rFonts w:hint="eastAsia"/>
        </w:rPr>
        <w:t>三心：集镇区、后湖村、让河村节点。</w:t>
      </w:r>
    </w:p>
    <w:p>
      <w:pPr>
        <w:spacing w:before="65"/>
        <w:ind w:firstLine="640"/>
      </w:pPr>
      <w:r>
        <w:rPr>
          <w:rFonts w:hint="eastAsia"/>
        </w:rPr>
        <w:t>多点：各村庄景观节点</w:t>
      </w:r>
      <w:r>
        <w:t>。</w:t>
      </w:r>
    </w:p>
    <w:p>
      <w:pPr>
        <w:pStyle w:val="4"/>
        <w:spacing w:before="195" w:beforeLines="60" w:after="195" w:afterLines="60" w:line="240" w:lineRule="auto"/>
      </w:pPr>
      <w:bookmarkStart w:id="121" w:name="_Hlk142923571"/>
      <w:r>
        <w:rPr>
          <w:rFonts w:hint="eastAsia"/>
        </w:rPr>
        <w:t>乡村风貌分区引导</w:t>
      </w:r>
    </w:p>
    <w:bookmarkEnd w:id="121"/>
    <w:p>
      <w:pPr>
        <w:spacing w:before="65"/>
        <w:ind w:firstLine="640"/>
      </w:pPr>
      <w:r>
        <w:rPr>
          <w:rFonts w:hint="eastAsia"/>
        </w:rPr>
        <w:t>依据地貌特征、社会经济发展状况，将板场乡划分为山间风貌区，营造富有特色的“山水路林村”相协调的乡土田园景观格局；该区域延续山水格局和乡村田园风貌，在空间尺度和建筑风貌等体现地方特色。鼓励种植体现本土特色的植物，凸显田园特色风貌，村庄建筑采用本土民居建筑风格，控制建筑高度，强化建筑色彩与建筑材质的管控，彰显特色乡韵，突出青山绿水的特色。</w:t>
      </w:r>
    </w:p>
    <w:p>
      <w:pPr>
        <w:spacing w:before="65"/>
        <w:ind w:firstLine="640"/>
      </w:pPr>
      <w:r>
        <w:rPr>
          <w:rFonts w:hint="eastAsia"/>
        </w:rPr>
        <w:t>让河村结合二龙山旅游区的建设，随山应势，在空间尺度与建筑风貌等方面体现地方特色，控制大规模生产生活设施建设，注重村庄形态与山体地形的协调，新建建筑应延续村落肌理，风貌与周边环境及现有村落协调统一。建筑色彩上采用“黑、白、灰”三种颜色搭配，达到朴素而简洁的外观效果，突出传统的雅致风韵，使建筑色调融入自然环境。</w:t>
      </w:r>
    </w:p>
    <w:p>
      <w:pPr>
        <w:spacing w:before="65"/>
        <w:ind w:firstLine="640"/>
      </w:pPr>
      <w:r>
        <w:br w:type="page"/>
      </w:r>
    </w:p>
    <w:p>
      <w:pPr>
        <w:spacing w:before="65"/>
        <w:ind w:firstLine="640"/>
      </w:pPr>
      <w:bookmarkStart w:id="122" w:name="_Hlk150184672"/>
      <w:bookmarkStart w:id="123" w:name="_Hlk185606013"/>
    </w:p>
    <w:bookmarkEnd w:id="97"/>
    <w:bookmarkEnd w:id="98"/>
    <w:bookmarkEnd w:id="122"/>
    <w:bookmarkEnd w:id="123"/>
    <w:p>
      <w:pPr>
        <w:pStyle w:val="2"/>
        <w:spacing w:before="489" w:beforeLines="150" w:after="489" w:afterLines="150"/>
      </w:pPr>
      <w:bookmarkStart w:id="124" w:name="_Toc23050"/>
      <w:bookmarkEnd w:id="124"/>
      <w:bookmarkStart w:id="125" w:name="_Toc122364769"/>
      <w:bookmarkEnd w:id="125"/>
      <w:bookmarkStart w:id="126" w:name="_Toc122362359"/>
      <w:bookmarkEnd w:id="126"/>
      <w:bookmarkStart w:id="127" w:name="_Toc221006512"/>
      <w:bookmarkStart w:id="128" w:name="_Toc185608315"/>
      <w:r>
        <w:rPr>
          <w:rFonts w:hint="eastAsia"/>
        </w:rPr>
        <w:t>乡镇政府驻地规划</w:t>
      </w:r>
      <w:bookmarkEnd w:id="127"/>
      <w:bookmarkEnd w:id="128"/>
    </w:p>
    <w:p>
      <w:pPr>
        <w:pStyle w:val="3"/>
        <w:spacing w:before="326" w:beforeLines="100" w:after="326" w:afterLines="100"/>
      </w:pPr>
      <w:bookmarkStart w:id="129" w:name="_Toc185608316"/>
      <w:r>
        <w:rPr>
          <w:rFonts w:hint="eastAsia"/>
        </w:rPr>
        <w:t>发展规模、发展方向</w:t>
      </w:r>
      <w:bookmarkEnd w:id="129"/>
    </w:p>
    <w:p>
      <w:pPr>
        <w:pStyle w:val="4"/>
        <w:spacing w:before="195" w:beforeLines="60" w:after="195" w:afterLines="60" w:line="240" w:lineRule="auto"/>
      </w:pPr>
      <w:r>
        <w:rPr>
          <w:rFonts w:hint="eastAsia"/>
        </w:rPr>
        <w:t>发展规模</w:t>
      </w:r>
    </w:p>
    <w:p>
      <w:pPr>
        <w:pStyle w:val="5"/>
        <w:ind w:firstLine="640"/>
      </w:pPr>
      <w:bookmarkStart w:id="130" w:name="_Hlk206682324"/>
      <w:r>
        <w:rPr>
          <w:rFonts w:hint="eastAsia"/>
        </w:rPr>
        <w:t>人口规模</w:t>
      </w:r>
    </w:p>
    <w:p>
      <w:pPr>
        <w:spacing w:before="65"/>
        <w:ind w:firstLine="640"/>
      </w:pPr>
      <w:r>
        <w:rPr>
          <w:rFonts w:hint="eastAsia"/>
        </w:rPr>
        <w:t>规划集镇区人口规模为</w:t>
      </w:r>
      <w:r>
        <w:t>0.17</w:t>
      </w:r>
      <w:r>
        <w:rPr>
          <w:rFonts w:hint="eastAsia"/>
        </w:rPr>
        <w:t>万人。</w:t>
      </w:r>
    </w:p>
    <w:p>
      <w:pPr>
        <w:pStyle w:val="5"/>
        <w:ind w:firstLine="640"/>
      </w:pPr>
      <w:r>
        <w:rPr>
          <w:rFonts w:hint="eastAsia"/>
        </w:rPr>
        <w:t>集镇区规模</w:t>
      </w:r>
    </w:p>
    <w:bookmarkEnd w:id="130"/>
    <w:p>
      <w:pPr>
        <w:spacing w:before="65"/>
        <w:ind w:firstLine="640"/>
      </w:pPr>
      <w:r>
        <w:rPr>
          <w:rFonts w:hint="eastAsia"/>
        </w:rPr>
        <w:t>集镇区规划范围面积为</w:t>
      </w:r>
      <w:r>
        <w:t>30.51公顷。</w:t>
      </w:r>
    </w:p>
    <w:p>
      <w:pPr>
        <w:pStyle w:val="3"/>
        <w:spacing w:before="326" w:beforeLines="100" w:after="326" w:afterLines="100"/>
      </w:pPr>
      <w:bookmarkStart w:id="131" w:name="_Toc185608317"/>
      <w:r>
        <w:rPr>
          <w:rFonts w:hint="eastAsia"/>
        </w:rPr>
        <w:t>用地布局</w:t>
      </w:r>
      <w:bookmarkEnd w:id="131"/>
    </w:p>
    <w:p>
      <w:pPr>
        <w:pStyle w:val="4"/>
        <w:spacing w:before="195" w:beforeLines="60" w:after="195" w:afterLines="60" w:line="240" w:lineRule="auto"/>
      </w:pPr>
      <w:r>
        <w:rPr>
          <w:rFonts w:hint="eastAsia"/>
        </w:rPr>
        <w:t>用地布局</w:t>
      </w:r>
    </w:p>
    <w:p>
      <w:pPr>
        <w:spacing w:before="65"/>
        <w:ind w:firstLine="640"/>
      </w:pPr>
      <w:r>
        <w:rPr>
          <w:rFonts w:hint="eastAsia"/>
        </w:rPr>
        <w:t>优化集镇区用地结构，完善用地功能布局。推进集镇区空间高质量发展，科学配置公共资源，统筹安排集镇区建设、产业发展、基础设施和公共服务，优化完善集集镇区功能。</w:t>
      </w:r>
    </w:p>
    <w:p>
      <w:pPr>
        <w:spacing w:before="65"/>
        <w:ind w:firstLine="640"/>
      </w:pPr>
      <w:r>
        <w:rPr>
          <w:rFonts w:hint="eastAsia"/>
        </w:rPr>
        <w:t>合理配置居住用地。统筹居住用地供给和人口发展，适度增加城镇居住用地供给。规划城镇住宅用地</w:t>
      </w:r>
      <w:r>
        <w:t>13.70公顷，人均居住用地面积为78.47平方米，占集集镇区建设用地面积的44.90%。</w:t>
      </w:r>
    </w:p>
    <w:p>
      <w:pPr>
        <w:spacing w:before="65"/>
        <w:ind w:firstLine="640"/>
      </w:pPr>
      <w:r>
        <w:rPr>
          <w:rFonts w:hint="eastAsia"/>
        </w:rPr>
        <w:t>统筹公共管理与服务设施用地。提升公共服务能力，促进公共资源相对集中布局，补充完善集镇区公共服务设施。规划公共管理与服务设施用地</w:t>
      </w:r>
      <w:r>
        <w:t>6.26公顷，占集镇区建设用地面积的20.52%。</w:t>
      </w:r>
    </w:p>
    <w:p>
      <w:pPr>
        <w:spacing w:before="65"/>
        <w:ind w:firstLine="640"/>
      </w:pPr>
      <w:r>
        <w:rPr>
          <w:rFonts w:hint="eastAsia"/>
        </w:rPr>
        <w:t>合理安排商业服务业用地。促进商业高品质发展，提升集镇区活力。规划商业服务业用地</w:t>
      </w:r>
      <w:r>
        <w:t>0.98公顷，占集镇区建设用地面积的3.22%。</w:t>
      </w:r>
    </w:p>
    <w:p>
      <w:pPr>
        <w:spacing w:before="65"/>
        <w:ind w:firstLine="640"/>
      </w:pPr>
      <w:r>
        <w:rPr>
          <w:rFonts w:hint="eastAsia"/>
        </w:rPr>
        <w:t>增加绿地与开敞空间。规划绿地与开敞空间用地</w:t>
      </w:r>
      <w:r>
        <w:t>2.52公顷，占集镇区建设用地面积的8.26%。其中，公园绿地2.34公顷，人均公园绿地面积13.40平方米。</w:t>
      </w:r>
    </w:p>
    <w:p>
      <w:pPr>
        <w:spacing w:before="65"/>
        <w:ind w:firstLine="640"/>
      </w:pPr>
      <w:r>
        <w:rPr>
          <w:rFonts w:hint="eastAsia"/>
        </w:rPr>
        <w:t>规划工矿用地</w:t>
      </w:r>
      <w:r>
        <w:t>3.33公顷，占集镇区建设用地面积的10.92%。</w:t>
      </w:r>
    </w:p>
    <w:p>
      <w:pPr>
        <w:spacing w:before="65"/>
        <w:ind w:firstLine="640"/>
      </w:pPr>
      <w:r>
        <w:rPr>
          <w:rFonts w:hint="eastAsia"/>
        </w:rPr>
        <w:t>规划交通运输用地</w:t>
      </w:r>
      <w:r>
        <w:t>3.01公顷，占集镇区建设用地面积的9.87%。</w:t>
      </w:r>
    </w:p>
    <w:p>
      <w:pPr>
        <w:spacing w:before="65"/>
        <w:ind w:firstLine="640"/>
      </w:pPr>
      <w:r>
        <w:rPr>
          <w:rFonts w:hint="eastAsia"/>
        </w:rPr>
        <w:t>规划公用设施用地</w:t>
      </w:r>
      <w:r>
        <w:t>0.53公顷，占集镇区建设用地面积的1.74%。</w:t>
      </w:r>
    </w:p>
    <w:p>
      <w:pPr>
        <w:spacing w:before="65"/>
        <w:ind w:firstLine="640"/>
      </w:pPr>
      <w:r>
        <w:rPr>
          <w:rFonts w:hint="eastAsia"/>
        </w:rPr>
        <w:t>规划陆地水域</w:t>
      </w:r>
      <w:r>
        <w:t>0.18公顷，占集镇区建设用地面积的0.58%</w:t>
      </w:r>
      <w:r>
        <w:rPr>
          <w:rFonts w:hint="eastAsia"/>
        </w:rPr>
        <w:t>。</w:t>
      </w:r>
    </w:p>
    <w:p>
      <w:pPr>
        <w:pStyle w:val="3"/>
        <w:spacing w:before="326" w:beforeLines="100" w:after="326" w:afterLines="100"/>
      </w:pPr>
      <w:bookmarkStart w:id="132" w:name="_Toc185608318"/>
      <w:r>
        <w:t>公共服务设施</w:t>
      </w:r>
      <w:r>
        <w:rPr>
          <w:rFonts w:hint="eastAsia"/>
        </w:rPr>
        <w:t>规划</w:t>
      </w:r>
      <w:bookmarkEnd w:id="132"/>
    </w:p>
    <w:p>
      <w:pPr>
        <w:pStyle w:val="4"/>
        <w:spacing w:before="195" w:beforeLines="60" w:after="195" w:afterLines="60" w:line="240" w:lineRule="auto"/>
      </w:pPr>
      <w:r>
        <w:t>公共管理与公共服务设施</w:t>
      </w:r>
    </w:p>
    <w:p>
      <w:pPr>
        <w:ind w:firstLine="640"/>
      </w:pPr>
      <w:r>
        <w:rPr>
          <w:rFonts w:hint="eastAsia"/>
          <w:lang w:bidi="ar"/>
        </w:rPr>
        <w:t>规划集镇区公共服务设施用地规模为</w:t>
      </w:r>
      <w:r>
        <w:rPr>
          <w:lang w:bidi="ar"/>
        </w:rPr>
        <w:t>6.26公顷，占规划用地的20.52%</w:t>
      </w:r>
      <w:r>
        <w:rPr>
          <w:rFonts w:hint="eastAsia"/>
        </w:rPr>
        <w:t>。</w:t>
      </w:r>
    </w:p>
    <w:p>
      <w:pPr>
        <w:ind w:firstLine="640"/>
      </w:pPr>
      <w:r>
        <w:rPr>
          <w:rFonts w:hint="eastAsia"/>
        </w:rPr>
        <w:t>1</w:t>
      </w:r>
      <w:r>
        <w:t>.</w:t>
      </w:r>
      <w:r>
        <w:rPr>
          <w:rFonts w:hint="eastAsia"/>
        </w:rPr>
        <w:t>机关团体用地规划</w:t>
      </w:r>
    </w:p>
    <w:p>
      <w:pPr>
        <w:ind w:firstLine="640"/>
      </w:pPr>
      <w:r>
        <w:rPr>
          <w:rFonts w:hint="eastAsia"/>
          <w:lang w:bidi="ar"/>
        </w:rPr>
        <w:t>规划机关团体用地面积为</w:t>
      </w:r>
      <w:r>
        <w:rPr>
          <w:lang w:bidi="ar"/>
        </w:rPr>
        <w:t>2.68公顷，占集镇区建设用地面积的8.79%，主要为</w:t>
      </w:r>
      <w:r>
        <w:rPr>
          <w:rFonts w:hint="eastAsia"/>
          <w:lang w:bidi="ar"/>
        </w:rPr>
        <w:t>乡政府、派出所、土地所、公路局</w:t>
      </w:r>
      <w:r>
        <w:rPr>
          <w:lang w:bidi="ar"/>
        </w:rPr>
        <w:t>等</w:t>
      </w:r>
      <w:r>
        <w:rPr>
          <w:rFonts w:hint="eastAsia"/>
        </w:rPr>
        <w:t>。</w:t>
      </w:r>
    </w:p>
    <w:p>
      <w:pPr>
        <w:ind w:firstLine="640"/>
      </w:pPr>
      <w:r>
        <w:rPr>
          <w:rFonts w:hint="eastAsia"/>
        </w:rPr>
        <w:t>2</w:t>
      </w:r>
      <w:r>
        <w:t>.</w:t>
      </w:r>
      <w:r>
        <w:rPr>
          <w:rFonts w:hint="eastAsia"/>
        </w:rPr>
        <w:t>文化设施用地规划</w:t>
      </w:r>
    </w:p>
    <w:p>
      <w:pPr>
        <w:ind w:firstLine="640"/>
        <w:rPr>
          <w:lang w:bidi="ar"/>
        </w:rPr>
      </w:pPr>
      <w:r>
        <w:rPr>
          <w:rFonts w:hint="eastAsia"/>
          <w:lang w:bidi="ar"/>
        </w:rPr>
        <w:t>在集镇区西侧新建一处文体中心，用地面积为</w:t>
      </w:r>
      <w:r>
        <w:rPr>
          <w:lang w:bidi="ar"/>
        </w:rPr>
        <w:t>0.33公顷，占集镇区建设用地面积的1.07%，满足乡镇大型文化体育活动需求；人均文体设施用地面积为1.89平方米。</w:t>
      </w:r>
    </w:p>
    <w:p>
      <w:pPr>
        <w:ind w:firstLine="640"/>
      </w:pPr>
      <w:r>
        <w:rPr>
          <w:rFonts w:hint="eastAsia"/>
          <w:lang w:bidi="ar"/>
        </w:rPr>
        <w:t>结合社区布局社区级文化设施，配建社区级文化活动站。文化活动站依据相关标准配置图书阅览室、科技普法、教育培训等文化设施，并设置专门针对老人、儿童及青少年活动的文化设施。结合绿地建设小型体育设施，方便居民就近使用</w:t>
      </w:r>
      <w:r>
        <w:rPr>
          <w:rFonts w:hint="eastAsia"/>
        </w:rPr>
        <w:t>。</w:t>
      </w:r>
    </w:p>
    <w:p>
      <w:pPr>
        <w:ind w:firstLine="640"/>
      </w:pPr>
      <w:r>
        <w:rPr>
          <w:rFonts w:hint="eastAsia"/>
        </w:rPr>
        <w:t>3</w:t>
      </w:r>
      <w:r>
        <w:t>.</w:t>
      </w:r>
      <w:r>
        <w:rPr>
          <w:rFonts w:hint="eastAsia"/>
        </w:rPr>
        <w:t>教育用地规划</w:t>
      </w:r>
    </w:p>
    <w:p>
      <w:pPr>
        <w:ind w:firstLine="640"/>
        <w:rPr>
          <w:lang w:bidi="ar"/>
        </w:rPr>
      </w:pPr>
      <w:r>
        <w:rPr>
          <w:rFonts w:hint="eastAsia"/>
          <w:lang w:bidi="ar"/>
        </w:rPr>
        <w:t>规划教育用地主要为保留现状板场乡初级中学、小学、幼儿园，满足集镇区需求；用地面积为</w:t>
      </w:r>
      <w:r>
        <w:rPr>
          <w:lang w:bidi="ar"/>
        </w:rPr>
        <w:t>2.69公顷，占集镇区建设用地面积的8.81%，人均教育用地面积15.41平方米。</w:t>
      </w:r>
    </w:p>
    <w:p>
      <w:pPr>
        <w:ind w:firstLine="640"/>
      </w:pPr>
      <w:r>
        <w:rPr>
          <w:rFonts w:hint="eastAsia"/>
          <w:lang w:bidi="ar"/>
        </w:rPr>
        <w:t>规划保留现状板场乡初级中学，规模为</w:t>
      </w:r>
      <w:r>
        <w:rPr>
          <w:lang w:bidi="ar"/>
        </w:rPr>
        <w:t>9班，可以满足全乡居民的中学就学需求。规划保留现状中心小学，规模为9班，满足乡域居民集镇区就学的需求。规划保留集镇区幼儿园，满足集镇区幼儿就学需求</w:t>
      </w:r>
      <w:r>
        <w:rPr>
          <w:rFonts w:hint="eastAsia"/>
        </w:rPr>
        <w:t>。</w:t>
      </w:r>
    </w:p>
    <w:p>
      <w:pPr>
        <w:ind w:firstLine="640"/>
      </w:pPr>
      <w:r>
        <w:rPr>
          <w:rFonts w:hint="eastAsia"/>
        </w:rPr>
        <w:t>4</w:t>
      </w:r>
      <w:r>
        <w:t>.</w:t>
      </w:r>
      <w:r>
        <w:rPr>
          <w:rFonts w:hint="eastAsia"/>
        </w:rPr>
        <w:t>医疗卫生用地规划</w:t>
      </w:r>
    </w:p>
    <w:p>
      <w:pPr>
        <w:ind w:firstLine="640"/>
      </w:pPr>
      <w:r>
        <w:rPr>
          <w:rFonts w:hint="eastAsia"/>
          <w:lang w:bidi="ar"/>
        </w:rPr>
        <w:t>规划医疗卫生用地主要为集镇区北侧的现状卫生院，用地面积为</w:t>
      </w:r>
      <w:r>
        <w:rPr>
          <w:lang w:bidi="ar"/>
        </w:rPr>
        <w:t>0.24公顷，占集镇区建设用地面积的0.77%，人均医疗卫生用地面积1.37平方米。</w:t>
      </w:r>
    </w:p>
    <w:p>
      <w:pPr>
        <w:ind w:firstLine="640"/>
      </w:pPr>
      <w:r>
        <w:rPr>
          <w:rFonts w:hint="eastAsia"/>
        </w:rPr>
        <w:t>5</w:t>
      </w:r>
      <w:r>
        <w:t>.</w:t>
      </w:r>
      <w:r>
        <w:rPr>
          <w:rFonts w:hint="eastAsia"/>
        </w:rPr>
        <w:t>社会福利用地规划</w:t>
      </w:r>
    </w:p>
    <w:p>
      <w:pPr>
        <w:ind w:firstLine="640"/>
      </w:pPr>
      <w:r>
        <w:rPr>
          <w:rFonts w:hint="eastAsia"/>
          <w:lang w:bidi="ar"/>
        </w:rPr>
        <w:t>保留现状社会福利用地，主要为集镇区北侧</w:t>
      </w:r>
      <w:r>
        <w:rPr>
          <w:lang w:bidi="ar"/>
        </w:rPr>
        <w:t>1处养老院，用地面积为0.33公顷，占集镇区建设用地面积的1.08%，人均社会福利用地面积1.89平方米</w:t>
      </w:r>
      <w:r>
        <w:rPr>
          <w:rFonts w:hint="eastAsia"/>
          <w:lang w:bidi="ar"/>
        </w:rPr>
        <w:t>。满足板场乡养老需求。</w:t>
      </w:r>
    </w:p>
    <w:p>
      <w:pPr>
        <w:pStyle w:val="3"/>
        <w:spacing w:before="326" w:beforeLines="100" w:after="326" w:afterLines="100"/>
      </w:pPr>
      <w:bookmarkStart w:id="133" w:name="_Toc185608319"/>
      <w:r>
        <w:rPr>
          <w:rFonts w:hint="eastAsia"/>
        </w:rPr>
        <w:t>住房建设与引导</w:t>
      </w:r>
      <w:bookmarkEnd w:id="133"/>
    </w:p>
    <w:p>
      <w:pPr>
        <w:pStyle w:val="4"/>
        <w:spacing w:before="195" w:beforeLines="60" w:after="195" w:afterLines="60" w:line="240" w:lineRule="auto"/>
      </w:pPr>
      <w:bookmarkStart w:id="134" w:name="_Hlk142925025"/>
      <w:r>
        <w:rPr>
          <w:rFonts w:hint="eastAsia"/>
        </w:rPr>
        <w:t>居住用地规划</w:t>
      </w:r>
    </w:p>
    <w:bookmarkEnd w:id="134"/>
    <w:p>
      <w:pPr>
        <w:spacing w:before="65"/>
        <w:ind w:firstLine="640"/>
      </w:pPr>
      <w:r>
        <w:rPr>
          <w:rFonts w:hint="eastAsia"/>
        </w:rPr>
        <w:t>规划居住用地面积为</w:t>
      </w:r>
      <w:r>
        <w:t>13.70公顷，占总用地的44.90%、人均78.47平方米。住宅建设规划宜采取保留、更新改造和新增建设等多种方式</w:t>
      </w:r>
      <w:r>
        <w:rPr>
          <w:rFonts w:hint="eastAsia"/>
        </w:rPr>
        <w:t>。</w:t>
      </w:r>
    </w:p>
    <w:p>
      <w:pPr>
        <w:pStyle w:val="4"/>
        <w:spacing w:before="195" w:beforeLines="60" w:after="195" w:afterLines="60" w:line="240" w:lineRule="auto"/>
      </w:pPr>
      <w:bookmarkStart w:id="135" w:name="_Hlk142925032"/>
      <w:r>
        <w:rPr>
          <w:rFonts w:hint="eastAsia"/>
        </w:rPr>
        <w:t>住房保障规划</w:t>
      </w:r>
    </w:p>
    <w:bookmarkEnd w:id="135"/>
    <w:p>
      <w:pPr>
        <w:spacing w:before="65"/>
        <w:ind w:firstLine="640"/>
      </w:pPr>
      <w:r>
        <w:rPr>
          <w:rFonts w:hint="eastAsia"/>
        </w:rPr>
        <w:t>住宅建设规划宜采取保留、更新改造、拆迁置换和新区建设等多种方式。规划保留集镇区内现有的建筑质量较高、居住环境较好、配套服务设施齐全、规划布局较为合理的居住用地；对集镇区中村庄用地采取逐步更新改造方式；对部分建筑质量较差、配套设施缺乏、环境恶劣、且与其他用地混杂布局的住宅，可根据实际建设需要，拆迁置换为其他城镇用地，如可开发为公共绿地。</w:t>
      </w:r>
    </w:p>
    <w:p>
      <w:pPr>
        <w:pStyle w:val="3"/>
        <w:spacing w:before="326" w:beforeLines="100" w:after="326" w:afterLines="100"/>
      </w:pPr>
      <w:bookmarkStart w:id="136" w:name="_Toc185608320"/>
      <w:r>
        <w:rPr>
          <w:rFonts w:hint="eastAsia"/>
        </w:rPr>
        <w:t>空间形态与风貌管控</w:t>
      </w:r>
      <w:bookmarkEnd w:id="136"/>
    </w:p>
    <w:p>
      <w:pPr>
        <w:pStyle w:val="4"/>
        <w:spacing w:before="195" w:beforeLines="60" w:after="195" w:afterLines="60" w:line="240" w:lineRule="auto"/>
      </w:pPr>
      <w:r>
        <w:t>空间风貌结构</w:t>
      </w:r>
    </w:p>
    <w:p>
      <w:pPr>
        <w:spacing w:before="65"/>
        <w:ind w:firstLine="640"/>
      </w:pPr>
      <w:r>
        <w:rPr>
          <w:rFonts w:hint="eastAsia"/>
        </w:rPr>
        <w:t>基于板场乡滨河的现状，结合集镇区内部景观架构，构建符合自然山水特征与发展需要的城镇总体空间形态与格局，确定板场乡集镇区空间形态框架为“两轴一带，一心三区”</w:t>
      </w:r>
    </w:p>
    <w:p>
      <w:pPr>
        <w:spacing w:before="65"/>
        <w:ind w:firstLine="640"/>
      </w:pPr>
      <w:r>
        <w:rPr>
          <w:rFonts w:hint="eastAsia"/>
        </w:rPr>
        <w:t>“两轴”为依托府前路形成的现代城镇风貌轴、依托酿河（让河）西路形成的文化景观风貌轴。</w:t>
      </w:r>
    </w:p>
    <w:p>
      <w:pPr>
        <w:spacing w:before="65"/>
        <w:ind w:firstLine="640"/>
      </w:pPr>
      <w:r>
        <w:rPr>
          <w:rFonts w:hint="eastAsia"/>
        </w:rPr>
        <w:t>“一带”为沿酿河（让河）形成滨河景观带。</w:t>
      </w:r>
    </w:p>
    <w:p>
      <w:pPr>
        <w:spacing w:before="65"/>
        <w:ind w:firstLine="640"/>
      </w:pPr>
      <w:r>
        <w:rPr>
          <w:rFonts w:hint="eastAsia"/>
        </w:rPr>
        <w:t>“一心”指以乡政府形成的城镇特色中心。</w:t>
      </w:r>
    </w:p>
    <w:p>
      <w:pPr>
        <w:spacing w:before="65"/>
        <w:ind w:firstLine="640"/>
      </w:pPr>
      <w:r>
        <w:rPr>
          <w:rFonts w:hint="eastAsia"/>
        </w:rPr>
        <w:t>“三区”是依据集镇区特色划分的综合服务区、工业片区、生活片区。</w:t>
      </w:r>
    </w:p>
    <w:p>
      <w:pPr>
        <w:pStyle w:val="4"/>
        <w:spacing w:before="195" w:beforeLines="60" w:after="195" w:afterLines="60" w:line="240" w:lineRule="auto"/>
      </w:pPr>
      <w:r>
        <w:rPr>
          <w:rFonts w:hint="eastAsia"/>
        </w:rPr>
        <w:t>开发强度和高度分区</w:t>
      </w:r>
    </w:p>
    <w:p>
      <w:pPr>
        <w:spacing w:before="65"/>
        <w:ind w:firstLine="640"/>
      </w:pPr>
      <w:r>
        <w:rPr>
          <w:rFonts w:hint="eastAsia"/>
        </w:rPr>
        <w:t>集镇区建设用地开发强度按两级控制，实行差异化的土地开发强度管制。Ⅰ级强度区容积率控制为小于</w:t>
      </w:r>
      <w:r>
        <w:t>1.0，主要为公共服务片区；Ⅱ级强度区容积率控制为1.0-2.0，主要为商业区和居住生活区。</w:t>
      </w:r>
    </w:p>
    <w:p>
      <w:pPr>
        <w:spacing w:before="65"/>
        <w:ind w:firstLine="640"/>
      </w:pPr>
      <w:r>
        <w:rPr>
          <w:rFonts w:hint="eastAsia"/>
        </w:rPr>
        <w:t>Ⅰ级高度区建筑控制为不大于</w:t>
      </w:r>
      <w:r>
        <w:t>3层，高度不大于12米；Ⅱ级高度区建筑控制为不大于6层，高度不大于24米。</w:t>
      </w:r>
    </w:p>
    <w:p>
      <w:pPr>
        <w:spacing w:before="65"/>
        <w:ind w:firstLine="640"/>
      </w:pPr>
      <w:r>
        <w:rPr>
          <w:rFonts w:hint="eastAsia"/>
        </w:rPr>
        <w:t>建筑宜以多层为主，在G</w:t>
      </w:r>
      <w:r>
        <w:t>241</w:t>
      </w:r>
      <w:r>
        <w:rPr>
          <w:rFonts w:hint="eastAsia"/>
        </w:rPr>
        <w:t>北侧，适当点缀低层建筑，形成富有韵律感的城镇界面和富有变化的城镇轮廓线。建筑高度控制应充分考虑和研究城镇与水体的关系</w:t>
      </w:r>
      <w:r>
        <w:t>。</w:t>
      </w:r>
    </w:p>
    <w:p>
      <w:pPr>
        <w:pStyle w:val="4"/>
        <w:spacing w:before="195" w:beforeLines="60" w:after="195" w:afterLines="60" w:line="240" w:lineRule="auto"/>
      </w:pPr>
      <w:r>
        <w:rPr>
          <w:rFonts w:hint="eastAsia"/>
        </w:rPr>
        <w:t>风貌管控</w:t>
      </w:r>
    </w:p>
    <w:p>
      <w:pPr>
        <w:spacing w:before="65"/>
        <w:ind w:firstLine="640"/>
      </w:pPr>
      <w:r>
        <w:t>线性风貌管控</w:t>
      </w:r>
      <w:r>
        <w:rPr>
          <w:rFonts w:hint="eastAsia"/>
        </w:rPr>
        <w:t>：重点对府前路、滨河路道路沿线和酿河（让河）沿线进行控制。沿道路主要控制道路两旁的绿化与公共空间，形成连续的视觉空间，加强与次级空间轴线、节点、绿化廊道的渗透、延展和联系，形成网络状的功能和慢行空间，强化行人街道空间和步行体验，强化城市空间的层次性、多样性和可达性；滨河风貌管控地带建筑不宜过高，控制滨水建筑形式，处理好建筑与水体之间的关系，保证滨水沿岸的天际线优美连续，留足水体边界的公共空间。</w:t>
      </w:r>
    </w:p>
    <w:p>
      <w:pPr>
        <w:spacing w:before="65"/>
        <w:ind w:firstLine="640"/>
      </w:pPr>
      <w:r>
        <w:t>片区风貌管控</w:t>
      </w:r>
      <w:r>
        <w:rPr>
          <w:rFonts w:hint="eastAsia"/>
        </w:rPr>
        <w:t>：重点对综合服务片区进行管控。中部综合服务片区指以乡政府为中心形成的公共服务设施集中的地区，片区应营造舒朗大气、积极明快的氛围，展示板场形象。</w:t>
      </w:r>
    </w:p>
    <w:p>
      <w:pPr>
        <w:pStyle w:val="3"/>
        <w:spacing w:before="326" w:beforeLines="100" w:after="326" w:afterLines="100"/>
      </w:pPr>
      <w:bookmarkStart w:id="137" w:name="_Toc185608321"/>
      <w:r>
        <w:rPr>
          <w:rFonts w:hint="eastAsia"/>
        </w:rPr>
        <w:t>道路交通系统规划</w:t>
      </w:r>
      <w:bookmarkEnd w:id="137"/>
    </w:p>
    <w:p>
      <w:pPr>
        <w:pStyle w:val="4"/>
        <w:spacing w:before="195" w:beforeLines="60" w:after="195" w:afterLines="60" w:line="240" w:lineRule="auto"/>
      </w:pPr>
      <w:r>
        <w:rPr>
          <w:rFonts w:hint="eastAsia"/>
        </w:rPr>
        <w:t>规划目标</w:t>
      </w:r>
    </w:p>
    <w:p>
      <w:pPr>
        <w:spacing w:before="65"/>
        <w:ind w:firstLine="640"/>
      </w:pPr>
      <w:r>
        <w:rPr>
          <w:rFonts w:hint="eastAsia"/>
        </w:rPr>
        <w:t>形成高效通畅的交通网络体系；保障过境公路畅通，提高集镇区道路网密度，注重与对外交通的联系和衔接。构建以慢行为主的绿色出行结构；构建尺度宜人、安全连续的慢行网络，至</w:t>
      </w:r>
      <w:r>
        <w:t>2035年，慢行网络密度不小于8千米/平方千米</w:t>
      </w:r>
      <w:r>
        <w:rPr>
          <w:rFonts w:hint="eastAsia"/>
        </w:rPr>
        <w:t>。</w:t>
      </w:r>
    </w:p>
    <w:p>
      <w:pPr>
        <w:pStyle w:val="4"/>
        <w:spacing w:before="195" w:beforeLines="60" w:after="195" w:afterLines="60" w:line="240" w:lineRule="auto"/>
      </w:pPr>
      <w:r>
        <w:rPr>
          <w:rFonts w:hint="eastAsia"/>
        </w:rPr>
        <w:t>对外交通系统</w:t>
      </w:r>
    </w:p>
    <w:p>
      <w:pPr>
        <w:spacing w:before="65"/>
        <w:ind w:firstLine="640"/>
      </w:pPr>
      <w:r>
        <w:rPr>
          <w:rFonts w:hint="eastAsia"/>
        </w:rPr>
        <w:t>强化集镇区内外交通衔接，搭建高效便捷的内外道路转换体系。保留集镇区西侧东西向</w:t>
      </w:r>
      <w:r>
        <w:t>G241。</w:t>
      </w:r>
    </w:p>
    <w:p>
      <w:pPr>
        <w:spacing w:before="65"/>
        <w:ind w:firstLine="640"/>
      </w:pPr>
      <w:r>
        <w:rPr>
          <w:rFonts w:hint="eastAsia"/>
        </w:rPr>
        <w:t>强化集镇区道路与</w:t>
      </w:r>
      <w:r>
        <w:t>G241的衔接，并尽量减少集镇区低等级道路与过境道路的交叉口数量，以保证交通安全、美化道路景观，提高集镇区的环境质量。</w:t>
      </w:r>
    </w:p>
    <w:p>
      <w:pPr>
        <w:pStyle w:val="4"/>
        <w:spacing w:before="195" w:beforeLines="60" w:after="195" w:afterLines="60" w:line="240" w:lineRule="auto"/>
      </w:pPr>
      <w:r>
        <w:rPr>
          <w:rFonts w:hint="eastAsia"/>
        </w:rPr>
        <w:t>道路交通系统</w:t>
      </w:r>
    </w:p>
    <w:p>
      <w:pPr>
        <w:spacing w:before="65"/>
        <w:ind w:firstLine="640"/>
      </w:pPr>
      <w:r>
        <w:rPr>
          <w:rFonts w:hint="eastAsia"/>
        </w:rPr>
        <w:t>集镇区内采用“主干路、次干路、支路”体系，构建“两横两纵”的主要交通通道，形成方格网型的窄路密网格局。</w:t>
      </w:r>
    </w:p>
    <w:p>
      <w:pPr>
        <w:spacing w:before="65"/>
        <w:ind w:firstLine="640"/>
      </w:pPr>
      <w:r>
        <w:rPr>
          <w:rFonts w:hint="eastAsia"/>
        </w:rPr>
        <w:t>主干路：红线宽度为</w:t>
      </w:r>
      <w:r>
        <w:t>12米。</w:t>
      </w:r>
    </w:p>
    <w:p>
      <w:pPr>
        <w:spacing w:before="65"/>
        <w:ind w:firstLine="640"/>
      </w:pPr>
      <w:r>
        <w:rPr>
          <w:rFonts w:hint="eastAsia"/>
        </w:rPr>
        <w:t>次干路：红线宽度为</w:t>
      </w:r>
      <w:r>
        <w:t>10米。</w:t>
      </w:r>
    </w:p>
    <w:p>
      <w:pPr>
        <w:spacing w:before="65"/>
        <w:ind w:firstLine="640"/>
      </w:pPr>
      <w:r>
        <w:rPr>
          <w:rFonts w:hint="eastAsia"/>
        </w:rPr>
        <w:t>支路：红线宽度为</w:t>
      </w:r>
      <w:r>
        <w:t>6-7米。</w:t>
      </w:r>
    </w:p>
    <w:p>
      <w:pPr>
        <w:pStyle w:val="4"/>
        <w:spacing w:before="195" w:beforeLines="60" w:after="195" w:afterLines="60" w:line="240" w:lineRule="auto"/>
      </w:pPr>
      <w:r>
        <w:rPr>
          <w:rFonts w:hint="eastAsia"/>
        </w:rPr>
        <w:t>公共交通规划</w:t>
      </w:r>
    </w:p>
    <w:p>
      <w:pPr>
        <w:ind w:firstLine="640"/>
      </w:pPr>
      <w:r>
        <w:rPr>
          <w:rFonts w:hint="eastAsia"/>
        </w:rPr>
        <w:t>1</w:t>
      </w:r>
      <w:r>
        <w:t>.加油加气站用地</w:t>
      </w:r>
    </w:p>
    <w:p>
      <w:pPr>
        <w:ind w:firstLine="640"/>
      </w:pPr>
      <w:r>
        <w:rPr>
          <w:rFonts w:hint="eastAsia"/>
        </w:rPr>
        <w:t>保留集镇区现状</w:t>
      </w:r>
      <w:r>
        <w:t>1处加油站，位于G241北侧，用地面积为0.14公顷。</w:t>
      </w:r>
    </w:p>
    <w:p>
      <w:pPr>
        <w:ind w:firstLine="640"/>
      </w:pPr>
      <w:r>
        <w:rPr>
          <w:rFonts w:hint="eastAsia"/>
        </w:rPr>
        <w:t>2</w:t>
      </w:r>
      <w:r>
        <w:t>.公交站点</w:t>
      </w:r>
    </w:p>
    <w:p>
      <w:pPr>
        <w:ind w:firstLine="640"/>
      </w:pPr>
      <w:r>
        <w:rPr>
          <w:rFonts w:hint="eastAsia"/>
        </w:rPr>
        <w:t>保留现状G</w:t>
      </w:r>
      <w:r>
        <w:t>241</w:t>
      </w:r>
      <w:r>
        <w:rPr>
          <w:rFonts w:hint="eastAsia"/>
        </w:rPr>
        <w:t>上多处城乡公交站点，保障居民公共出行便利。</w:t>
      </w:r>
    </w:p>
    <w:p>
      <w:pPr>
        <w:pStyle w:val="4"/>
        <w:spacing w:before="195" w:beforeLines="60" w:after="195" w:afterLines="60" w:line="240" w:lineRule="auto"/>
      </w:pPr>
      <w:r>
        <w:rPr>
          <w:rFonts w:hint="eastAsia"/>
        </w:rPr>
        <w:t>停车设施规划</w:t>
      </w:r>
    </w:p>
    <w:p>
      <w:pPr>
        <w:spacing w:before="65"/>
        <w:ind w:firstLine="640"/>
      </w:pPr>
      <w:r>
        <w:rPr>
          <w:rFonts w:hint="eastAsia"/>
        </w:rPr>
        <w:t>保留集镇区东南侧</w:t>
      </w:r>
      <w:r>
        <w:t>1处社会停车场，面积为0.36公顷</w:t>
      </w:r>
      <w:r>
        <w:rPr>
          <w:rFonts w:hint="eastAsia"/>
        </w:rPr>
        <w:t>。</w:t>
      </w:r>
    </w:p>
    <w:p>
      <w:pPr>
        <w:pStyle w:val="4"/>
        <w:spacing w:before="195" w:beforeLines="60" w:after="195" w:afterLines="60" w:line="240" w:lineRule="auto"/>
      </w:pPr>
      <w:r>
        <w:rPr>
          <w:rFonts w:hint="eastAsia"/>
        </w:rPr>
        <w:t>慢行系统规划</w:t>
      </w:r>
    </w:p>
    <w:p>
      <w:pPr>
        <w:spacing w:before="65"/>
        <w:ind w:firstLine="640"/>
      </w:pPr>
      <w:r>
        <w:rPr>
          <w:rFonts w:hint="eastAsia"/>
        </w:rPr>
        <w:t>推进绿道系统建设，加强滨河绿地建设，构建安全连续的慢行系统。滨河道路串联集镇区休闲绿地，并沿次干路两侧打造休闲绿道；各支路深入至居住组团，便捷联通小游园、街头绿地；结合党建文化广场、滨河公园绿地等设置慢性游憩公园。</w:t>
      </w:r>
    </w:p>
    <w:p>
      <w:pPr>
        <w:spacing w:before="65"/>
        <w:ind w:firstLine="640"/>
      </w:pPr>
      <w:r>
        <w:rPr>
          <w:rFonts w:hint="eastAsia"/>
        </w:rPr>
        <w:t>城乡公交站点与慢行系统结合设置，建设便于居民使用的慢行体系。</w:t>
      </w:r>
    </w:p>
    <w:p>
      <w:pPr>
        <w:pStyle w:val="3"/>
        <w:spacing w:before="326" w:beforeLines="100" w:after="326" w:afterLines="100"/>
      </w:pPr>
      <w:bookmarkStart w:id="138" w:name="_Toc129799057"/>
      <w:bookmarkStart w:id="139" w:name="_Toc185608322"/>
      <w:r>
        <w:rPr>
          <w:rFonts w:hint="eastAsia"/>
        </w:rPr>
        <w:t>基础设施</w:t>
      </w:r>
      <w:bookmarkEnd w:id="138"/>
      <w:r>
        <w:rPr>
          <w:rFonts w:hint="eastAsia"/>
        </w:rPr>
        <w:t>规划</w:t>
      </w:r>
      <w:bookmarkEnd w:id="139"/>
    </w:p>
    <w:p>
      <w:pPr>
        <w:pStyle w:val="4"/>
        <w:spacing w:before="195" w:beforeLines="60" w:after="195" w:afterLines="60" w:line="240" w:lineRule="auto"/>
      </w:pPr>
      <w:r>
        <w:rPr>
          <w:rFonts w:hint="eastAsia"/>
        </w:rPr>
        <w:t>给水工程规划</w:t>
      </w:r>
    </w:p>
    <w:p>
      <w:pPr>
        <w:ind w:firstLine="640"/>
      </w:pPr>
      <w:r>
        <w:rPr>
          <w:rFonts w:hint="eastAsia"/>
        </w:rPr>
        <w:t>1</w:t>
      </w:r>
      <w:r>
        <w:t>.</w:t>
      </w:r>
      <w:r>
        <w:rPr>
          <w:rFonts w:hint="eastAsia"/>
        </w:rPr>
        <w:t>用水量预测</w:t>
      </w:r>
    </w:p>
    <w:p>
      <w:pPr>
        <w:ind w:firstLine="640"/>
      </w:pPr>
      <w:r>
        <w:rPr>
          <w:rFonts w:hint="eastAsia"/>
        </w:rPr>
        <w:t>规划范围最高日用水量约为</w:t>
      </w:r>
      <w:r>
        <w:t>648.86立方米/日</w:t>
      </w:r>
      <w:r>
        <w:rPr>
          <w:rFonts w:hint="eastAsia"/>
        </w:rPr>
        <w:t>。</w:t>
      </w:r>
    </w:p>
    <w:p>
      <w:pPr>
        <w:ind w:firstLine="640"/>
      </w:pPr>
      <w:r>
        <w:rPr>
          <w:rFonts w:hint="eastAsia"/>
        </w:rPr>
        <w:t>2</w:t>
      </w:r>
      <w:r>
        <w:t>.</w:t>
      </w:r>
      <w:r>
        <w:rPr>
          <w:rFonts w:hint="eastAsia"/>
        </w:rPr>
        <w:t>水厂规划</w:t>
      </w:r>
    </w:p>
    <w:p>
      <w:pPr>
        <w:ind w:firstLine="640"/>
      </w:pPr>
      <w:r>
        <w:rPr>
          <w:rFonts w:hint="eastAsia"/>
        </w:rPr>
        <w:t>规划扩建板场水厂，规模至</w:t>
      </w:r>
      <w:r>
        <w:t>500立方米/日，供水水源采用中深层地下水</w:t>
      </w:r>
      <w:r>
        <w:rPr>
          <w:rFonts w:hint="eastAsia"/>
        </w:rPr>
        <w:t>。</w:t>
      </w:r>
    </w:p>
    <w:p>
      <w:pPr>
        <w:ind w:firstLine="640"/>
      </w:pPr>
      <w:r>
        <w:rPr>
          <w:rFonts w:hint="eastAsia"/>
        </w:rPr>
        <w:t>3</w:t>
      </w:r>
      <w:r>
        <w:t>.</w:t>
      </w:r>
      <w:r>
        <w:rPr>
          <w:rFonts w:hint="eastAsia"/>
        </w:rPr>
        <w:t>供水管网规划</w:t>
      </w:r>
    </w:p>
    <w:p>
      <w:pPr>
        <w:ind w:firstLine="640"/>
      </w:pPr>
      <w:r>
        <w:rPr>
          <w:rFonts w:hint="eastAsia"/>
          <w:bCs/>
        </w:rPr>
        <w:t>板场乡现状排水为雨污合流，集镇区主要道路两侧建有雨污合流盖板暗渠，污水排放方向总体上表现为由北向南、由西向东。</w:t>
      </w:r>
    </w:p>
    <w:p>
      <w:pPr>
        <w:pStyle w:val="4"/>
        <w:spacing w:before="195" w:beforeLines="60" w:after="195" w:afterLines="60" w:line="240" w:lineRule="auto"/>
      </w:pPr>
      <w:r>
        <w:rPr>
          <w:rFonts w:hint="eastAsia"/>
        </w:rPr>
        <w:t>排水工程规划</w:t>
      </w:r>
    </w:p>
    <w:p>
      <w:pPr>
        <w:ind w:firstLine="640"/>
      </w:pPr>
      <w:r>
        <w:rPr>
          <w:rFonts w:hint="eastAsia"/>
        </w:rPr>
        <w:t>1</w:t>
      </w:r>
      <w:r>
        <w:t>.</w:t>
      </w:r>
      <w:r>
        <w:rPr>
          <w:rFonts w:hint="eastAsia"/>
        </w:rPr>
        <w:t>污水工程</w:t>
      </w:r>
    </w:p>
    <w:p>
      <w:pPr>
        <w:ind w:firstLine="640"/>
        <w:rPr>
          <w:bCs/>
        </w:rPr>
      </w:pPr>
      <w:r>
        <w:rPr>
          <w:rFonts w:hint="eastAsia"/>
          <w:bCs/>
        </w:rPr>
        <w:t>规划集镇区实行雨污分流制排水系统。</w:t>
      </w:r>
    </w:p>
    <w:p>
      <w:pPr>
        <w:ind w:firstLine="640"/>
      </w:pPr>
      <w:r>
        <w:rPr>
          <w:rFonts w:hint="eastAsia"/>
        </w:rPr>
        <w:t>预测集镇区</w:t>
      </w:r>
      <w:r>
        <w:rPr>
          <w:rFonts w:hint="eastAsia" w:ascii="Times New Roman" w:hAnsi="Times New Roman"/>
          <w:lang w:bidi="ar"/>
        </w:rPr>
        <w:t>平均日污水量为</w:t>
      </w:r>
      <w:r>
        <w:rPr>
          <w:rFonts w:ascii="Times New Roman" w:hAnsi="Times New Roman"/>
          <w:lang w:bidi="ar"/>
        </w:rPr>
        <w:t>324.4立方米/日</w:t>
      </w:r>
      <w:r>
        <w:rPr>
          <w:rFonts w:hint="eastAsia"/>
        </w:rPr>
        <w:t>。</w:t>
      </w:r>
    </w:p>
    <w:p>
      <w:pPr>
        <w:ind w:firstLine="640"/>
      </w:pPr>
      <w:r>
        <w:rPr>
          <w:rFonts w:hint="eastAsia"/>
        </w:rPr>
        <w:t>规划新建板场污水处理厂，规模为</w:t>
      </w:r>
      <w:r>
        <w:t>400立方米/日。污水处理厂出水水质要求达到《城镇污水处理厂污染物排放标准》（GB 18918-2002）中规定的一级A标准，处理达标后排入酿河（让河）。</w:t>
      </w:r>
    </w:p>
    <w:p>
      <w:pPr>
        <w:ind w:firstLine="640"/>
      </w:pPr>
      <w:r>
        <w:rPr>
          <w:rFonts w:hint="eastAsia"/>
        </w:rPr>
        <w:t>规划沿集镇区道路敷设</w:t>
      </w:r>
      <w:r>
        <w:t>d400~d500污水管，污水最终排入板场污水处理厂</w:t>
      </w:r>
      <w:r>
        <w:rPr>
          <w:rFonts w:hint="eastAsia"/>
        </w:rPr>
        <w:t>。</w:t>
      </w:r>
    </w:p>
    <w:p>
      <w:pPr>
        <w:ind w:firstLine="640"/>
      </w:pPr>
      <w:r>
        <w:rPr>
          <w:rFonts w:hint="eastAsia"/>
        </w:rPr>
        <w:t>2</w:t>
      </w:r>
      <w:r>
        <w:t>.</w:t>
      </w:r>
      <w:r>
        <w:rPr>
          <w:rFonts w:hint="eastAsia"/>
        </w:rPr>
        <w:t>雨水工程</w:t>
      </w:r>
    </w:p>
    <w:p>
      <w:pPr>
        <w:ind w:firstLine="640"/>
      </w:pPr>
      <w:r>
        <w:rPr>
          <w:rFonts w:hint="eastAsia"/>
        </w:rPr>
        <w:t>集镇区雨水管渠设计重现期为</w:t>
      </w:r>
      <w:r>
        <w:t>2～3年；集镇区的重要地区如行政中心、学校、医院、商业聚集区等雨水管渠设计重现期为3～5年；集镇区的地下通道和下沉式广场等雨水管渠设计重现期为10～20年</w:t>
      </w:r>
      <w:r>
        <w:rPr>
          <w:rFonts w:hint="eastAsia"/>
          <w:szCs w:val="24"/>
        </w:rPr>
        <w:t>。</w:t>
      </w:r>
    </w:p>
    <w:p>
      <w:pPr>
        <w:ind w:firstLine="640"/>
      </w:pPr>
      <w:r>
        <w:rPr>
          <w:rFonts w:hint="eastAsia"/>
          <w:bCs/>
        </w:rPr>
        <w:t>规划沿集镇区道路敷设</w:t>
      </w:r>
      <w:r>
        <w:rPr>
          <w:bCs/>
        </w:rPr>
        <w:t>d500~d600雨水管，雨水就近排入</w:t>
      </w:r>
      <w:r>
        <w:rPr>
          <w:rFonts w:hint="eastAsia"/>
          <w:bCs/>
        </w:rPr>
        <w:t>酿河（让河）。</w:t>
      </w:r>
    </w:p>
    <w:p>
      <w:pPr>
        <w:pStyle w:val="4"/>
        <w:spacing w:before="195" w:beforeLines="60" w:after="195" w:afterLines="60" w:line="240" w:lineRule="auto"/>
      </w:pPr>
      <w:r>
        <w:rPr>
          <w:rFonts w:hint="eastAsia"/>
        </w:rPr>
        <w:t>电力工程规划</w:t>
      </w:r>
    </w:p>
    <w:p>
      <w:pPr>
        <w:ind w:firstLine="640"/>
      </w:pPr>
      <w:r>
        <w:rPr>
          <w:rFonts w:hint="eastAsia"/>
        </w:rPr>
        <w:t>1</w:t>
      </w:r>
      <w:r>
        <w:t>.</w:t>
      </w:r>
      <w:r>
        <w:rPr>
          <w:rFonts w:hint="eastAsia"/>
        </w:rPr>
        <w:t>用电负荷预测</w:t>
      </w:r>
    </w:p>
    <w:p>
      <w:pPr>
        <w:ind w:firstLine="640"/>
      </w:pPr>
      <w:r>
        <w:rPr>
          <w:rFonts w:hint="eastAsia"/>
        </w:rPr>
        <w:t>预测集镇区用电负荷约为</w:t>
      </w:r>
      <w:r>
        <w:t>4428千瓦</w:t>
      </w:r>
      <w:r>
        <w:rPr>
          <w:rFonts w:hint="eastAsia"/>
        </w:rPr>
        <w:t>。</w:t>
      </w:r>
    </w:p>
    <w:p>
      <w:pPr>
        <w:ind w:firstLine="640"/>
      </w:pPr>
      <w:r>
        <w:rPr>
          <w:rFonts w:hint="eastAsia"/>
        </w:rPr>
        <w:t>2</w:t>
      </w:r>
      <w:r>
        <w:t>.</w:t>
      </w:r>
      <w:r>
        <w:rPr>
          <w:rFonts w:hint="eastAsia"/>
        </w:rPr>
        <w:t>变电设施规划</w:t>
      </w:r>
    </w:p>
    <w:p>
      <w:pPr>
        <w:ind w:firstLine="640"/>
      </w:pPr>
      <w:r>
        <w:rPr>
          <w:rFonts w:hint="eastAsia"/>
        </w:rPr>
        <w:t>规划保留现状</w:t>
      </w:r>
      <w:r>
        <w:t>35千伏板场变电站，供电容量为12.5+10兆伏安。</w:t>
      </w:r>
    </w:p>
    <w:p>
      <w:pPr>
        <w:ind w:firstLine="640"/>
      </w:pPr>
      <w:r>
        <w:rPr>
          <w:rFonts w:hint="eastAsia"/>
        </w:rPr>
        <w:t>新建</w:t>
      </w:r>
      <w:r>
        <w:t>10千伏电力线沿干道采用地埋电缆沟的敷设方式，并在重点地段形成环路，以保证供电可靠安全性，同时确保每一个地块均能从临路一侧方便接入10千伏电源线。尽量避免架空铺设，不仅防止集镇区景观的破坏，还能减少因人为原因造成的事故。为减少10千伏线路出线紧张问题，在集镇区用电负荷中心相应位置设置市政公用开闭所</w:t>
      </w:r>
      <w:r>
        <w:rPr>
          <w:rFonts w:hint="eastAsia"/>
        </w:rPr>
        <w:t>。</w:t>
      </w:r>
    </w:p>
    <w:p>
      <w:pPr>
        <w:ind w:firstLine="640"/>
      </w:pPr>
      <w:r>
        <w:rPr>
          <w:rFonts w:hint="eastAsia"/>
        </w:rPr>
        <w:t>3</w:t>
      </w:r>
      <w:r>
        <w:t>.</w:t>
      </w:r>
      <w:r>
        <w:rPr>
          <w:rFonts w:hint="eastAsia"/>
        </w:rPr>
        <w:t>电力廊道规划</w:t>
      </w:r>
    </w:p>
    <w:p>
      <w:pPr>
        <w:ind w:firstLine="640"/>
      </w:pPr>
      <w:r>
        <w:rPr>
          <w:rFonts w:hint="eastAsia"/>
          <w:bCs/>
        </w:rPr>
        <w:t>110千伏电力线路采用架空敷设，高压线路走廊不小于25米。</w:t>
      </w:r>
      <w:bookmarkStart w:id="140" w:name="_Hlk150874338"/>
      <w:r>
        <w:rPr>
          <w:rFonts w:hint="eastAsia"/>
        </w:rPr>
        <w:t>根据《电力设施保护条例实施细则》要求廊道内不得进行建设及危害电力设施的行为。</w:t>
      </w:r>
      <w:bookmarkEnd w:id="140"/>
    </w:p>
    <w:p>
      <w:pPr>
        <w:pStyle w:val="4"/>
        <w:spacing w:before="195" w:beforeLines="60" w:after="195" w:afterLines="60" w:line="240" w:lineRule="auto"/>
      </w:pPr>
      <w:r>
        <w:rPr>
          <w:rFonts w:hint="eastAsia"/>
        </w:rPr>
        <w:t>通信工程规划</w:t>
      </w:r>
    </w:p>
    <w:p>
      <w:pPr>
        <w:ind w:firstLine="640"/>
      </w:pPr>
      <w:r>
        <w:rPr>
          <w:rFonts w:hint="eastAsia"/>
        </w:rPr>
        <w:t>1</w:t>
      </w:r>
      <w:r>
        <w:t>.</w:t>
      </w:r>
      <w:r>
        <w:rPr>
          <w:rFonts w:hint="eastAsia"/>
        </w:rPr>
        <w:t>邮政设施与电信设施规划</w:t>
      </w:r>
    </w:p>
    <w:p>
      <w:pPr>
        <w:ind w:firstLine="640"/>
      </w:pPr>
      <w:r>
        <w:rPr>
          <w:rFonts w:hint="eastAsia"/>
        </w:rPr>
        <w:t>规划保留板场乡现状邮政支局</w:t>
      </w:r>
      <w:r>
        <w:t>1处，位于乡政府东侧。规划沿集镇区主干道每隔500米设信箱一个，住宅楼各单元入口处设报箱</w:t>
      </w:r>
      <w:r>
        <w:rPr>
          <w:rFonts w:hint="eastAsia"/>
        </w:rPr>
        <w:t>。</w:t>
      </w:r>
    </w:p>
    <w:p>
      <w:pPr>
        <w:ind w:firstLine="640"/>
      </w:pPr>
      <w:r>
        <w:rPr>
          <w:rFonts w:hint="eastAsia"/>
        </w:rPr>
        <w:t>2</w:t>
      </w:r>
      <w:r>
        <w:t>.</w:t>
      </w:r>
      <w:r>
        <w:rPr>
          <w:rFonts w:hint="eastAsia"/>
        </w:rPr>
        <w:t>广播电视设施规划</w:t>
      </w:r>
    </w:p>
    <w:p>
      <w:pPr>
        <w:ind w:firstLine="640"/>
      </w:pPr>
      <w:r>
        <w:rPr>
          <w:rFonts w:hint="eastAsia"/>
        </w:rPr>
        <w:t>规划广播电视综合交叉覆盖率达到</w:t>
      </w:r>
      <w:r>
        <w:t>98％以上，有线电视入户实现数字化、传输线路全部采用光缆，埋户率达100％。摄、播、编设备实现数字化，构筑信息平台和传输网络，开发广播电视现场直播、图文电视、电视购物、电视会议、自动播出、互联网等业务</w:t>
      </w:r>
      <w:r>
        <w:rPr>
          <w:rFonts w:hint="eastAsia"/>
        </w:rPr>
        <w:t>。</w:t>
      </w:r>
    </w:p>
    <w:p>
      <w:pPr>
        <w:pStyle w:val="4"/>
        <w:spacing w:before="195" w:beforeLines="60" w:after="195" w:afterLines="60" w:line="240" w:lineRule="auto"/>
      </w:pPr>
      <w:r>
        <w:rPr>
          <w:rFonts w:hint="eastAsia"/>
        </w:rPr>
        <w:t>燃气工程规划</w:t>
      </w:r>
    </w:p>
    <w:p>
      <w:pPr>
        <w:ind w:firstLine="640"/>
      </w:pPr>
      <w:r>
        <w:rPr>
          <w:rFonts w:hint="eastAsia"/>
        </w:rPr>
        <w:t>1</w:t>
      </w:r>
      <w:r>
        <w:t>.</w:t>
      </w:r>
      <w:r>
        <w:rPr>
          <w:rFonts w:hint="eastAsia"/>
        </w:rPr>
        <w:t>用气负荷预测</w:t>
      </w:r>
    </w:p>
    <w:p>
      <w:pPr>
        <w:ind w:firstLine="640"/>
      </w:pPr>
      <w:r>
        <w:rPr>
          <w:rFonts w:hint="eastAsia"/>
        </w:rPr>
        <w:t>预测集镇区用气负荷约</w:t>
      </w:r>
      <w:r>
        <w:rPr>
          <w:rFonts w:ascii="Times New Roman" w:hAnsi="Times New Roman"/>
        </w:rPr>
        <w:t>978立方米/日</w:t>
      </w:r>
      <w:r>
        <w:rPr>
          <w:rFonts w:hint="eastAsia"/>
        </w:rPr>
        <w:t>。</w:t>
      </w:r>
    </w:p>
    <w:p>
      <w:pPr>
        <w:ind w:firstLine="640"/>
      </w:pPr>
      <w:r>
        <w:rPr>
          <w:rFonts w:hint="eastAsia"/>
        </w:rPr>
        <w:t>2</w:t>
      </w:r>
      <w:r>
        <w:t>.</w:t>
      </w:r>
      <w:r>
        <w:rPr>
          <w:rFonts w:hint="eastAsia"/>
        </w:rPr>
        <w:t>燃气管网规划</w:t>
      </w:r>
    </w:p>
    <w:p>
      <w:pPr>
        <w:ind w:firstLine="640"/>
      </w:pPr>
      <w:r>
        <w:rPr>
          <w:rFonts w:hint="eastAsia"/>
        </w:rPr>
        <w:t>规划沿集镇区道路敷设</w:t>
      </w:r>
      <w:r>
        <w:t>de110~de160燃气管线，燃气管线呈环状布置，局部为支状</w:t>
      </w:r>
      <w:r>
        <w:rPr>
          <w:rFonts w:hint="eastAsia"/>
          <w:bCs/>
        </w:rPr>
        <w:t>。</w:t>
      </w:r>
    </w:p>
    <w:p>
      <w:pPr>
        <w:pStyle w:val="4"/>
        <w:spacing w:before="195" w:beforeLines="60" w:after="195" w:afterLines="60" w:line="240" w:lineRule="auto"/>
      </w:pPr>
      <w:r>
        <w:rPr>
          <w:rFonts w:hint="eastAsia"/>
        </w:rPr>
        <w:t>热力工程规划</w:t>
      </w:r>
    </w:p>
    <w:p>
      <w:pPr>
        <w:ind w:firstLine="640"/>
      </w:pPr>
      <w:r>
        <w:rPr>
          <w:rFonts w:hint="eastAsia"/>
        </w:rPr>
        <w:t>1</w:t>
      </w:r>
      <w:r>
        <w:t>.</w:t>
      </w:r>
      <w:r>
        <w:rPr>
          <w:rFonts w:hint="eastAsia"/>
        </w:rPr>
        <w:t>热负荷预测</w:t>
      </w:r>
    </w:p>
    <w:p>
      <w:pPr>
        <w:ind w:firstLine="640"/>
      </w:pPr>
      <w:r>
        <w:rPr>
          <w:rFonts w:hint="eastAsia"/>
        </w:rPr>
        <w:t>预测集镇区采暖热负荷约</w:t>
      </w:r>
      <w:r>
        <w:t>16.38</w:t>
      </w:r>
      <w:r>
        <w:rPr>
          <w:rFonts w:hint="eastAsia"/>
        </w:rPr>
        <w:t>兆瓦。</w:t>
      </w:r>
    </w:p>
    <w:p>
      <w:pPr>
        <w:ind w:firstLine="640"/>
      </w:pPr>
      <w:r>
        <w:rPr>
          <w:rFonts w:hint="eastAsia"/>
        </w:rPr>
        <w:t>2</w:t>
      </w:r>
      <w:r>
        <w:t>.</w:t>
      </w:r>
      <w:r>
        <w:rPr>
          <w:rFonts w:hint="eastAsia"/>
        </w:rPr>
        <w:t>热源规划</w:t>
      </w:r>
    </w:p>
    <w:p>
      <w:pPr>
        <w:ind w:firstLine="640"/>
      </w:pPr>
      <w:r>
        <w:rPr>
          <w:rFonts w:hint="eastAsia"/>
        </w:rPr>
        <w:t>规划集镇区采用分区域集中供热模式，热源为电能、风能、燃气等清洁能源，规划在集镇区内设置</w:t>
      </w:r>
      <w:r>
        <w:t>4座供热站</w:t>
      </w:r>
      <w:r>
        <w:rPr>
          <w:rFonts w:hint="eastAsia"/>
        </w:rPr>
        <w:t>。</w:t>
      </w:r>
    </w:p>
    <w:p>
      <w:pPr>
        <w:pStyle w:val="4"/>
        <w:spacing w:before="195" w:beforeLines="60" w:after="195" w:afterLines="60" w:line="240" w:lineRule="auto"/>
      </w:pPr>
      <w:r>
        <w:rPr>
          <w:rFonts w:hint="eastAsia"/>
        </w:rPr>
        <w:t>环卫工程规划</w:t>
      </w:r>
    </w:p>
    <w:p>
      <w:pPr>
        <w:ind w:firstLine="640"/>
      </w:pPr>
      <w:r>
        <w:rPr>
          <w:rFonts w:hint="eastAsia"/>
        </w:rPr>
        <w:t>1</w:t>
      </w:r>
      <w:r>
        <w:t>.生活垃圾量预测</w:t>
      </w:r>
    </w:p>
    <w:p>
      <w:pPr>
        <w:ind w:firstLine="640"/>
      </w:pPr>
      <w:r>
        <w:t>2035年，集镇区规划人口约1746</w:t>
      </w:r>
      <w:r>
        <w:rPr>
          <w:rFonts w:hint="eastAsia"/>
        </w:rPr>
        <w:t>人</w:t>
      </w:r>
      <w:r>
        <w:t>，人均生活垃圾产生量1.0千克/人·日进行预测。规划至2035年，</w:t>
      </w:r>
      <w:r>
        <w:rPr>
          <w:rFonts w:hint="eastAsia"/>
        </w:rPr>
        <w:t>集镇区</w:t>
      </w:r>
      <w:r>
        <w:t>预测生活垃圾产量为1.7吨/日。</w:t>
      </w:r>
    </w:p>
    <w:p>
      <w:pPr>
        <w:ind w:firstLine="640"/>
      </w:pPr>
      <w:r>
        <w:rPr>
          <w:rFonts w:hint="eastAsia"/>
        </w:rPr>
        <w:t>2</w:t>
      </w:r>
      <w:r>
        <w:t>.垃圾收运与处置</w:t>
      </w:r>
    </w:p>
    <w:p>
      <w:pPr>
        <w:ind w:firstLine="640"/>
      </w:pPr>
      <w:r>
        <w:rPr>
          <w:rFonts w:hint="eastAsia"/>
        </w:rPr>
        <w:t>板场乡建立二级转运系统，生活垃圾由垃圾收集点收集后运送至生活垃圾收集站，再运输至规划垃圾转运站进行压缩处理，直接送至垃圾处理场统一处理。</w:t>
      </w:r>
    </w:p>
    <w:p>
      <w:pPr>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ind w:firstLine="640"/>
      </w:pPr>
      <w:r>
        <w:rPr>
          <w:rFonts w:hint="eastAsia"/>
        </w:rPr>
        <w:t>3</w:t>
      </w:r>
      <w:r>
        <w:t>.环卫设施布局</w:t>
      </w:r>
    </w:p>
    <w:p>
      <w:pPr>
        <w:ind w:firstLine="640"/>
      </w:pPr>
      <w:r>
        <w:rPr>
          <w:rFonts w:hint="eastAsia"/>
        </w:rPr>
        <w:t>板场村G</w:t>
      </w:r>
      <w:r>
        <w:t>241西侧规划一座小型（V）生活垃圾转运站，转运规模为40吨/日，占地面积0.2公顷。</w:t>
      </w:r>
    </w:p>
    <w:p>
      <w:pPr>
        <w:pStyle w:val="3"/>
        <w:spacing w:before="326" w:beforeLines="100" w:after="326" w:afterLines="100"/>
      </w:pPr>
      <w:bookmarkStart w:id="141" w:name="_Toc129799058"/>
      <w:bookmarkStart w:id="142" w:name="_Toc185608323"/>
      <w:bookmarkStart w:id="143" w:name="_Toc127350193"/>
      <w:r>
        <w:rPr>
          <w:rFonts w:hint="eastAsia"/>
        </w:rPr>
        <w:t>综合防灾</w:t>
      </w:r>
      <w:bookmarkEnd w:id="141"/>
      <w:r>
        <w:rPr>
          <w:rFonts w:hint="eastAsia"/>
        </w:rPr>
        <w:t>减灾规划</w:t>
      </w:r>
      <w:bookmarkEnd w:id="142"/>
    </w:p>
    <w:p>
      <w:pPr>
        <w:pStyle w:val="4"/>
        <w:spacing w:before="195" w:beforeLines="60" w:after="195" w:afterLines="60" w:line="240" w:lineRule="auto"/>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集镇区的灾害风险，提高集镇区的防灾减灾能力。</w:t>
      </w:r>
    </w:p>
    <w:p>
      <w:pPr>
        <w:pStyle w:val="4"/>
        <w:spacing w:before="195" w:beforeLines="60" w:after="195" w:afterLines="60" w:line="240" w:lineRule="auto"/>
      </w:pPr>
      <w:r>
        <w:rPr>
          <w:rFonts w:hint="eastAsia"/>
        </w:rPr>
        <w:t>综合防灾空间布局</w:t>
      </w:r>
    </w:p>
    <w:p>
      <w:pPr>
        <w:ind w:firstLine="640"/>
      </w:pPr>
      <w:r>
        <w:rPr>
          <w:rFonts w:hint="eastAsia"/>
        </w:rPr>
        <w:t>1</w:t>
      </w:r>
      <w:r>
        <w:t>.防洪排涝规划</w:t>
      </w:r>
    </w:p>
    <w:p>
      <w:pPr>
        <w:ind w:firstLine="640"/>
      </w:pPr>
      <w:r>
        <w:rPr>
          <w:rFonts w:hint="eastAsia"/>
        </w:rPr>
        <w:t>防洪标准：板场乡集镇区按</w:t>
      </w:r>
      <w:r>
        <w:t>30年一遇标准设防；镇</w:t>
      </w:r>
      <w:r>
        <w:rPr>
          <w:rFonts w:hint="eastAsia"/>
        </w:rPr>
        <w:t>中部酿河（让河）</w:t>
      </w:r>
      <w:r>
        <w:t>按20年一遇标准设防。</w:t>
      </w:r>
    </w:p>
    <w:p>
      <w:pPr>
        <w:ind w:firstLine="640"/>
      </w:pPr>
      <w:r>
        <w:rPr>
          <w:rFonts w:hint="eastAsia"/>
        </w:rPr>
        <w:t>内涝防治标准：板场乡能有效应对不低于</w:t>
      </w:r>
      <w:r>
        <w:t>20年一遇的暴雨。</w:t>
      </w:r>
    </w:p>
    <w:p>
      <w:pPr>
        <w:ind w:firstLine="640"/>
      </w:pPr>
      <w:r>
        <w:rPr>
          <w:rFonts w:hint="eastAsia"/>
        </w:rPr>
        <w:t>2</w:t>
      </w:r>
      <w:r>
        <w:t>.消防规划</w:t>
      </w:r>
    </w:p>
    <w:p>
      <w:pPr>
        <w:ind w:firstLine="640"/>
      </w:pPr>
      <w:r>
        <w:rPr>
          <w:rFonts w:hint="eastAsia"/>
        </w:rPr>
        <w:t>集镇区按照普通消防站接警后</w:t>
      </w:r>
      <w:r>
        <w:t>5分钟内消防队可以到达责任区边缘为原则，及消防站责任区范围小于7平方千米的要求设置消防站，</w:t>
      </w:r>
      <w:bookmarkStart w:id="144" w:name="_Hlk200522617"/>
      <w:r>
        <w:rPr>
          <w:rFonts w:hint="eastAsia"/>
        </w:rPr>
        <w:t>规划在板场乡集镇区南侧规划二级乡镇专职消防队</w:t>
      </w:r>
      <w:bookmarkEnd w:id="144"/>
      <w:r>
        <w:t>。</w:t>
      </w:r>
    </w:p>
    <w:p>
      <w:pPr>
        <w:ind w:firstLine="640"/>
      </w:pPr>
      <w:r>
        <w:rPr>
          <w:rFonts w:hint="eastAsia"/>
        </w:rPr>
        <w:t>3</w:t>
      </w:r>
      <w:r>
        <w:t>.抗震防灾规划</w:t>
      </w:r>
    </w:p>
    <w:p>
      <w:pPr>
        <w:ind w:firstLine="640"/>
        <w:rPr>
          <w:u w:val="single"/>
        </w:rPr>
      </w:pPr>
      <w:r>
        <w:rPr>
          <w:rFonts w:hint="eastAsia"/>
          <w:u w:val="single"/>
        </w:rPr>
        <w:t>板场乡抗震设防级别为</w:t>
      </w:r>
      <w:r>
        <w:rPr>
          <w:u w:val="single"/>
        </w:rPr>
        <w:t>7度。新建、扩建、改建建设工程应当达到抗震设防要求；集镇区生命线工程（给排水、供电、通讯、道路、桥梁、堤坝等）及主要公共建筑（如体育馆、学校、卫生院、消防站、重要仓库等）按照8度设防。</w:t>
      </w:r>
    </w:p>
    <w:p>
      <w:pPr>
        <w:ind w:firstLine="640"/>
      </w:pPr>
      <w:r>
        <w:rPr>
          <w:rFonts w:hint="eastAsia"/>
        </w:rPr>
        <w:t>利用集镇区公园、绿地、广场、学校、体育场、空地等作为避震疏散场地。固定避难场所人均有效避难面积不小于</w:t>
      </w:r>
      <w:r>
        <w:t>2.0平方米。</w:t>
      </w:r>
    </w:p>
    <w:p>
      <w:pPr>
        <w:ind w:firstLine="640"/>
      </w:pPr>
      <w:r>
        <w:rPr>
          <w:rFonts w:hint="eastAsia"/>
        </w:rPr>
        <w:t>将集镇区主次干道、过境公路作为主要避震疏散通道。</w:t>
      </w:r>
    </w:p>
    <w:p>
      <w:pPr>
        <w:ind w:firstLine="640"/>
      </w:pPr>
      <w:r>
        <w:rPr>
          <w:rFonts w:hint="eastAsia"/>
        </w:rPr>
        <w:t>救灾干道：G</w:t>
      </w:r>
      <w:r>
        <w:t>241</w:t>
      </w:r>
      <w:r>
        <w:rPr>
          <w:rFonts w:hint="eastAsia"/>
        </w:rPr>
        <w:t>。</w:t>
      </w:r>
    </w:p>
    <w:p>
      <w:pPr>
        <w:ind w:firstLine="640"/>
      </w:pPr>
      <w:r>
        <w:rPr>
          <w:rFonts w:hint="eastAsia"/>
        </w:rPr>
        <w:t>疏散主干道：以集镇区主干道为主要疏散干道。</w:t>
      </w:r>
    </w:p>
    <w:p>
      <w:pPr>
        <w:ind w:firstLine="640"/>
      </w:pPr>
      <w:r>
        <w:rPr>
          <w:rFonts w:hint="eastAsia"/>
        </w:rPr>
        <w:t>4</w:t>
      </w:r>
      <w:r>
        <w:t>.突发公共卫生事件防御规划</w:t>
      </w:r>
    </w:p>
    <w:p>
      <w:pPr>
        <w:ind w:firstLine="640"/>
      </w:pPr>
      <w:r>
        <w:rPr>
          <w:rFonts w:hint="eastAsia"/>
        </w:rPr>
        <w:t>出现灾情、疫情时，在集镇区主入口设公安劝阻站，控制疏导车辆、人流进出集镇区，保证救灾车辆顺利通行，所有出入疫区的人流、车流经过消毒，防止疫情扩散。</w:t>
      </w:r>
    </w:p>
    <w:p>
      <w:pPr>
        <w:pStyle w:val="4"/>
        <w:spacing w:before="195" w:beforeLines="60" w:after="195" w:afterLines="60" w:line="240" w:lineRule="auto"/>
      </w:pPr>
      <w:r>
        <w:rPr>
          <w:rFonts w:hint="eastAsia"/>
        </w:rPr>
        <w:t>综合防灾应急服务设施规划</w:t>
      </w:r>
    </w:p>
    <w:p>
      <w:pPr>
        <w:ind w:firstLine="640"/>
      </w:pPr>
      <w:r>
        <w:rPr>
          <w:rFonts w:hint="eastAsia"/>
        </w:rPr>
        <w:t>1</w:t>
      </w:r>
      <w:r>
        <w:t>.应急指挥设施体系</w:t>
      </w:r>
    </w:p>
    <w:p>
      <w:pPr>
        <w:ind w:firstLine="640"/>
      </w:pPr>
      <w:r>
        <w:rPr>
          <w:rFonts w:hint="eastAsia"/>
        </w:rPr>
        <w:t>集镇区设置应急指挥中心</w:t>
      </w:r>
      <w:r>
        <w:t>1处，位于</w:t>
      </w:r>
      <w:r>
        <w:rPr>
          <w:rFonts w:hint="eastAsia"/>
        </w:rPr>
        <w:t>板场乡</w:t>
      </w:r>
      <w:r>
        <w:t>人民政府。</w:t>
      </w:r>
    </w:p>
    <w:p>
      <w:pPr>
        <w:ind w:firstLine="640"/>
      </w:pPr>
      <w:r>
        <w:rPr>
          <w:rFonts w:hint="eastAsia"/>
        </w:rPr>
        <w:t>2</w:t>
      </w:r>
      <w:r>
        <w:t>.应急救灾物资储备设施</w:t>
      </w:r>
    </w:p>
    <w:p>
      <w:pPr>
        <w:ind w:firstLine="640"/>
      </w:pPr>
      <w:r>
        <w:rPr>
          <w:rFonts w:hint="eastAsia"/>
        </w:rPr>
        <w:t>集镇区设置救灾物资储备库，并配置装卸设备、技防设备、物资保管维护设备、交通工具（应急调度车、救灾物资转运车）与通讯调度设备等。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集镇区依托卫生院设置镇级应急医疗设施。</w:t>
      </w:r>
    </w:p>
    <w:p>
      <w:pPr>
        <w:ind w:firstLine="640"/>
      </w:pPr>
      <w:r>
        <w:rPr>
          <w:rFonts w:hint="eastAsia"/>
        </w:rPr>
        <w:t>4</w:t>
      </w:r>
      <w:r>
        <w:t>.生命线系统</w:t>
      </w:r>
    </w:p>
    <w:p>
      <w:pPr>
        <w:ind w:firstLine="640"/>
      </w:pPr>
      <w:r>
        <w:rPr>
          <w:rFonts w:hint="eastAsia"/>
        </w:rPr>
        <w:t>供水系统：水厂建设标准应满足放在要求，在每个紧急避难场所设取水井供灾时使用；配备送水车以备应急时使用。</w:t>
      </w:r>
    </w:p>
    <w:p>
      <w:pPr>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143"/>
    <w:p>
      <w:pPr>
        <w:pStyle w:val="3"/>
        <w:spacing w:before="326" w:beforeLines="100" w:after="326" w:afterLines="100"/>
      </w:pPr>
      <w:bookmarkStart w:id="145" w:name="_Toc185608324"/>
      <w:r>
        <w:rPr>
          <w:rFonts w:hint="eastAsia"/>
        </w:rPr>
        <w:t>控制线划定</w:t>
      </w:r>
      <w:bookmarkEnd w:id="145"/>
    </w:p>
    <w:p>
      <w:pPr>
        <w:pStyle w:val="4"/>
        <w:spacing w:before="195" w:beforeLines="60" w:after="195" w:afterLines="60" w:line="240" w:lineRule="auto"/>
      </w:pPr>
      <w:bookmarkStart w:id="146" w:name="_Hlk142924635"/>
      <w:r>
        <w:rPr>
          <w:rFonts w:hint="eastAsia"/>
        </w:rPr>
        <w:t>道路控制</w:t>
      </w:r>
      <w:r>
        <w:t>线</w:t>
      </w:r>
    </w:p>
    <w:p>
      <w:pPr>
        <w:spacing w:before="163" w:beforeLines="50" w:after="163" w:afterLines="50"/>
        <w:ind w:firstLine="640"/>
      </w:pPr>
      <w:r>
        <w:rPr>
          <w:rFonts w:hint="eastAsia"/>
        </w:rPr>
        <w:t>板场乡集镇区道路主要道路控制宽度为</w:t>
      </w:r>
      <w:r>
        <w:t>12米；次干路控制宽度为10米，支路控制宽度为6-7米</w:t>
      </w:r>
      <w:r>
        <w:rPr>
          <w:rFonts w:hint="eastAsia"/>
        </w:rPr>
        <w:t>。</w:t>
      </w:r>
    </w:p>
    <w:p>
      <w:pPr>
        <w:spacing w:before="65"/>
        <w:ind w:firstLine="640"/>
        <w:rPr>
          <w:u w:val="single"/>
        </w:rPr>
      </w:pPr>
      <w:r>
        <w:rPr>
          <w:rFonts w:hint="eastAsia"/>
          <w:u w:val="single"/>
        </w:rPr>
        <w:t>涉及道路规划红线的新增、废止，道路等级、道路系统走向的重大调整，必须通过调整规划，按照规划审批程序报规划主管部门审批；不涉及改变道路系统、道路等级、走向的道路规划红线局部调整，可结合规划编制或项目建设工程规划设计方案，报原规划批准部门审批。</w:t>
      </w:r>
    </w:p>
    <w:p>
      <w:pPr>
        <w:spacing w:before="65"/>
        <w:ind w:firstLine="640"/>
        <w:rPr>
          <w:u w:val="single"/>
        </w:rPr>
      </w:pPr>
      <w:r>
        <w:rPr>
          <w:rFonts w:hint="eastAsia"/>
          <w:u w:val="single"/>
        </w:rPr>
        <w:t>道路控制线内不允许新增建设行为，根据《民用建筑设计通则》，建筑物的台阶、平台、窗井、地下建筑及建筑基础，除基地内连通城市管线以外的其他地下管线不允许突出道路红线。</w:t>
      </w:r>
    </w:p>
    <w:bookmarkEnd w:id="146"/>
    <w:p>
      <w:pPr>
        <w:pStyle w:val="4"/>
        <w:spacing w:before="195" w:beforeLines="60" w:after="195" w:afterLines="60" w:line="240" w:lineRule="auto"/>
      </w:pPr>
      <w:bookmarkStart w:id="147" w:name="_Hlk142924641"/>
      <w:r>
        <w:rPr>
          <w:rFonts w:hint="eastAsia"/>
        </w:rPr>
        <w:t>重大基础设施和公共安全设施控制</w:t>
      </w:r>
      <w:r>
        <w:t>线</w:t>
      </w:r>
    </w:p>
    <w:bookmarkEnd w:id="147"/>
    <w:p>
      <w:pPr>
        <w:spacing w:before="65"/>
        <w:ind w:firstLine="640"/>
        <w:rPr>
          <w:u w:val="single"/>
        </w:rPr>
      </w:pPr>
      <w:r>
        <w:rPr>
          <w:rFonts w:hint="eastAsia"/>
          <w:u w:val="single"/>
        </w:rPr>
        <w:t>包括供水用地、供电用地、通信用地和消防用地，总面积分别为</w:t>
      </w:r>
      <w:r>
        <w:rPr>
          <w:u w:val="single"/>
        </w:rPr>
        <w:t>0.53公顷</w:t>
      </w:r>
      <w:r>
        <w:rPr>
          <w:rFonts w:hint="eastAsia"/>
          <w:u w:val="single"/>
        </w:rPr>
        <w:t>。</w:t>
      </w:r>
    </w:p>
    <w:p>
      <w:pPr>
        <w:spacing w:before="65"/>
        <w:ind w:firstLine="640"/>
        <w:rPr>
          <w:u w:val="single"/>
        </w:rPr>
      </w:pPr>
      <w:r>
        <w:rPr>
          <w:rFonts w:hint="eastAsia"/>
          <w:u w:val="single"/>
        </w:rPr>
        <w:t>重大基础设施和公共安全设施控制线内不得改作他用，不得违反法律法规、强制性标准以及批准的规划进行开发建设。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beforeLines="60" w:after="195" w:afterLines="60" w:line="240" w:lineRule="auto"/>
      </w:pPr>
      <w:bookmarkStart w:id="148" w:name="_Hlk142924653"/>
      <w:bookmarkStart w:id="149" w:name="_Hlk142924647"/>
      <w:r>
        <w:rPr>
          <w:rFonts w:hint="eastAsia"/>
        </w:rPr>
        <w:t>公园绿地和防护绿地控制线</w:t>
      </w:r>
    </w:p>
    <w:bookmarkEnd w:id="148"/>
    <w:p>
      <w:pPr>
        <w:spacing w:before="65"/>
        <w:ind w:firstLine="640"/>
        <w:rPr>
          <w:u w:val="single"/>
        </w:rPr>
      </w:pPr>
      <w:r>
        <w:rPr>
          <w:rFonts w:hint="eastAsia"/>
          <w:u w:val="single"/>
        </w:rPr>
        <w:t>控制范围共</w:t>
      </w:r>
      <w:r>
        <w:rPr>
          <w:u w:val="single"/>
        </w:rPr>
        <w:t>1.50公顷，为规划范围内的公园绿地、防护绿地和广场用地</w:t>
      </w:r>
      <w:r>
        <w:rPr>
          <w:rFonts w:hint="eastAsia"/>
          <w:u w:val="single"/>
        </w:rPr>
        <w:t>。</w:t>
      </w:r>
    </w:p>
    <w:p>
      <w:pPr>
        <w:spacing w:before="65"/>
        <w:ind w:firstLine="640"/>
      </w:pPr>
      <w:r>
        <w:rPr>
          <w:rFonts w:hint="eastAsia"/>
          <w:u w:val="single"/>
        </w:rPr>
        <w:t>绿地控制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p>
      <w:pPr>
        <w:pStyle w:val="4"/>
        <w:spacing w:before="195" w:beforeLines="60" w:after="195" w:afterLines="60" w:line="240" w:lineRule="auto"/>
      </w:pPr>
      <w:r>
        <w:t>结构性水域控制线</w:t>
      </w:r>
    </w:p>
    <w:p>
      <w:pPr>
        <w:spacing w:before="65"/>
        <w:ind w:firstLine="640"/>
        <w:rPr>
          <w:u w:val="single"/>
        </w:rPr>
      </w:pPr>
      <w:r>
        <w:rPr>
          <w:rFonts w:hint="eastAsia"/>
          <w:u w:val="single"/>
        </w:rPr>
        <w:t>主要控制酿河（让河）两侧约</w:t>
      </w:r>
      <w:r>
        <w:rPr>
          <w:u w:val="single"/>
        </w:rPr>
        <w:t>30到50米的控制线</w:t>
      </w:r>
      <w:r>
        <w:rPr>
          <w:rFonts w:hint="eastAsia"/>
          <w:u w:val="single"/>
        </w:rPr>
        <w:t>。</w:t>
      </w:r>
    </w:p>
    <w:p>
      <w:pPr>
        <w:spacing w:before="65"/>
        <w:ind w:firstLine="640"/>
        <w:rPr>
          <w:u w:val="single"/>
        </w:rPr>
      </w:pPr>
      <w:r>
        <w:rPr>
          <w:rFonts w:hint="eastAsia"/>
          <w:u w:val="single"/>
        </w:rPr>
        <w:t>在结构性水域控制线内禁止擅自填埋、占用城市蓝线内水域；禁止影响水系安全的爆破、采石、取土；禁止擅自建设各类排污设施；禁止其它对城市水系保护构成破坏的活动。</w:t>
      </w:r>
    </w:p>
    <w:p>
      <w:pPr>
        <w:spacing w:before="65"/>
        <w:ind w:firstLine="640"/>
        <w:rPr>
          <w:u w:val="single"/>
        </w:rPr>
      </w:pPr>
      <w:r>
        <w:rPr>
          <w:rFonts w:hint="eastAsia"/>
          <w:u w:val="single"/>
        </w:rPr>
        <w:t>在结构性水域控制线内进行各项建设，必须符合经批准的国土空间规划。</w:t>
      </w:r>
    </w:p>
    <w:p>
      <w:pPr>
        <w:spacing w:before="65"/>
        <w:ind w:firstLine="640"/>
      </w:pPr>
      <w:r>
        <w:rPr>
          <w:rFonts w:hint="eastAsia"/>
          <w:u w:val="single"/>
        </w:rPr>
        <w:t>在结构性水域控制线内新建、改建、扩建各类建筑物、构筑物、道路、管线和其他工程设施，应当依法向建设主管部门（城乡规划主管部门）申请办理城市规划许可，并依照有关法律、法规办理相关手续</w:t>
      </w:r>
      <w:r>
        <w:rPr>
          <w:rFonts w:hint="eastAsia"/>
        </w:rPr>
        <w:t>。</w:t>
      </w:r>
    </w:p>
    <w:bookmarkEnd w:id="149"/>
    <w:p>
      <w:pPr>
        <w:spacing w:before="65"/>
        <w:ind w:firstLine="640"/>
      </w:pPr>
      <w:r>
        <w:br w:type="page"/>
      </w:r>
    </w:p>
    <w:p>
      <w:pPr>
        <w:spacing w:before="65"/>
        <w:ind w:firstLine="640"/>
      </w:pPr>
    </w:p>
    <w:p>
      <w:pPr>
        <w:pStyle w:val="2"/>
        <w:spacing w:before="489" w:beforeLines="150" w:after="489" w:afterLines="150"/>
      </w:pPr>
      <w:bookmarkStart w:id="150" w:name="_Toc185608312"/>
      <w:bookmarkStart w:id="151" w:name="_Toc221006513"/>
      <w:r>
        <w:rPr>
          <w:rFonts w:hint="eastAsia"/>
        </w:rPr>
        <w:t>土地综合整治与生态修复</w:t>
      </w:r>
      <w:bookmarkEnd w:id="150"/>
      <w:bookmarkEnd w:id="151"/>
    </w:p>
    <w:p>
      <w:pPr>
        <w:pStyle w:val="3"/>
        <w:spacing w:before="326" w:beforeLines="100" w:after="326" w:afterLines="100"/>
      </w:pPr>
      <w:bookmarkStart w:id="152" w:name="_Toc185608313"/>
      <w:bookmarkStart w:id="153" w:name="_Hlk142899891"/>
      <w:bookmarkStart w:id="154" w:name="_Toc11093"/>
      <w:bookmarkStart w:id="155" w:name="_Toc27152"/>
      <w:r>
        <w:rPr>
          <w:rFonts w:hint="eastAsia"/>
        </w:rPr>
        <w:t>土地综合整治</w:t>
      </w:r>
      <w:bookmarkEnd w:id="152"/>
      <w:bookmarkEnd w:id="153"/>
      <w:bookmarkEnd w:id="154"/>
    </w:p>
    <w:p>
      <w:pPr>
        <w:pStyle w:val="4"/>
        <w:spacing w:before="195" w:beforeLines="60" w:after="195" w:afterLines="60" w:line="240" w:lineRule="auto"/>
      </w:pPr>
      <w:r>
        <w:rPr>
          <w:rFonts w:hint="eastAsia"/>
        </w:rPr>
        <w:t>落实</w:t>
      </w:r>
      <w:r>
        <w:t>整治</w:t>
      </w:r>
      <w:r>
        <w:rPr>
          <w:rFonts w:hint="eastAsia"/>
        </w:rPr>
        <w:t>任务</w:t>
      </w:r>
    </w:p>
    <w:p>
      <w:pPr>
        <w:spacing w:before="65"/>
        <w:ind w:firstLine="640"/>
        <w:rPr>
          <w:rFonts w:ascii="Times New Roman" w:hAnsi="Times New Roman"/>
        </w:rPr>
      </w:pPr>
      <w:bookmarkStart w:id="156" w:name="_Hlk200546592"/>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不低于178.83公顷，</w:t>
      </w:r>
      <w:r>
        <w:rPr>
          <w:rFonts w:hint="eastAsia" w:ascii="Times New Roman" w:hAnsi="Times New Roman" w:cs="宋体"/>
          <w:lang w:bidi="ar"/>
        </w:rPr>
        <w:t>其中农用地整理补充耕地</w:t>
      </w:r>
      <w:r>
        <w:rPr>
          <w:rFonts w:ascii="Times New Roman" w:hAnsi="Times New Roman" w:cs="宋体"/>
          <w:lang w:bidi="ar"/>
        </w:rPr>
        <w:t>规模</w:t>
      </w:r>
      <w:r>
        <w:rPr>
          <w:rFonts w:ascii="Times New Roman" w:hAnsi="Times New Roman"/>
          <w:lang w:bidi="ar"/>
        </w:rPr>
        <w:t>112.57</w:t>
      </w:r>
      <w:r>
        <w:rPr>
          <w:rFonts w:hint="eastAsia" w:ascii="Times New Roman" w:hAnsi="Times New Roman" w:cs="宋体"/>
          <w:lang w:bidi="ar"/>
        </w:rPr>
        <w:t>公顷，农村建设用地整理补充耕地规模</w:t>
      </w:r>
      <w:r>
        <w:rPr>
          <w:rFonts w:ascii="Times New Roman" w:hAnsi="Times New Roman"/>
          <w:lang w:bidi="ar"/>
        </w:rPr>
        <w:t>48.59</w:t>
      </w:r>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ascii="Times New Roman" w:hAnsi="Times New Roman"/>
          <w:lang w:bidi="ar"/>
        </w:rPr>
        <w:t>17.67</w:t>
      </w:r>
      <w:r>
        <w:rPr>
          <w:rFonts w:hint="eastAsia" w:ascii="Times New Roman" w:hAnsi="Times New Roman" w:cs="宋体"/>
          <w:lang w:bidi="ar"/>
        </w:rPr>
        <w:t>公顷。</w:t>
      </w:r>
      <w:r>
        <w:rPr>
          <w:rFonts w:ascii="Times New Roman" w:hAnsi="Times New Roman"/>
          <w:lang w:bidi="ar"/>
        </w:rPr>
        <w:t>区域内永久基本农田全部建成为高标准农田</w:t>
      </w:r>
      <w:bookmarkEnd w:id="156"/>
      <w:r>
        <w:rPr>
          <w:rFonts w:ascii="Times New Roman" w:hAnsi="Times New Roman"/>
          <w:lang w:bidi="ar"/>
        </w:rPr>
        <w:t>。</w:t>
      </w:r>
    </w:p>
    <w:p>
      <w:pPr>
        <w:pStyle w:val="4"/>
        <w:spacing w:before="195" w:beforeLines="60" w:after="195" w:afterLines="60" w:line="240" w:lineRule="auto"/>
      </w:pPr>
      <w:r>
        <w:rPr>
          <w:rFonts w:hint="eastAsia"/>
        </w:rPr>
        <w:t>整治</w:t>
      </w:r>
      <w:r>
        <w:t>重点区域</w:t>
      </w:r>
    </w:p>
    <w:p>
      <w:pPr>
        <w:ind w:firstLine="640"/>
      </w:pPr>
      <w:r>
        <w:rPr>
          <w:rFonts w:hint="eastAsia"/>
        </w:rPr>
        <w:t>1</w:t>
      </w:r>
      <w:r>
        <w:t>.</w:t>
      </w:r>
      <w:r>
        <w:rPr>
          <w:rFonts w:hint="eastAsia"/>
        </w:rPr>
        <w:t>土地</w:t>
      </w:r>
      <w:r>
        <w:t>综合整治重点区域</w:t>
      </w:r>
    </w:p>
    <w:p>
      <w:pPr>
        <w:spacing w:before="65"/>
        <w:ind w:firstLine="640"/>
        <w:rPr>
          <w:rFonts w:ascii="Times New Roman" w:hAnsi="Times New Roman"/>
          <w:lang w:bidi="ar"/>
        </w:rPr>
      </w:pPr>
      <w:r>
        <w:rPr>
          <w:rFonts w:hint="eastAsia" w:ascii="Times New Roman" w:hAnsi="Times New Roman"/>
          <w:lang w:bidi="ar"/>
        </w:rPr>
        <w:t>包括双庙村、板场村、河口村、让河村、三岔村、龙凤村、符庄村、后湖村、青竹村、玉皇村、冯庄村、长兴村、雁岭村、符竹园村、文龙村等</w:t>
      </w:r>
      <w:r>
        <w:rPr>
          <w:rFonts w:ascii="Times New Roman" w:hAnsi="Times New Roman"/>
          <w:lang w:bidi="ar"/>
        </w:rPr>
        <w:t>16个村庄。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整体推进农用地整理、建设用地整理和生态保护修复，优化生产、生活、生态空间，促进土地节约集约利用，改善农村人居环境，加快推进农业农村现代化。</w:t>
      </w:r>
    </w:p>
    <w:p>
      <w:pPr>
        <w:ind w:firstLine="640"/>
      </w:pPr>
      <w:r>
        <w:rPr>
          <w:rFonts w:hint="eastAsia"/>
        </w:rPr>
        <w:t>2</w:t>
      </w:r>
      <w:r>
        <w:t>.</w:t>
      </w:r>
      <w:r>
        <w:rPr>
          <w:rFonts w:hint="eastAsia"/>
        </w:rPr>
        <w:t>农用地</w:t>
      </w:r>
      <w:r>
        <w:t>整理重点区域</w:t>
      </w:r>
    </w:p>
    <w:p>
      <w:pPr>
        <w:spacing w:before="65"/>
        <w:ind w:firstLine="640"/>
      </w:pPr>
      <w:r>
        <w:rPr>
          <w:rFonts w:hint="eastAsia" w:ascii="Times New Roman" w:hAnsi="Times New Roman"/>
          <w:lang w:bidi="ar"/>
        </w:rPr>
        <w:t>包括让河村、板场村等</w:t>
      </w:r>
      <w:r>
        <w:rPr>
          <w:rFonts w:ascii="Times New Roman" w:hAnsi="Times New Roman"/>
          <w:lang w:bidi="ar"/>
        </w:rPr>
        <w:t>2个村庄。</w:t>
      </w:r>
      <w:r>
        <w:rPr>
          <w:rFonts w:hint="eastAsia" w:ascii="Times New Roman" w:hAnsi="Times New Roman"/>
          <w:lang w:bidi="ar"/>
        </w:rPr>
        <w:t>此区域</w:t>
      </w:r>
      <w:r>
        <w:rPr>
          <w:rFonts w:ascii="Times New Roman" w:hAnsi="Times New Roman"/>
          <w:lang w:bidi="ar"/>
        </w:rPr>
        <w:t>宜</w:t>
      </w:r>
      <w:r>
        <w:rPr>
          <w:rFonts w:hint="eastAsia"/>
          <w:lang w:bidi="ar"/>
        </w:rPr>
        <w:t>统筹推进低效林草地和园林地整理、农田基础设施建设和现状耕地提质改造等，加快推进高标准农田建设，夯实农业现代化基础。</w:t>
      </w:r>
    </w:p>
    <w:p>
      <w:pPr>
        <w:ind w:firstLine="640"/>
      </w:pPr>
      <w:r>
        <w:rPr>
          <w:rFonts w:hint="eastAsia"/>
        </w:rPr>
        <w:t>3</w:t>
      </w:r>
      <w:r>
        <w:t>.</w:t>
      </w:r>
      <w:r>
        <w:rPr>
          <w:rFonts w:hint="eastAsia"/>
        </w:rPr>
        <w:t>农村</w:t>
      </w:r>
      <w:r>
        <w:t>建设用地整理重点区域</w:t>
      </w:r>
    </w:p>
    <w:p>
      <w:pPr>
        <w:spacing w:before="65"/>
        <w:ind w:firstLine="640"/>
      </w:pPr>
      <w:r>
        <w:rPr>
          <w:rFonts w:hint="eastAsia" w:ascii="Times New Roman" w:hAnsi="Times New Roman"/>
          <w:lang w:bidi="ar"/>
        </w:rPr>
        <w:t>包括三岔村、文龙村、龙凤村等</w:t>
      </w:r>
      <w:r>
        <w:rPr>
          <w:rFonts w:ascii="Times New Roman" w:hAnsi="Times New Roman"/>
          <w:lang w:bidi="ar"/>
        </w:rPr>
        <w:t>3</w:t>
      </w:r>
      <w:r>
        <w:rPr>
          <w:rFonts w:hint="eastAsia" w:ascii="Times New Roman" w:hAnsi="Times New Roman"/>
          <w:lang w:bidi="ar"/>
        </w:rPr>
        <w:t>个</w:t>
      </w:r>
      <w:r>
        <w:rPr>
          <w:rFonts w:ascii="Times New Roman" w:hAnsi="Times New Roman"/>
          <w:lang w:bidi="ar"/>
        </w:rPr>
        <w:t>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统筹农村住宅建设、产业发展、公共服务、基础设施等各类建设用地，有序开展农村宅基地、工矿废弃地以及其他低效闲置建设用地整理，优化农村建设用地布局。</w:t>
      </w:r>
    </w:p>
    <w:p>
      <w:pPr>
        <w:pStyle w:val="4"/>
        <w:spacing w:before="195" w:beforeLines="60" w:after="195" w:afterLines="60" w:line="240" w:lineRule="auto"/>
      </w:pPr>
      <w:r>
        <w:rPr>
          <w:rFonts w:hint="eastAsia"/>
        </w:rPr>
        <w:t>整治</w:t>
      </w:r>
      <w:r>
        <w:t>重点工程</w:t>
      </w:r>
    </w:p>
    <w:p>
      <w:pPr>
        <w:spacing w:before="65"/>
        <w:ind w:firstLine="640"/>
      </w:pPr>
      <w:bookmarkStart w:id="157" w:name="_Hlk200546569"/>
      <w:r>
        <w:rPr>
          <w:rFonts w:hint="eastAsia"/>
          <w:bCs/>
        </w:rPr>
        <w:t>全域</w:t>
      </w:r>
      <w:r>
        <w:rPr>
          <w:bCs/>
        </w:rPr>
        <w:t>土地综合整治项目。</w:t>
      </w:r>
      <w:r>
        <w:rPr>
          <w:rFonts w:hint="eastAsia"/>
          <w:bCs/>
        </w:rPr>
        <w:t>在板场乡和夏馆镇综合安排国</w:t>
      </w:r>
      <w:r>
        <w:rPr>
          <w:rFonts w:hint="eastAsia"/>
        </w:rPr>
        <w:t>土综合整治重点项目——板场乡、夏馆镇等</w:t>
      </w:r>
      <w:r>
        <w:t>21个村全域土地综合整治项目</w:t>
      </w:r>
      <w:r>
        <w:rPr>
          <w:rFonts w:hint="eastAsia"/>
        </w:rPr>
        <w:t>，开展</w:t>
      </w:r>
      <w:r>
        <w:t>全域土地综合整治项目，</w:t>
      </w:r>
      <w:r>
        <w:rPr>
          <w:rFonts w:hint="eastAsia"/>
        </w:rPr>
        <w:t>包含农用地整治、建设用地整治、乡村生态保护修复、乡村振兴及人居环境提升等。综合</w:t>
      </w:r>
      <w:r>
        <w:t>整治过程中，</w:t>
      </w:r>
      <w:r>
        <w:rPr>
          <w:rFonts w:hint="eastAsia"/>
        </w:rPr>
        <w:t>以</w:t>
      </w:r>
      <w:r>
        <w:t>整治重点区域为引，分别侧重</w:t>
      </w:r>
      <w:r>
        <w:rPr>
          <w:rFonts w:hint="eastAsia"/>
        </w:rPr>
        <w:t>综合</w:t>
      </w:r>
      <w:r>
        <w:t>整治</w:t>
      </w:r>
      <w:r>
        <w:rPr>
          <w:rFonts w:hint="eastAsia"/>
        </w:rPr>
        <w:t>、</w:t>
      </w:r>
      <w:r>
        <w:t>农用地整理、农村建设用地整理、耕地后备资源开发等</w:t>
      </w:r>
      <w:r>
        <w:rPr>
          <w:rFonts w:hint="eastAsia"/>
        </w:rPr>
        <w:t>，分解</w:t>
      </w:r>
      <w:r>
        <w:t>补充耕地任务，完成耕地保护目标</w:t>
      </w:r>
      <w:bookmarkEnd w:id="157"/>
      <w:r>
        <w:t>。</w:t>
      </w:r>
    </w:p>
    <w:p>
      <w:pPr>
        <w:pStyle w:val="3"/>
        <w:spacing w:before="326" w:beforeLines="100" w:after="326" w:afterLines="100"/>
      </w:pPr>
      <w:bookmarkStart w:id="158" w:name="_Toc185608314"/>
      <w:r>
        <w:rPr>
          <w:rFonts w:hint="eastAsia"/>
        </w:rPr>
        <w:t>国土空间生态修复</w:t>
      </w:r>
      <w:bookmarkEnd w:id="155"/>
      <w:bookmarkEnd w:id="158"/>
    </w:p>
    <w:p>
      <w:pPr>
        <w:pStyle w:val="4"/>
        <w:spacing w:before="195" w:beforeLines="60" w:after="195" w:afterLines="60" w:line="240" w:lineRule="auto"/>
      </w:pPr>
      <w:r>
        <w:rPr>
          <w:rFonts w:hint="eastAsia"/>
        </w:rPr>
        <w:t>落</w:t>
      </w:r>
      <w:r>
        <w:t>实生态修复目标</w:t>
      </w:r>
    </w:p>
    <w:p>
      <w:pPr>
        <w:ind w:firstLine="640"/>
      </w:pPr>
      <w:r>
        <w:rPr>
          <w:rFonts w:hint="eastAsia"/>
        </w:rPr>
        <w:t>板场乡在内乡县生态修复分区中属于北部伏牛山地生物多样性与水源涵养生态功能区。生态修复主要目标是构建“安全、清洁、可持续”的矿山生态系统，消除地质灾害风险，阻断石材产业污染链条，推动产业绿色转型，实现生态安全与民生保障的协同发展。</w:t>
      </w:r>
    </w:p>
    <w:p>
      <w:pPr>
        <w:pStyle w:val="4"/>
        <w:spacing w:before="195" w:beforeLines="60" w:after="195" w:afterLines="60" w:line="240" w:lineRule="auto"/>
      </w:pPr>
      <w:r>
        <w:t>生态修复</w:t>
      </w:r>
      <w:r>
        <w:rPr>
          <w:rFonts w:hint="eastAsia"/>
        </w:rPr>
        <w:t>主要任务</w:t>
      </w:r>
    </w:p>
    <w:p>
      <w:pPr>
        <w:spacing w:before="65"/>
        <w:ind w:firstLine="640"/>
      </w:pPr>
      <w:r>
        <w:t>1.矿山生态修复</w:t>
      </w:r>
    </w:p>
    <w:p>
      <w:pPr>
        <w:spacing w:before="65"/>
        <w:ind w:firstLine="640"/>
      </w:pPr>
      <w:r>
        <w:rPr>
          <w:rFonts w:hint="eastAsia"/>
        </w:rPr>
        <w:t>系统推进矿山地质环境恢复和综合治理，全面提升矿山生态环境质量。到</w:t>
      </w:r>
      <w: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ind w:firstLine="640"/>
      </w:pPr>
      <w:r>
        <w:rPr>
          <w:rFonts w:hint="eastAsia"/>
        </w:rPr>
        <w:t>强化重点区域修复。重点推进南水北调中线工程水源地（南阳片区）历史遗留废弃矿山生态修复示范工程项目（内乡县），</w:t>
      </w:r>
      <w:r>
        <w:t>以矿产资源集中开采区为重点</w:t>
      </w:r>
      <w:r>
        <w:rPr>
          <w:rFonts w:hint="eastAsia"/>
        </w:rPr>
        <w:t>，通过地形重塑、废弃土地复垦、植被恢复、矿石渣清理、边坡治理、矿山土壤及水资源治理等措施，恢复矿山生态环境。项目总规模</w:t>
      </w:r>
      <w:r>
        <w:t>294</w:t>
      </w:r>
      <w:r>
        <w:rPr>
          <w:rFonts w:hint="eastAsia"/>
        </w:rPr>
        <w:t>亩，主要集中于冯庄村、符竹园村、双庙村、河口村、文龙村、雁岭村和长兴村。至20</w:t>
      </w:r>
      <w:r>
        <w:t>2</w:t>
      </w:r>
      <w:r>
        <w:rPr>
          <w:rFonts w:hint="eastAsia"/>
        </w:rPr>
        <w:t>5年，</w:t>
      </w:r>
      <w:r>
        <w:t>历史遗留矿山完成上级下发任务，至2035年，历史遗留矿山实现应治尽治</w:t>
      </w:r>
      <w:r>
        <w:rPr>
          <w:rFonts w:hint="eastAsia"/>
        </w:rPr>
        <w:t>。</w:t>
      </w:r>
    </w:p>
    <w:p>
      <w:pPr>
        <w:spacing w:before="65"/>
        <w:ind w:firstLine="640"/>
      </w:pPr>
      <w:r>
        <w:t>2.地质灾害治理</w:t>
      </w:r>
    </w:p>
    <w:p>
      <w:pPr>
        <w:spacing w:before="65"/>
        <w:ind w:firstLine="640"/>
      </w:pPr>
      <w:r>
        <w:rPr>
          <w:rFonts w:hint="eastAsia"/>
        </w:rPr>
        <w:t>明确地质灾害治理目标。地质灾害治理工程与生态措施结合，恢复地质灾害隐患点地质环境。规划目标年，全面建成板场乡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65"/>
        <w:ind w:firstLine="640"/>
      </w:pPr>
      <w:r>
        <w:rPr>
          <w:rFonts w:hint="eastAsia"/>
        </w:rPr>
        <w:t>强化重点区域治理。重点对地质灾害高易发区的地质灾害隐患点进行治理。</w:t>
      </w:r>
    </w:p>
    <w:p>
      <w:pPr>
        <w:spacing w:before="65"/>
        <w:ind w:firstLine="640"/>
      </w:pPr>
      <w:r>
        <w:br w:type="page"/>
      </w:r>
    </w:p>
    <w:p>
      <w:pPr>
        <w:spacing w:before="65"/>
        <w:ind w:firstLine="640"/>
      </w:pPr>
    </w:p>
    <w:p>
      <w:pPr>
        <w:pStyle w:val="2"/>
        <w:spacing w:before="489" w:beforeLines="150" w:after="489" w:afterLines="150"/>
      </w:pPr>
      <w:bookmarkStart w:id="159" w:name="_Toc185608326"/>
      <w:bookmarkStart w:id="160" w:name="_Toc221006514"/>
      <w:r>
        <w:rPr>
          <w:rFonts w:hint="eastAsia"/>
        </w:rPr>
        <w:t>规划传导</w:t>
      </w:r>
      <w:bookmarkEnd w:id="159"/>
      <w:bookmarkEnd w:id="160"/>
    </w:p>
    <w:p>
      <w:pPr>
        <w:pStyle w:val="3"/>
        <w:spacing w:before="326" w:beforeLines="100" w:after="326" w:afterLines="100"/>
      </w:pPr>
      <w:bookmarkStart w:id="161" w:name="_Toc185608327"/>
      <w:r>
        <w:rPr>
          <w:rFonts w:hint="eastAsia"/>
        </w:rPr>
        <w:t>集镇区详细规划单元与指引</w:t>
      </w:r>
      <w:bookmarkEnd w:id="161"/>
    </w:p>
    <w:p>
      <w:pPr>
        <w:pStyle w:val="4"/>
        <w:spacing w:before="195" w:beforeLines="60" w:after="195" w:afterLines="60" w:line="240" w:lineRule="auto"/>
      </w:pPr>
      <w:r>
        <w:rPr>
          <w:rFonts w:hint="eastAsia"/>
        </w:rPr>
        <w:t>划分集镇区详规单元</w:t>
      </w:r>
    </w:p>
    <w:p>
      <w:pPr>
        <w:spacing w:before="65"/>
        <w:ind w:firstLine="640"/>
      </w:pPr>
      <w:r>
        <w:rPr>
          <w:rFonts w:hint="eastAsia"/>
        </w:rPr>
        <w:t>根据用地功能、集镇区更新和发展需求，以城市道路等为界，划分为若干详细规划管理单元；集镇区共划定</w:t>
      </w:r>
      <w:r>
        <w:t>1个详细规划单元。</w:t>
      </w:r>
    </w:p>
    <w:p>
      <w:pPr>
        <w:pStyle w:val="4"/>
        <w:spacing w:before="195" w:beforeLines="60" w:after="195" w:afterLines="60" w:line="240" w:lineRule="auto"/>
      </w:pPr>
      <w:r>
        <w:rPr>
          <w:rFonts w:hint="eastAsia"/>
        </w:rPr>
        <w:t>单元规划指引</w:t>
      </w:r>
    </w:p>
    <w:p>
      <w:pPr>
        <w:spacing w:before="163" w:beforeLines="50"/>
        <w:ind w:firstLine="640"/>
      </w:pPr>
      <w:r>
        <w:rPr>
          <w:rFonts w:hint="eastAsia"/>
        </w:rPr>
        <w:t>公共活动中心单元：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p>
    <w:p>
      <w:pPr>
        <w:pStyle w:val="3"/>
        <w:spacing w:before="326" w:beforeLines="100" w:after="326" w:afterLines="100"/>
      </w:pPr>
      <w:bookmarkStart w:id="162" w:name="_Toc185608328"/>
      <w:r>
        <w:rPr>
          <w:rFonts w:hint="eastAsia"/>
        </w:rPr>
        <w:t>详细规划编制单元与指引</w:t>
      </w:r>
      <w:bookmarkEnd w:id="162"/>
    </w:p>
    <w:p>
      <w:pPr>
        <w:pStyle w:val="4"/>
        <w:spacing w:before="195" w:beforeLines="60" w:after="195" w:afterLines="60" w:line="240" w:lineRule="auto"/>
      </w:pPr>
      <w:r>
        <w:rPr>
          <w:rFonts w:hint="eastAsia"/>
        </w:rPr>
        <w:t>划定乡镇详细规划编制单元</w:t>
      </w:r>
    </w:p>
    <w:p>
      <w:pPr>
        <w:spacing w:before="65"/>
        <w:ind w:firstLine="640"/>
      </w:pPr>
      <w:r>
        <w:rPr>
          <w:rFonts w:hint="eastAsia"/>
        </w:rPr>
        <w:t>乡镇共划定</w:t>
      </w:r>
      <w:r>
        <w:t>17个详细规划编制单元，包括集镇区1个编制单元。以板场乡集镇区村庄建设边界为依据，确定为板场乡集镇区编制单元,分别为板场组团BC01；其余为以行政村界限为边界的详规单元，分别为双庙村编制单元BC02、板场村编制单元BC03、河口村编制单元BC04、让河村编制单元BC05、三岔村编制单元BC06、龙凤村编制单元BC07、符庄村编制单元BC08、后湖村编制单元BC09、青竹村编制单元BC10、玉皇村编制单元BC11、冯庄村编制单元BC12、长兴村编制单元BC13、雁岭村编制单元BC14、符竹园村编制单</w:t>
      </w:r>
      <w:r>
        <w:rPr>
          <w:rFonts w:hint="eastAsia"/>
        </w:rPr>
        <w:t>元</w:t>
      </w:r>
      <w:r>
        <w:t>BC15、文龙村编制单元BC16、前庄村编制单元BC17</w:t>
      </w:r>
      <w:r>
        <w:rPr>
          <w:rFonts w:hint="eastAsia"/>
        </w:rPr>
        <w:t>。</w:t>
      </w:r>
    </w:p>
    <w:p>
      <w:pPr>
        <w:pStyle w:val="4"/>
        <w:spacing w:before="195" w:beforeLines="60" w:after="195" w:afterLines="60" w:line="240" w:lineRule="auto"/>
      </w:pPr>
      <w:r>
        <w:rPr>
          <w:rFonts w:hint="eastAsia"/>
        </w:rPr>
        <w:t>详细规划编制指引</w:t>
      </w:r>
    </w:p>
    <w:p>
      <w:pPr>
        <w:spacing w:before="65"/>
        <w:ind w:firstLine="640"/>
        <w:rPr>
          <w:lang w:bidi="ar"/>
        </w:rPr>
      </w:pPr>
      <w:r>
        <w:rPr>
          <w:rFonts w:hint="eastAsia"/>
          <w:lang w:bidi="ar"/>
        </w:rPr>
        <w:t>乡镇镇区范围外，城镇开发边界外共涉及</w:t>
      </w:r>
      <w:r>
        <w:rPr>
          <w:lang w:bidi="ar"/>
        </w:rPr>
        <w:t>16个详细规划编制单元，</w:t>
      </w:r>
      <w:r>
        <w:rPr>
          <w:rFonts w:hint="eastAsia" w:ascii="仿宋_GB2312"/>
          <w:lang w:bidi="ar"/>
        </w:rPr>
        <w:t>根据村庄类型和发展需求选择编制“实用性”村庄规划、“通则式”村庄规划、“通则式村庄规划管理规定”和“单元”村庄规划</w:t>
      </w:r>
      <w:r>
        <w:rPr>
          <w:rFonts w:hint="eastAsia"/>
          <w:lang w:bidi="ar"/>
        </w:rPr>
        <w:t>。</w:t>
      </w:r>
    </w:p>
    <w:p>
      <w:pPr>
        <w:spacing w:before="65"/>
        <w:ind w:firstLine="640"/>
        <w:rPr>
          <w:lang w:bidi="ar"/>
        </w:rPr>
      </w:pPr>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r>
        <w:rPr>
          <w:rFonts w:hint="eastAsia"/>
          <w:lang w:bidi="ar"/>
        </w:rPr>
        <w:t>。</w:t>
      </w:r>
    </w:p>
    <w:p>
      <w:pPr>
        <w:ind w:firstLine="640"/>
      </w:pPr>
      <w:r>
        <w:br w:type="page"/>
      </w:r>
    </w:p>
    <w:p>
      <w:pPr>
        <w:spacing w:before="65"/>
        <w:ind w:firstLine="640"/>
        <w:rPr>
          <w:lang w:bidi="ar"/>
        </w:rPr>
      </w:pPr>
    </w:p>
    <w:p>
      <w:pPr>
        <w:pStyle w:val="2"/>
        <w:rPr>
          <w:lang w:bidi="ar"/>
        </w:rPr>
      </w:pPr>
      <w:bookmarkStart w:id="163" w:name="_Toc221006515"/>
      <w:r>
        <w:rPr>
          <w:rFonts w:hint="eastAsia"/>
          <w:lang w:bidi="ar"/>
        </w:rPr>
        <w:t>规划实施</w:t>
      </w:r>
      <w:bookmarkEnd w:id="163"/>
    </w:p>
    <w:p>
      <w:pPr>
        <w:pStyle w:val="3"/>
        <w:spacing w:before="326" w:beforeLines="100" w:after="326" w:afterLines="100"/>
      </w:pPr>
      <w:bookmarkStart w:id="164" w:name="_Toc185608329"/>
      <w:r>
        <w:rPr>
          <w:rFonts w:hint="eastAsia"/>
        </w:rPr>
        <w:t>近期行动计划制定</w:t>
      </w:r>
      <w:bookmarkEnd w:id="164"/>
    </w:p>
    <w:p>
      <w:pPr>
        <w:pStyle w:val="4"/>
        <w:spacing w:before="195" w:beforeLines="60" w:after="195" w:afterLines="60" w:line="240" w:lineRule="auto"/>
      </w:pPr>
      <w:bookmarkStart w:id="165" w:name="_Hlk142927673"/>
      <w:bookmarkStart w:id="166" w:name="_Toc122362506"/>
      <w:bookmarkStart w:id="167" w:name="_Toc126054148"/>
      <w:bookmarkStart w:id="168" w:name="_Toc122364916"/>
      <w:r>
        <w:rPr>
          <w:rFonts w:hint="eastAsia"/>
        </w:rPr>
        <w:t>近期实施重点任务</w:t>
      </w:r>
    </w:p>
    <w:bookmarkEnd w:id="165"/>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p>
      <w:pPr>
        <w:pStyle w:val="4"/>
        <w:spacing w:before="195" w:beforeLines="60" w:after="195" w:afterLines="60" w:line="240" w:lineRule="auto"/>
      </w:pPr>
      <w:bookmarkStart w:id="169" w:name="_Hlk142927680"/>
      <w:r>
        <w:rPr>
          <w:rFonts w:hint="eastAsia"/>
        </w:rPr>
        <w:t>行动计划</w:t>
      </w:r>
      <w:bookmarkEnd w:id="166"/>
      <w:bookmarkEnd w:id="167"/>
      <w:bookmarkEnd w:id="168"/>
    </w:p>
    <w:bookmarkEnd w:id="169"/>
    <w:p>
      <w:pPr>
        <w:spacing w:before="65"/>
        <w:ind w:firstLine="640"/>
      </w:pPr>
      <w:bookmarkStart w:id="170" w:name="_Hlk167092865"/>
      <w:bookmarkStart w:id="171" w:name="_Hlk200470279"/>
      <w:r>
        <w:t>1.生态修复类</w:t>
      </w:r>
    </w:p>
    <w:p>
      <w:pPr>
        <w:spacing w:before="65"/>
        <w:ind w:firstLine="640"/>
      </w:pPr>
      <w:r>
        <w:rPr>
          <w:rFonts w:hint="eastAsia"/>
        </w:rPr>
        <w:t>重点推进南水北调中线工程水源地（南阳片区）历史遗留废弃矿山生态修复示范工程项目（内乡县）、板场乡让河村花岗岩矿山功能性可持续发展项目、板场乡天然森林资源生态保护项目</w:t>
      </w:r>
      <w:r>
        <w:t>等3个生态修复</w:t>
      </w:r>
      <w:r>
        <w:rPr>
          <w:rFonts w:hint="eastAsia"/>
        </w:rPr>
        <w:t>类</w:t>
      </w:r>
      <w:r>
        <w:t>项目。</w:t>
      </w:r>
    </w:p>
    <w:p>
      <w:pPr>
        <w:spacing w:before="65"/>
        <w:ind w:firstLine="640"/>
      </w:pPr>
      <w:r>
        <w:t>2.土地整治类</w:t>
      </w:r>
    </w:p>
    <w:p>
      <w:pPr>
        <w:spacing w:before="65"/>
        <w:ind w:firstLine="640"/>
      </w:pPr>
      <w:r>
        <w:rPr>
          <w:rFonts w:hint="eastAsia"/>
        </w:rPr>
        <w:t>重点推进板场乡全域土地综合整治项目</w:t>
      </w:r>
      <w:r>
        <w:t>等1个土地整治</w:t>
      </w:r>
      <w:r>
        <w:rPr>
          <w:rFonts w:hint="eastAsia"/>
        </w:rPr>
        <w:t>类</w:t>
      </w:r>
      <w:r>
        <w:t>项目。</w:t>
      </w:r>
    </w:p>
    <w:p>
      <w:pPr>
        <w:spacing w:before="65"/>
        <w:ind w:firstLine="640"/>
      </w:pPr>
      <w:r>
        <w:t>3.水利类</w:t>
      </w:r>
    </w:p>
    <w:p>
      <w:pPr>
        <w:spacing w:before="65"/>
        <w:ind w:firstLine="640"/>
      </w:pPr>
      <w:r>
        <w:rPr>
          <w:rFonts w:hint="eastAsia"/>
        </w:rPr>
        <w:t>重点推进河南省内乡县青峰崖水库工程原坝址新建项目、板场乡幸福河湖建设项目、板场乡饮水安全保障能力提升项目</w:t>
      </w:r>
      <w:r>
        <w:t>等3个水利</w:t>
      </w:r>
      <w:r>
        <w:rPr>
          <w:rFonts w:hint="eastAsia"/>
        </w:rPr>
        <w:t>类</w:t>
      </w:r>
      <w:r>
        <w:t>项目。</w:t>
      </w:r>
    </w:p>
    <w:p>
      <w:pPr>
        <w:spacing w:before="65"/>
        <w:ind w:firstLine="640"/>
      </w:pPr>
      <w:r>
        <w:t>4.产业发展类</w:t>
      </w:r>
    </w:p>
    <w:p>
      <w:pPr>
        <w:spacing w:before="65"/>
        <w:ind w:firstLine="640"/>
      </w:pPr>
      <w:r>
        <w:rPr>
          <w:rFonts w:hint="eastAsia"/>
        </w:rPr>
        <w:t>重点推进板场乡景祥石材项目、板场乡闽烨石材项目、内乡县明业建材石材初加工项目、板场中博石墨加工项目、二龙山健康旅游项目、板场乡二龙山景区野生动物园、板场乡高端石墨负极材料绿色智造产业园项目、内乡县板场乡石材废料废渣综合利用产业园建设项目、内乡县板场乡新型环保石材加工产业园建设项目、板场乡老虎山铜矿开发项目、板场中河石材开发项目、板场长兴石材开发项目、板场乡文旅康养幸福小镇建设项目、板场乡自然生态亲子研学基地项目、板场乡物流集散中心建设项目、板场乡食用菌现代种植产业基地项目、板场乡道地药材生态种植产业园项目、板场乡特色林果产业延链增效建设项目、板场乡青竹酒业项目</w:t>
      </w:r>
      <w:r>
        <w:t>等19个</w:t>
      </w:r>
      <w:r>
        <w:rPr>
          <w:rFonts w:hint="eastAsia"/>
        </w:rPr>
        <w:t>产业发展类</w:t>
      </w:r>
      <w:r>
        <w:t>项目。</w:t>
      </w:r>
    </w:p>
    <w:p>
      <w:pPr>
        <w:spacing w:before="65"/>
        <w:ind w:firstLine="640"/>
      </w:pPr>
      <w:r>
        <w:t>5.基础设施类</w:t>
      </w:r>
    </w:p>
    <w:p>
      <w:pPr>
        <w:spacing w:before="65"/>
        <w:ind w:firstLine="640"/>
      </w:pPr>
      <w:r>
        <w:rPr>
          <w:rFonts w:hint="eastAsia"/>
        </w:rPr>
        <w:t>重点推进</w:t>
      </w:r>
      <w:r>
        <w:t>S328线钟店至内乡西峡交界段改建工程</w:t>
      </w:r>
      <w:r>
        <w:rPr>
          <w:rFonts w:hint="eastAsia"/>
        </w:rPr>
        <w:t>、嵩县至内乡高速公路南阳段、板场乡“四好农村路”提质升级示范工程、板场乡旅游快速通道建设项目、南阳内乡七里坪（双庙）</w:t>
      </w:r>
      <w:r>
        <w:t>110千伏输变电工程</w:t>
      </w:r>
      <w:r>
        <w:rPr>
          <w:rFonts w:hint="eastAsia"/>
        </w:rPr>
        <w:t>、内乡县六个乡镇污水处理厂及配套管网建设项目、板场乡公墓建设项目、板场樱花园（公墓）、板场乡垃圾转运站建设项目、板场乡宜居健康村落建设项目、板场乡汛期安全保障建设项目、板场乡水美乡村建设项目</w:t>
      </w:r>
      <w:r>
        <w:t>等12个基础设施</w:t>
      </w:r>
      <w:r>
        <w:rPr>
          <w:rFonts w:hint="eastAsia"/>
        </w:rPr>
        <w:t>类</w:t>
      </w:r>
      <w:r>
        <w:t>项目。</w:t>
      </w:r>
    </w:p>
    <w:p>
      <w:pPr>
        <w:spacing w:before="65"/>
        <w:ind w:firstLine="640"/>
      </w:pPr>
      <w:r>
        <w:t>6.公共服务类</w:t>
      </w:r>
    </w:p>
    <w:p>
      <w:pPr>
        <w:spacing w:before="65"/>
        <w:ind w:firstLine="640"/>
      </w:pPr>
      <w:r>
        <w:rPr>
          <w:rFonts w:hint="eastAsia"/>
        </w:rPr>
        <w:t>重点推进板场乡区域性养老服务能力建设项目、板场乡基层医疗卫生服务能力提升项目、板场乡防灾减灾安全体系构建工程</w:t>
      </w:r>
      <w:r>
        <w:t>等3个公共服务</w:t>
      </w:r>
      <w:r>
        <w:rPr>
          <w:rFonts w:hint="eastAsia"/>
        </w:rPr>
        <w:t>类</w:t>
      </w:r>
      <w:r>
        <w:t>项目。</w:t>
      </w:r>
    </w:p>
    <w:bookmarkEnd w:id="170"/>
    <w:bookmarkEnd w:id="171"/>
    <w:p>
      <w:pPr>
        <w:pStyle w:val="3"/>
        <w:spacing w:before="326" w:beforeLines="100" w:after="326" w:afterLines="100"/>
      </w:pPr>
      <w:bookmarkStart w:id="172" w:name="_Toc185608330"/>
      <w:r>
        <w:rPr>
          <w:rFonts w:hint="eastAsia"/>
        </w:rPr>
        <w:t>规划全周期实施监督管理</w:t>
      </w:r>
      <w:bookmarkEnd w:id="172"/>
    </w:p>
    <w:p>
      <w:pPr>
        <w:pStyle w:val="4"/>
        <w:spacing w:before="195" w:beforeLines="60" w:after="195" w:afterLines="60" w:line="240" w:lineRule="auto"/>
      </w:pPr>
      <w:bookmarkStart w:id="173" w:name="_Hlk142927625"/>
      <w:r>
        <w:rPr>
          <w:rFonts w:hint="eastAsia"/>
        </w:rPr>
        <w:t>提升规划信息化水平</w:t>
      </w:r>
    </w:p>
    <w:bookmarkEnd w:id="173"/>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beforeLines="60" w:after="195" w:afterLines="60" w:line="240" w:lineRule="auto"/>
      </w:pPr>
      <w:bookmarkStart w:id="174" w:name="_Hlk142927630"/>
      <w:r>
        <w:rPr>
          <w:rFonts w:hint="eastAsia"/>
        </w:rPr>
        <w:t>落实国土空间用途管制制度</w:t>
      </w:r>
    </w:p>
    <w:bookmarkEnd w:id="174"/>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beforeLines="60" w:after="195" w:afterLines="60" w:line="240" w:lineRule="auto"/>
      </w:pPr>
      <w:bookmarkStart w:id="175" w:name="_Hlk142927634"/>
      <w:r>
        <w:rPr>
          <w:rFonts w:hint="eastAsia"/>
        </w:rPr>
        <w:t>加强规划实施监测评估</w:t>
      </w:r>
    </w:p>
    <w:bookmarkEnd w:id="175"/>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r>
        <w:rPr>
          <w:lang w:bidi="ar"/>
        </w:rPr>
        <w:br w:type="page"/>
      </w:r>
    </w:p>
    <w:p>
      <w:pPr>
        <w:ind w:firstLine="640"/>
      </w:pPr>
      <w:bookmarkStart w:id="176" w:name="_Toc220573907"/>
      <w:bookmarkStart w:id="177" w:name="_Toc216450862"/>
    </w:p>
    <w:p>
      <w:pPr>
        <w:pStyle w:val="2"/>
      </w:pPr>
      <w:bookmarkStart w:id="178" w:name="_Toc221006516"/>
      <w:r>
        <w:t>“</w:t>
      </w:r>
      <w:r>
        <w:rPr>
          <w:rFonts w:hint="eastAsia"/>
        </w:rPr>
        <w:t>通则式</w:t>
      </w:r>
      <w:r>
        <w:t>”</w:t>
      </w:r>
      <w:r>
        <w:rPr>
          <w:rFonts w:hint="eastAsia"/>
        </w:rPr>
        <w:t>村庄规划管理规定</w:t>
      </w:r>
      <w:bookmarkEnd w:id="176"/>
      <w:bookmarkEnd w:id="177"/>
      <w:bookmarkEnd w:id="178"/>
    </w:p>
    <w:p>
      <w:pPr>
        <w:pStyle w:val="3"/>
      </w:pPr>
      <w:bookmarkStart w:id="179" w:name="_Toc214543577"/>
      <w:r>
        <w:rPr>
          <w:rFonts w:hint="eastAsia"/>
        </w:rPr>
        <w:t>适用范围</w:t>
      </w:r>
      <w:bookmarkEnd w:id="179"/>
    </w:p>
    <w:p>
      <w:pPr>
        <w:pStyle w:val="4"/>
        <w:spacing w:before="195" w:after="195"/>
      </w:pPr>
      <w:r>
        <w:rPr>
          <w:rFonts w:hint="eastAsia"/>
        </w:rPr>
        <w:t>适用范围</w:t>
      </w:r>
    </w:p>
    <w:p>
      <w:pPr>
        <w:ind w:firstLine="640"/>
      </w:pPr>
      <w:r>
        <w:rPr>
          <w:rFonts w:hint="eastAsia"/>
        </w:rPr>
        <w:t>在单独编制的村庄规划批准前，本辖区范围内需要编制村庄规划的村庄适用本规定，在有条件有需求时，可再行单独编制“实用性”或“通则式”村庄规划，</w:t>
      </w:r>
      <w:r>
        <w:t>规划获批后上传至国土空间规划“一张图”，更新替代原规划</w:t>
      </w:r>
      <w:r>
        <w:rPr>
          <w:rFonts w:hint="eastAsia"/>
        </w:rPr>
        <w:t>。</w:t>
      </w:r>
    </w:p>
    <w:p>
      <w:pPr>
        <w:ind w:firstLine="640"/>
      </w:pPr>
      <w:r>
        <w:rPr>
          <w:rFonts w:hint="eastAsia"/>
        </w:rPr>
        <w:t>符合条件的农民建房（新建、改建、扩建）、乡村公共服务设施、公用设施和产业项目的建设，可依据通则式村庄规划管理规定，按相关规定办理规划许可手续。已单独编制村庄规划的，可参照执行。</w:t>
      </w:r>
    </w:p>
    <w:p>
      <w:pPr>
        <w:pStyle w:val="3"/>
      </w:pPr>
      <w:bookmarkStart w:id="180" w:name="_Toc214543578"/>
      <w:r>
        <w:rPr>
          <w:rFonts w:hint="eastAsia"/>
        </w:rPr>
        <w:t>底线管控要求</w:t>
      </w:r>
      <w:bookmarkEnd w:id="180"/>
    </w:p>
    <w:p>
      <w:pPr>
        <w:pStyle w:val="4"/>
        <w:spacing w:before="195" w:after="195"/>
      </w:pPr>
      <w:r>
        <w:rPr>
          <w:rFonts w:hint="eastAsia"/>
        </w:rPr>
        <w:t>耕地和</w:t>
      </w:r>
      <w:r>
        <w:t>永久基本农田</w:t>
      </w:r>
    </w:p>
    <w:p>
      <w:pPr>
        <w:ind w:firstLine="640"/>
      </w:pPr>
      <w:r>
        <w:rPr>
          <w:rFonts w:hint="eastAsia"/>
        </w:rPr>
        <w:t>乡村建设不得擅自占用永久基本农田。严格耕地用途管制，全面落实耕地占补平衡制度。</w:t>
      </w:r>
    </w:p>
    <w:p>
      <w:pPr>
        <w:ind w:firstLine="640"/>
      </w:pPr>
      <w:r>
        <w:t>1.耕地保护</w:t>
      </w:r>
    </w:p>
    <w:p>
      <w:pPr>
        <w:ind w:firstLine="640"/>
      </w:pPr>
      <w:r>
        <w:rPr>
          <w:rFonts w:hint="eastAsia"/>
        </w:rPr>
        <w:t>耕地主要用于粮食和棉、油、糖、蔬菜等农产品及饲草饲料生产；在不破坏耕地耕作层且不造成耕地地类改变的前提下</w:t>
      </w:r>
      <w:r>
        <w:t>,可以适度种植其他农作物。耕地管控“八不准”、“六严禁、五不得”。</w:t>
      </w: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752"/>
        <w:gridCol w:w="3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ind w:firstLine="640"/>
            </w:pPr>
            <w:r>
              <w:rPr>
                <w:rFonts w:hint="eastAsia"/>
              </w:rPr>
              <w:t>专栏1</w:t>
            </w:r>
            <w:r>
              <w:t>6</w:t>
            </w:r>
            <w:r>
              <w:rPr>
                <w:rFonts w:hint="eastAsia"/>
              </w:rPr>
              <w:t>-1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pPr>
            <w:r>
              <w:rPr>
                <w:rFonts w:hint="eastAsia"/>
              </w:rPr>
              <w:t>八不准</w:t>
            </w:r>
          </w:p>
        </w:tc>
        <w:tc>
          <w:tcPr>
            <w:tcW w:w="2752" w:type="dxa"/>
            <w:vAlign w:val="center"/>
          </w:tcPr>
          <w:p>
            <w:pPr>
              <w:pStyle w:val="96"/>
            </w:pPr>
            <w:r>
              <w:rPr>
                <w:rFonts w:hint="eastAsia"/>
              </w:rPr>
              <w:t>六严禁</w:t>
            </w:r>
          </w:p>
        </w:tc>
        <w:tc>
          <w:tcPr>
            <w:tcW w:w="3074" w:type="dxa"/>
            <w:vAlign w:val="center"/>
          </w:tcPr>
          <w:p>
            <w:pPr>
              <w:pStyle w:val="96"/>
            </w:pPr>
            <w:r>
              <w:rPr>
                <w:rFonts w:hint="eastAsia"/>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96"/>
              <w:jc w:val="left"/>
            </w:pPr>
            <w:r>
              <w:t>不准占用永久基本农田建房。</w:t>
            </w:r>
          </w:p>
          <w:p>
            <w:pPr>
              <w:pStyle w:val="96"/>
              <w:jc w:val="left"/>
            </w:pPr>
            <w:r>
              <w:t>不准强占多占耕地建房。</w:t>
            </w:r>
          </w:p>
          <w:p>
            <w:pPr>
              <w:pStyle w:val="96"/>
              <w:jc w:val="left"/>
            </w:pPr>
            <w:r>
              <w:t>不准买卖、流转耕地违法建房。</w:t>
            </w:r>
          </w:p>
          <w:p>
            <w:pPr>
              <w:pStyle w:val="96"/>
              <w:jc w:val="left"/>
            </w:pPr>
            <w:r>
              <w:t>不准在承包耕地上违法建房。</w:t>
            </w:r>
          </w:p>
          <w:p>
            <w:pPr>
              <w:pStyle w:val="96"/>
              <w:jc w:val="left"/>
            </w:pPr>
            <w:r>
              <w:t>不准巧立名目违法占用耕地建房。</w:t>
            </w:r>
          </w:p>
          <w:p>
            <w:pPr>
              <w:pStyle w:val="96"/>
              <w:jc w:val="left"/>
            </w:pPr>
            <w:r>
              <w:t>不准违反“一户一宅”规定占用耕地建房。</w:t>
            </w:r>
          </w:p>
          <w:p>
            <w:pPr>
              <w:pStyle w:val="96"/>
              <w:jc w:val="left"/>
            </w:pPr>
            <w:r>
              <w:t>不准非法出售占用耕地建的房屋。</w:t>
            </w:r>
          </w:p>
          <w:p>
            <w:pPr>
              <w:pStyle w:val="96"/>
              <w:jc w:val="left"/>
            </w:pPr>
            <w:r>
              <w:t>不准违法审批占用耕地建房。</w:t>
            </w:r>
          </w:p>
        </w:tc>
        <w:tc>
          <w:tcPr>
            <w:tcW w:w="2752" w:type="dxa"/>
          </w:tcPr>
          <w:p>
            <w:pPr>
              <w:pStyle w:val="96"/>
              <w:jc w:val="left"/>
            </w:pPr>
            <w:r>
              <w:t>严禁违规占用耕地绿化造林；</w:t>
            </w:r>
          </w:p>
          <w:p>
            <w:pPr>
              <w:pStyle w:val="96"/>
              <w:jc w:val="left"/>
            </w:pPr>
            <w:r>
              <w:t>严禁超标准建设绿色通道</w:t>
            </w:r>
          </w:p>
          <w:p>
            <w:pPr>
              <w:pStyle w:val="96"/>
              <w:jc w:val="left"/>
            </w:pPr>
            <w:r>
              <w:t>严禁违规占用耕地挖湖造景；</w:t>
            </w:r>
          </w:p>
          <w:p>
            <w:pPr>
              <w:pStyle w:val="96"/>
              <w:jc w:val="left"/>
            </w:pPr>
            <w:r>
              <w:t>严禁占用永久基本农田扩大自然保护地；</w:t>
            </w:r>
          </w:p>
          <w:p>
            <w:pPr>
              <w:pStyle w:val="96"/>
              <w:jc w:val="left"/>
            </w:pPr>
            <w:r>
              <w:t>严禁违规占用耕地从事非农建设；</w:t>
            </w:r>
          </w:p>
          <w:p>
            <w:pPr>
              <w:pStyle w:val="96"/>
              <w:jc w:val="left"/>
            </w:pPr>
            <w:r>
              <w:t>严禁违法违规批地用地。</w:t>
            </w:r>
          </w:p>
          <w:p>
            <w:pPr>
              <w:pStyle w:val="96"/>
              <w:jc w:val="left"/>
            </w:pPr>
          </w:p>
        </w:tc>
        <w:tc>
          <w:tcPr>
            <w:tcW w:w="3074" w:type="dxa"/>
          </w:tcPr>
          <w:p>
            <w:pPr>
              <w:pStyle w:val="96"/>
              <w:jc w:val="left"/>
            </w:pPr>
            <w:r>
              <w:t>不得在一般耕地上挖湖造景、种植草皮；</w:t>
            </w:r>
          </w:p>
          <w:p>
            <w:pPr>
              <w:pStyle w:val="96"/>
              <w:jc w:val="left"/>
            </w:pPr>
            <w:r>
              <w:t>不得擅自扩大退耕还林还草还湖规模；</w:t>
            </w:r>
          </w:p>
          <w:p>
            <w:pPr>
              <w:pStyle w:val="96"/>
              <w:jc w:val="left"/>
            </w:pPr>
            <w:r>
              <w:t>不得违规超标准在铁路、公路等用地红线外，以及河渠两侧、水库周边占用一般耕地种树建设绿化带；</w:t>
            </w:r>
          </w:p>
          <w:p>
            <w:pPr>
              <w:pStyle w:val="96"/>
              <w:jc w:val="left"/>
            </w:pPr>
            <w:r>
              <w:t>未经批准不得占用一般耕地实施国土绿化；</w:t>
            </w:r>
          </w:p>
          <w:p>
            <w:pPr>
              <w:pStyle w:val="96"/>
              <w:jc w:val="left"/>
            </w:pPr>
            <w:r>
              <w:t>未经批准工商企业等社会资本不得将通过流转获得土地经营权的一般耕地转为林地、园地等其他农用地。</w:t>
            </w:r>
          </w:p>
        </w:tc>
      </w:tr>
    </w:tbl>
    <w:p>
      <w:pPr>
        <w:ind w:firstLine="640"/>
      </w:pPr>
      <w:r>
        <w:t>2.永久基本农田保护</w:t>
      </w:r>
    </w:p>
    <w:p>
      <w:pPr>
        <w:ind w:firstLine="640"/>
      </w:pPr>
      <w:r>
        <w:rPr>
          <w:rFonts w:hint="eastAsia"/>
        </w:rPr>
        <w:t>永久基本农田主要用于种植粮食作物，对现状种植棉、油、糖、蔬菜等非粮食作物的</w:t>
      </w:r>
      <w:r>
        <w:t>,可以维持不变。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4"/>
        <w:spacing w:before="195" w:after="195"/>
      </w:pPr>
      <w:r>
        <w:t>村庄建设边界</w:t>
      </w:r>
    </w:p>
    <w:p>
      <w:pPr>
        <w:ind w:firstLine="640"/>
      </w:pPr>
      <w:r>
        <w:rPr>
          <w:rFonts w:hint="eastAsia"/>
        </w:rPr>
        <w:t>不得突破《内乡县板场乡国土空间总体规划（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4"/>
        <w:spacing w:before="195" w:after="195"/>
      </w:pPr>
      <w:r>
        <w:rPr>
          <w:rFonts w:hint="eastAsia"/>
        </w:rPr>
        <w:t>历史文化保护线</w:t>
      </w:r>
    </w:p>
    <w:p>
      <w:pPr>
        <w:ind w:firstLine="640"/>
        <w:rPr>
          <w:kern w:val="0"/>
          <w:lang w:bidi="ar"/>
        </w:rPr>
      </w:pPr>
      <w:r>
        <w:rPr>
          <w:rFonts w:hint="eastAsia"/>
        </w:rPr>
        <w:t>落实内乡县、板场乡国土空间规划确定的历史文化保护控制线，加强</w:t>
      </w:r>
      <w:r>
        <w:rPr>
          <w:rFonts w:hint="eastAsia"/>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w:t>
            </w:r>
            <w:r>
              <w:rPr>
                <w:lang w:val="zh-CN"/>
              </w:rPr>
              <w:t xml:space="preserve">16-2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历史文化要素</w:t>
            </w:r>
          </w:p>
        </w:tc>
        <w:tc>
          <w:tcPr>
            <w:tcW w:w="3807" w:type="pct"/>
            <w:vAlign w:val="center"/>
          </w:tcPr>
          <w:p>
            <w:pPr>
              <w:pStyle w:val="96"/>
              <w:rPr>
                <w:lang w:val="zh-CN"/>
              </w:rPr>
            </w:pPr>
            <w:r>
              <w:rPr>
                <w:rFonts w:hint="eastAsia"/>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文物保护单位</w:t>
            </w:r>
          </w:p>
        </w:tc>
        <w:tc>
          <w:tcPr>
            <w:tcW w:w="3807" w:type="pct"/>
            <w:vAlign w:val="center"/>
          </w:tcPr>
          <w:p>
            <w:pPr>
              <w:pStyle w:val="96"/>
              <w:jc w:val="left"/>
              <w:rPr>
                <w:lang w:val="zh-CN"/>
              </w:rPr>
            </w:pPr>
            <w:r>
              <w:rPr>
                <w:rFonts w:hint="eastAsia"/>
                <w:lang w:val="zh-CN"/>
              </w:rPr>
              <w:t>各级文物保护单位的保护范围和建设控制地带以及地下文物埋藏区的界线，以各级人民政府公布的保护范围、建设控制地带为准。应严格按照《文物法》相关规定和程序进行保护和修缮。</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合理开发利用。坚持“留、改、拆”并举，以“保护、利用、提升”为主的原则,严防大拆大建、拆真建假。系统梳理文物资源，深入挖掘其历史价值和旅游资源禀赋，将文物保护与乡村建设统筹结合。</w:t>
      </w:r>
    </w:p>
    <w:p>
      <w:pPr>
        <w:pStyle w:val="4"/>
        <w:spacing w:before="195" w:after="195"/>
      </w:pPr>
      <w:r>
        <w:t>洪涝风险控制线</w:t>
      </w:r>
    </w:p>
    <w:p>
      <w:pPr>
        <w:spacing w:before="65" w:after="156"/>
        <w:ind w:firstLine="640"/>
      </w:pPr>
      <w:r>
        <w:rPr>
          <w:rFonts w:hint="eastAsia"/>
        </w:rPr>
        <w:t>洪涝风险控制线内禁止新增城乡建设用地，确需新增的，需经得相关部门的意见后落实。</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shd w:val="clear" w:color="auto" w:fill="auto"/>
          </w:tcPr>
          <w:p>
            <w:pPr>
              <w:pStyle w:val="98"/>
              <w:ind w:firstLine="640"/>
            </w:pPr>
            <w:r>
              <w:rPr>
                <w:rFonts w:hint="eastAsia"/>
                <w:lang w:bidi="ar"/>
              </w:rPr>
              <w:t>专栏</w:t>
            </w:r>
            <w:r>
              <w:rPr>
                <w:lang w:bidi="ar"/>
              </w:rPr>
              <w:t xml:space="preserve"> 16-3 </w:t>
            </w:r>
            <w:r>
              <w:rPr>
                <w:rFonts w:hint="eastAsia"/>
                <w:lang w:bidi="ar"/>
              </w:rPr>
              <w:t>洪涝风险控制线管控规则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103"/>
              <w:ind w:firstLine="480"/>
              <w:rPr>
                <w:sz w:val="24"/>
                <w:szCs w:val="24"/>
                <w:lang w:bidi="ar"/>
              </w:rPr>
            </w:pPr>
            <w:r>
              <w:rPr>
                <w:rFonts w:hint="eastAsia"/>
                <w:sz w:val="24"/>
                <w:szCs w:val="24"/>
                <w:lang w:bidi="ar"/>
              </w:rPr>
              <w:t>洪涝灾害高风险区内允许进行的建设活动包括：洪涝灾害的监测设施、预警设施和救援设施；</w:t>
            </w:r>
            <w:r>
              <w:rPr>
                <w:sz w:val="24"/>
                <w:szCs w:val="24"/>
                <w:lang w:bidi="ar"/>
              </w:rPr>
              <w:t>有利于防洪排涝安全的灾害防御工程建设项目，如水库大坝、</w:t>
            </w:r>
            <w:r>
              <w:rPr>
                <w:rFonts w:hint="eastAsia"/>
                <w:sz w:val="24"/>
                <w:szCs w:val="24"/>
                <w:lang w:bidi="ar"/>
              </w:rPr>
              <w:t>调蓄湖、堤防、围堤围堰、水闸、涵洞、排涝泵站、堰坝、塘坝、沟渠、蓄水池、湿地等；现有防洪排涝工程隐患的治理和除险项目；有利于洪涝灾害次生灾害防治安全的治理和建设项目。洪涝灾害的疏散通道，如防洪临时撤离道路；重大洪涝灾害事件的遗址公园、纪念碑等纪念性设施；此类区域内其他类型灾害的防灾减灾治理和建设项目等。</w:t>
            </w:r>
          </w:p>
          <w:p>
            <w:pPr>
              <w:pStyle w:val="103"/>
              <w:ind w:firstLine="480"/>
              <w:rPr>
                <w:lang w:bidi="ar"/>
              </w:rPr>
            </w:pPr>
            <w:r>
              <w:rPr>
                <w:rFonts w:hint="eastAsia"/>
                <w:sz w:val="24"/>
                <w:szCs w:val="24"/>
                <w:lang w:bidi="ar"/>
              </w:rPr>
              <w:t>洪涝灾害高风险区内禁止进行的建设活动包括：禁止新建影响行洪和排涝安全的生产性、开发性建设活动，现有此类项目应逐步退出；禁止新建重大危源项目，以及生产易燃、易爆、有毒物品的工业用地和存放危险品的合储用地现有此类项目应逐步退出。禁止在此类区域内新增建设用地指标等。</w:t>
            </w:r>
          </w:p>
        </w:tc>
      </w:tr>
    </w:tbl>
    <w:p>
      <w:pPr>
        <w:pStyle w:val="3"/>
      </w:pPr>
      <w:bookmarkStart w:id="181" w:name="_Toc214543579"/>
      <w:r>
        <w:rPr>
          <w:rFonts w:hint="eastAsia"/>
        </w:rPr>
        <w:t>建设管控要求</w:t>
      </w:r>
      <w:bookmarkEnd w:id="181"/>
    </w:p>
    <w:p>
      <w:pPr>
        <w:pStyle w:val="4"/>
        <w:spacing w:before="195" w:after="195"/>
      </w:pPr>
      <w:r>
        <w:rPr>
          <w:rFonts w:hint="eastAsia"/>
        </w:rPr>
        <w:t>村庄建设用地管控</w:t>
      </w:r>
    </w:p>
    <w:p>
      <w:pPr>
        <w:ind w:firstLine="640"/>
      </w:pPr>
      <w:r>
        <w:rPr>
          <w:rFonts w:hint="eastAsia"/>
        </w:rPr>
        <w:t>村庄建设项目应当位于村庄建设边界内，符合乡镇国土空间规划明确的国土空间用途管制规则和建设管控要求。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w:t>
            </w:r>
            <w:r>
              <w:rPr>
                <w:lang w:bidi="ar"/>
              </w:rPr>
              <w:t xml:space="preserve">16-4 </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铁路等级</w:t>
            </w:r>
          </w:p>
        </w:tc>
        <w:tc>
          <w:tcPr>
            <w:tcW w:w="5155" w:type="dxa"/>
          </w:tcPr>
          <w:p>
            <w:pPr>
              <w:pStyle w:val="96"/>
            </w:pPr>
            <w:r>
              <w:rPr>
                <w:rFonts w:hint="eastAsia"/>
              </w:rPr>
              <w:t>建筑边缘与铁路路基外侧的距离（米）</w:t>
            </w:r>
          </w:p>
        </w:tc>
        <w:tc>
          <w:tcPr>
            <w:tcW w:w="1770" w:type="dxa"/>
          </w:tcPr>
          <w:p>
            <w:pPr>
              <w:pStyle w:val="96"/>
            </w:pPr>
            <w:r>
              <w:rPr>
                <w:rFonts w:hint="eastAsia"/>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高铁</w:t>
            </w:r>
          </w:p>
        </w:tc>
        <w:tc>
          <w:tcPr>
            <w:tcW w:w="5155" w:type="dxa"/>
          </w:tcPr>
          <w:p>
            <w:pPr>
              <w:pStyle w:val="96"/>
            </w:pPr>
            <w:r>
              <w:rPr>
                <w:rFonts w:hint="eastAsia"/>
              </w:rPr>
              <w:t>不低于50米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pPr>
            <w:r>
              <w:rPr>
                <w:rFonts w:hint="eastAsia"/>
              </w:rPr>
              <w:t>铁路干线</w:t>
            </w:r>
          </w:p>
        </w:tc>
        <w:tc>
          <w:tcPr>
            <w:tcW w:w="5155" w:type="dxa"/>
          </w:tcPr>
          <w:p>
            <w:pPr>
              <w:pStyle w:val="96"/>
            </w:pPr>
            <w:r>
              <w:rPr>
                <w:rFonts w:hint="eastAsia"/>
              </w:rPr>
              <w:t>不低于30米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铁路支线</w:t>
            </w:r>
          </w:p>
        </w:tc>
        <w:tc>
          <w:tcPr>
            <w:tcW w:w="5155" w:type="dxa"/>
          </w:tcPr>
          <w:p>
            <w:pPr>
              <w:pStyle w:val="96"/>
            </w:pPr>
            <w:r>
              <w:rPr>
                <w:rFonts w:hint="eastAsia"/>
              </w:rPr>
              <w:t>不低于20米</w:t>
            </w:r>
          </w:p>
        </w:tc>
        <w:tc>
          <w:tcPr>
            <w:tcW w:w="1770" w:type="dxa"/>
          </w:tcPr>
          <w:p>
            <w:pPr>
              <w:pStyle w:val="96"/>
            </w:pPr>
          </w:p>
        </w:tc>
      </w:tr>
    </w:tbl>
    <w:p>
      <w:pPr>
        <w:spacing w:line="500" w:lineRule="exact"/>
        <w:ind w:firstLine="560"/>
        <w:jc w:val="center"/>
        <w:rPr>
          <w:rFonts w:ascii="仿宋" w:hAnsi="仿宋" w:eastAsia="仿宋" w:cs="仿宋"/>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w:t>
            </w:r>
            <w:r>
              <w:rPr>
                <w:lang w:bidi="ar"/>
              </w:rPr>
              <w:t xml:space="preserve">6-5 </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道路类型</w:t>
            </w:r>
          </w:p>
        </w:tc>
        <w:tc>
          <w:tcPr>
            <w:tcW w:w="5155" w:type="dxa"/>
          </w:tcPr>
          <w:p>
            <w:pPr>
              <w:pStyle w:val="96"/>
              <w:rPr>
                <w:lang w:bidi="ar"/>
              </w:rPr>
            </w:pPr>
            <w:r>
              <w:rPr>
                <w:rFonts w:hint="eastAsia"/>
                <w:lang w:bidi="ar"/>
              </w:rPr>
              <w:t>各类建筑物退让道路红线的距离（米</w:t>
            </w:r>
            <w:r>
              <w:rPr>
                <w:lang w:bidi="ar"/>
              </w:rPr>
              <w:t>）</w:t>
            </w:r>
          </w:p>
        </w:tc>
        <w:tc>
          <w:tcPr>
            <w:tcW w:w="1770" w:type="dxa"/>
          </w:tcPr>
          <w:p>
            <w:pPr>
              <w:pStyle w:val="96"/>
              <w:rPr>
                <w:lang w:bidi="ar"/>
              </w:rPr>
            </w:pPr>
            <w:r>
              <w:rPr>
                <w:rFonts w:hint="eastAsia"/>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高速公路</w:t>
            </w:r>
          </w:p>
        </w:tc>
        <w:tc>
          <w:tcPr>
            <w:tcW w:w="5155" w:type="dxa"/>
          </w:tcPr>
          <w:p>
            <w:pPr>
              <w:pStyle w:val="96"/>
              <w:rPr>
                <w:lang w:bidi="ar"/>
              </w:rPr>
            </w:pPr>
            <w:r>
              <w:rPr>
                <w:rFonts w:hint="eastAsia"/>
                <w:lang w:bidi="ar"/>
              </w:rPr>
              <w:t>≥3</w:t>
            </w:r>
            <w:r>
              <w:rPr>
                <w:lang w:bidi="ar"/>
              </w:rPr>
              <w:t>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国道</w:t>
            </w:r>
          </w:p>
        </w:tc>
        <w:tc>
          <w:tcPr>
            <w:tcW w:w="5155" w:type="dxa"/>
          </w:tcPr>
          <w:p>
            <w:pPr>
              <w:pStyle w:val="96"/>
              <w:rPr>
                <w:lang w:bidi="ar"/>
              </w:rPr>
            </w:pPr>
            <w:r>
              <w:rPr>
                <w:rFonts w:hint="eastAsia"/>
                <w:lang w:bidi="ar"/>
              </w:rPr>
              <w:t>≥</w:t>
            </w:r>
            <w:r>
              <w:rPr>
                <w:lang w:bidi="ar"/>
              </w:rPr>
              <w:t>20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省道</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县道</w:t>
            </w:r>
          </w:p>
        </w:tc>
        <w:tc>
          <w:tcPr>
            <w:tcW w:w="5155" w:type="dxa"/>
          </w:tcPr>
          <w:p>
            <w:pPr>
              <w:pStyle w:val="96"/>
              <w:rPr>
                <w:lang w:bidi="ar"/>
              </w:rPr>
            </w:pPr>
            <w:r>
              <w:rPr>
                <w:rFonts w:hint="eastAsia"/>
                <w:lang w:bidi="ar"/>
              </w:rPr>
              <w:t>≥</w:t>
            </w:r>
            <w:r>
              <w:rPr>
                <w:lang w:bidi="ar"/>
              </w:rPr>
              <w:t>10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乡道</w:t>
            </w:r>
          </w:p>
        </w:tc>
        <w:tc>
          <w:tcPr>
            <w:tcW w:w="5155" w:type="dxa"/>
          </w:tcPr>
          <w:p>
            <w:pPr>
              <w:pStyle w:val="96"/>
              <w:rPr>
                <w:lang w:bidi="ar"/>
              </w:rPr>
            </w:pPr>
            <w:r>
              <w:rPr>
                <w:rFonts w:hint="eastAsia"/>
                <w:lang w:bidi="ar"/>
              </w:rPr>
              <w:t>≥</w:t>
            </w:r>
            <w:r>
              <w:rPr>
                <w:lang w:bidi="ar"/>
              </w:rPr>
              <w:t>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村道</w:t>
            </w:r>
          </w:p>
        </w:tc>
        <w:tc>
          <w:tcPr>
            <w:tcW w:w="5155" w:type="dxa"/>
          </w:tcPr>
          <w:p>
            <w:pPr>
              <w:pStyle w:val="96"/>
              <w:rPr>
                <w:lang w:bidi="ar"/>
              </w:rPr>
            </w:pPr>
            <w:r>
              <w:rPr>
                <w:rFonts w:hint="eastAsia"/>
                <w:lang w:bidi="ar"/>
              </w:rPr>
              <w:t>≥</w:t>
            </w:r>
            <w:r>
              <w:rPr>
                <w:lang w:bidi="ar"/>
              </w:rPr>
              <w:t>3</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村域主干路</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bl>
    <w:p>
      <w:pPr>
        <w:pStyle w:val="105"/>
      </w:pPr>
      <w:r>
        <w:rPr>
          <w:rFonts w:hint="eastAsia"/>
        </w:rPr>
        <w:t>注：若村内有约定的建筑退让道路红线距离，按照约定的退让距离执行。</w:t>
      </w:r>
    </w:p>
    <w:p>
      <w:pPr>
        <w:ind w:firstLine="640"/>
      </w:pPr>
      <w:r>
        <w:t>乡村范围内各类建筑退河道（水库）管护范围线不得小于5米，且应结合防洪、生态、水系及其他专项规划进行合理控制。</w:t>
      </w:r>
    </w:p>
    <w:p>
      <w:pPr>
        <w:pStyle w:val="4"/>
        <w:spacing w:before="195" w:after="195"/>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农村村民一户只能拥有一处宅基地。新建宅基地平原地区</w:t>
      </w:r>
      <w:r>
        <w:t>每户宅基地面积不得超过167平方米</w:t>
      </w:r>
      <w:r>
        <w:rPr>
          <w:rFonts w:hint="eastAsia"/>
        </w:rPr>
        <w:t>，新建宅基地山地、丘陵地区</w:t>
      </w:r>
      <w:r>
        <w:t>每户宅基地面积不得超过200平方米。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w:t>
      </w:r>
      <w:r>
        <w:rPr>
          <w:rFonts w:hint="eastAsia"/>
        </w:rPr>
        <w:t>间</w:t>
      </w:r>
      <w:r>
        <w:t>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182" w:name="OLE_LINK1"/>
      <w:bookmarkStart w:id="183" w:name="OLE_LINK2"/>
      <w:r>
        <w:t>农村住房设计图集</w:t>
      </w:r>
      <w:bookmarkEnd w:id="182"/>
      <w:bookmarkEnd w:id="183"/>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3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12"/>
        <w:gridCol w:w="1932"/>
        <w:gridCol w:w="1853"/>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w:t>
            </w:r>
            <w:r>
              <w:t xml:space="preserve">16-6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建筑层数（层）</w:t>
            </w:r>
          </w:p>
        </w:tc>
        <w:tc>
          <w:tcPr>
            <w:tcW w:w="720" w:type="pct"/>
          </w:tcPr>
          <w:p>
            <w:pPr>
              <w:pStyle w:val="96"/>
            </w:pPr>
            <w:r>
              <w:rPr>
                <w:rFonts w:hint="eastAsia"/>
              </w:rPr>
              <w:t>容积率</w:t>
            </w:r>
          </w:p>
        </w:tc>
        <w:tc>
          <w:tcPr>
            <w:tcW w:w="1060" w:type="pct"/>
          </w:tcPr>
          <w:p>
            <w:pPr>
              <w:pStyle w:val="96"/>
            </w:pPr>
            <w:r>
              <w:rPr>
                <w:rFonts w:hint="eastAsia"/>
              </w:rPr>
              <w:t>建筑密度（%）</w:t>
            </w:r>
          </w:p>
        </w:tc>
        <w:tc>
          <w:tcPr>
            <w:tcW w:w="1017" w:type="pct"/>
          </w:tcPr>
          <w:p>
            <w:pPr>
              <w:pStyle w:val="96"/>
            </w:pPr>
            <w:r>
              <w:rPr>
                <w:rFonts w:hint="eastAsia"/>
              </w:rPr>
              <w:t>绿地率（%）</w:t>
            </w:r>
          </w:p>
        </w:tc>
        <w:tc>
          <w:tcPr>
            <w:tcW w:w="1087" w:type="pct"/>
          </w:tcPr>
          <w:p>
            <w:pPr>
              <w:pStyle w:val="96"/>
            </w:pPr>
            <w:r>
              <w:rPr>
                <w:rFonts w:hint="eastAsia"/>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≤3</w:t>
            </w:r>
          </w:p>
        </w:tc>
        <w:tc>
          <w:tcPr>
            <w:tcW w:w="720" w:type="pct"/>
          </w:tcPr>
          <w:p>
            <w:pPr>
              <w:pStyle w:val="96"/>
            </w:pPr>
            <w:r>
              <w:rPr>
                <w:rFonts w:hint="eastAsia"/>
              </w:rPr>
              <w:t>≥0</w:t>
            </w:r>
            <w:r>
              <w:t>.8</w:t>
            </w:r>
          </w:p>
        </w:tc>
        <w:tc>
          <w:tcPr>
            <w:tcW w:w="1060" w:type="pct"/>
          </w:tcPr>
          <w:p>
            <w:pPr>
              <w:pStyle w:val="96"/>
            </w:pPr>
            <w:r>
              <w:rPr>
                <w:rFonts w:hint="eastAsia"/>
              </w:rPr>
              <w:t>≤4</w:t>
            </w:r>
            <w:r>
              <w:t>7</w:t>
            </w:r>
          </w:p>
        </w:tc>
        <w:tc>
          <w:tcPr>
            <w:tcW w:w="1017" w:type="pct"/>
          </w:tcPr>
          <w:p>
            <w:pPr>
              <w:pStyle w:val="96"/>
            </w:pPr>
            <w:r>
              <w:rPr>
                <w:rFonts w:hint="eastAsia"/>
              </w:rPr>
              <w:t>≥2</w:t>
            </w:r>
            <w:r>
              <w:t>3</w:t>
            </w:r>
          </w:p>
        </w:tc>
        <w:tc>
          <w:tcPr>
            <w:tcW w:w="1087" w:type="pct"/>
          </w:tcPr>
          <w:p>
            <w:pPr>
              <w:pStyle w:val="96"/>
            </w:pPr>
            <w:r>
              <w:rPr>
                <w:rFonts w:hint="eastAsia"/>
              </w:rPr>
              <w:t>≤1</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16" w:type="pct"/>
          </w:tcPr>
          <w:p>
            <w:pPr>
              <w:pStyle w:val="96"/>
              <w:rPr>
                <w:rFonts w:ascii="仿宋_GB2312"/>
              </w:rPr>
            </w:pPr>
            <w:r>
              <w:rPr>
                <w:rFonts w:hint="eastAsia"/>
              </w:rPr>
              <w:t>4</w:t>
            </w:r>
            <w:r>
              <w:t>-6</w:t>
            </w:r>
          </w:p>
        </w:tc>
        <w:tc>
          <w:tcPr>
            <w:tcW w:w="720" w:type="pct"/>
          </w:tcPr>
          <w:p>
            <w:pPr>
              <w:pStyle w:val="96"/>
              <w:rPr>
                <w:rFonts w:ascii="仿宋_GB2312"/>
              </w:rPr>
            </w:pPr>
            <w:r>
              <w:rPr>
                <w:rFonts w:hint="eastAsia"/>
              </w:rPr>
              <w:t>≥</w:t>
            </w:r>
            <w:r>
              <w:t>1.2</w:t>
            </w:r>
          </w:p>
        </w:tc>
        <w:tc>
          <w:tcPr>
            <w:tcW w:w="1060" w:type="pct"/>
          </w:tcPr>
          <w:p>
            <w:pPr>
              <w:pStyle w:val="96"/>
              <w:rPr>
                <w:rFonts w:ascii="仿宋_GB2312"/>
              </w:rPr>
            </w:pPr>
            <w:r>
              <w:rPr>
                <w:rFonts w:hint="eastAsia"/>
              </w:rPr>
              <w:t>≤3</w:t>
            </w:r>
            <w:r>
              <w:t>8</w:t>
            </w:r>
          </w:p>
        </w:tc>
        <w:tc>
          <w:tcPr>
            <w:tcW w:w="1017" w:type="pct"/>
          </w:tcPr>
          <w:p>
            <w:pPr>
              <w:pStyle w:val="96"/>
              <w:rPr>
                <w:rFonts w:ascii="仿宋_GB2312"/>
              </w:rPr>
            </w:pPr>
            <w:r>
              <w:rPr>
                <w:rFonts w:hint="eastAsia"/>
              </w:rPr>
              <w:t>≥</w:t>
            </w:r>
            <w:r>
              <w:t>28</w:t>
            </w:r>
          </w:p>
        </w:tc>
        <w:tc>
          <w:tcPr>
            <w:tcW w:w="1087" w:type="pct"/>
          </w:tcPr>
          <w:p>
            <w:pPr>
              <w:pStyle w:val="96"/>
              <w:rPr>
                <w:rFonts w:ascii="仿宋_GB2312"/>
              </w:rPr>
            </w:pPr>
            <w:r>
              <w:rPr>
                <w:rFonts w:hint="eastAsia"/>
              </w:rPr>
              <w:t>≤</w:t>
            </w:r>
            <w:r>
              <w:t>24</w:t>
            </w:r>
          </w:p>
        </w:tc>
      </w:tr>
    </w:tbl>
    <w:p>
      <w:pPr>
        <w:ind w:firstLine="640"/>
      </w:pPr>
      <w:r>
        <w:t>村民集中住宅楼、保障性租赁住房建筑间距、建筑退让及其他配套设施设置可参照城市居住区有关标准执行。</w:t>
      </w:r>
    </w:p>
    <w:p>
      <w:pPr>
        <w:pStyle w:val="4"/>
        <w:spacing w:before="195" w:after="195"/>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984"/>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w:t>
            </w:r>
            <w:r>
              <w:rPr>
                <w:lang w:bidi="ar"/>
              </w:rPr>
              <w:t xml:space="preserve">16-7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类别</w:t>
            </w:r>
          </w:p>
        </w:tc>
        <w:tc>
          <w:tcPr>
            <w:tcW w:w="1984" w:type="dxa"/>
            <w:vMerge w:val="restart"/>
            <w:vAlign w:val="center"/>
          </w:tcPr>
          <w:p>
            <w:pPr>
              <w:pStyle w:val="96"/>
              <w:rPr>
                <w:lang w:bidi="ar"/>
              </w:rPr>
            </w:pPr>
            <w:r>
              <w:rPr>
                <w:rFonts w:hint="eastAsia"/>
                <w:lang w:bidi="ar"/>
              </w:rPr>
              <w:t>项目</w:t>
            </w:r>
          </w:p>
        </w:tc>
        <w:tc>
          <w:tcPr>
            <w:tcW w:w="4678" w:type="dxa"/>
            <w:gridSpan w:val="3"/>
            <w:vAlign w:val="center"/>
          </w:tcPr>
          <w:p>
            <w:pPr>
              <w:pStyle w:val="96"/>
              <w:rPr>
                <w:lang w:bidi="ar"/>
              </w:rPr>
            </w:pPr>
            <w:r>
              <w:rPr>
                <w:rFonts w:hint="eastAsia"/>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lang w:bidi="ar"/>
              </w:rPr>
            </w:pPr>
          </w:p>
        </w:tc>
        <w:tc>
          <w:tcPr>
            <w:tcW w:w="1984" w:type="dxa"/>
            <w:vMerge w:val="continue"/>
          </w:tcPr>
          <w:p>
            <w:pPr>
              <w:pStyle w:val="96"/>
              <w:rPr>
                <w:lang w:bidi="ar"/>
              </w:rPr>
            </w:pPr>
          </w:p>
        </w:tc>
        <w:tc>
          <w:tcPr>
            <w:tcW w:w="1559" w:type="dxa"/>
          </w:tcPr>
          <w:p>
            <w:pPr>
              <w:pStyle w:val="96"/>
              <w:rPr>
                <w:lang w:bidi="ar"/>
              </w:rPr>
            </w:pPr>
            <w:r>
              <w:rPr>
                <w:rFonts w:hint="eastAsia"/>
                <w:lang w:bidi="ar"/>
              </w:rPr>
              <w:t>集聚提升类</w:t>
            </w:r>
          </w:p>
        </w:tc>
        <w:tc>
          <w:tcPr>
            <w:tcW w:w="1701"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道路交通</w:t>
            </w:r>
          </w:p>
        </w:tc>
        <w:tc>
          <w:tcPr>
            <w:tcW w:w="1984" w:type="dxa"/>
          </w:tcPr>
          <w:p>
            <w:pPr>
              <w:pStyle w:val="96"/>
              <w:rPr>
                <w:lang w:bidi="ar"/>
              </w:rPr>
            </w:pPr>
            <w:r>
              <w:rPr>
                <w:rFonts w:hint="eastAsia"/>
                <w:lang w:bidi="ar"/>
              </w:rPr>
              <w:t>公交站点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停车场</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市政设施</w:t>
            </w:r>
          </w:p>
        </w:tc>
        <w:tc>
          <w:tcPr>
            <w:tcW w:w="1984" w:type="dxa"/>
          </w:tcPr>
          <w:p>
            <w:pPr>
              <w:pStyle w:val="96"/>
              <w:rPr>
                <w:lang w:bidi="ar"/>
              </w:rPr>
            </w:pPr>
            <w:r>
              <w:rPr>
                <w:rFonts w:hint="eastAsia"/>
                <w:lang w:bidi="ar"/>
              </w:rPr>
              <w:t>变压器，配电室</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污水处理设施</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水泵房</w:t>
            </w:r>
          </w:p>
        </w:tc>
        <w:tc>
          <w:tcPr>
            <w:tcW w:w="4678" w:type="dxa"/>
            <w:gridSpan w:val="3"/>
          </w:tcPr>
          <w:p>
            <w:pPr>
              <w:pStyle w:val="96"/>
              <w:rPr>
                <w:lang w:bidi="ar"/>
              </w:rPr>
            </w:pPr>
            <w:r>
              <w:rPr>
                <w:rFonts w:hint="eastAsia"/>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环境卫生</w:t>
            </w:r>
          </w:p>
        </w:tc>
        <w:tc>
          <w:tcPr>
            <w:tcW w:w="1984" w:type="dxa"/>
          </w:tcPr>
          <w:p>
            <w:pPr>
              <w:pStyle w:val="96"/>
              <w:rPr>
                <w:lang w:bidi="ar"/>
              </w:rPr>
            </w:pPr>
            <w:r>
              <w:rPr>
                <w:rFonts w:hint="eastAsia"/>
                <w:lang w:bidi="ar"/>
              </w:rPr>
              <w:t>垃圾收集点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lang w:bidi="ar"/>
              </w:rPr>
            </w:pPr>
          </w:p>
        </w:tc>
        <w:tc>
          <w:tcPr>
            <w:tcW w:w="1984" w:type="dxa"/>
          </w:tcPr>
          <w:p>
            <w:pPr>
              <w:pStyle w:val="96"/>
              <w:rPr>
                <w:lang w:bidi="ar"/>
              </w:rPr>
            </w:pPr>
            <w:r>
              <w:rPr>
                <w:rFonts w:hint="eastAsia"/>
                <w:lang w:bidi="ar"/>
              </w:rPr>
              <w:t>公厕</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351"/>
        <w:gridCol w:w="3043"/>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w:t>
            </w:r>
            <w:r>
              <w:rPr>
                <w:lang w:bidi="ar"/>
              </w:rPr>
              <w:t xml:space="preserve">16-8 </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lang w:bidi="ar"/>
              </w:rPr>
            </w:pPr>
            <w:r>
              <w:rPr>
                <w:rFonts w:hint="eastAsia"/>
                <w:lang w:bidi="ar"/>
              </w:rPr>
              <w:t>类别</w:t>
            </w:r>
          </w:p>
        </w:tc>
        <w:tc>
          <w:tcPr>
            <w:tcW w:w="1351" w:type="dxa"/>
          </w:tcPr>
          <w:p>
            <w:pPr>
              <w:pStyle w:val="96"/>
              <w:rPr>
                <w:lang w:bidi="ar"/>
              </w:rPr>
            </w:pPr>
            <w:r>
              <w:rPr>
                <w:rFonts w:hint="eastAsia"/>
                <w:lang w:bidi="ar"/>
              </w:rPr>
              <w:t>项目</w:t>
            </w:r>
          </w:p>
        </w:tc>
        <w:tc>
          <w:tcPr>
            <w:tcW w:w="3043" w:type="dxa"/>
          </w:tcPr>
          <w:p>
            <w:pPr>
              <w:pStyle w:val="96"/>
              <w:rPr>
                <w:lang w:bidi="ar"/>
              </w:rPr>
            </w:pPr>
            <w:r>
              <w:rPr>
                <w:rFonts w:hint="eastAsia"/>
                <w:lang w:bidi="ar"/>
              </w:rPr>
              <w:t>配置方式</w:t>
            </w:r>
          </w:p>
        </w:tc>
        <w:tc>
          <w:tcPr>
            <w:tcW w:w="3057"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道路交通</w:t>
            </w:r>
          </w:p>
        </w:tc>
        <w:tc>
          <w:tcPr>
            <w:tcW w:w="1351" w:type="dxa"/>
            <w:vAlign w:val="center"/>
          </w:tcPr>
          <w:p>
            <w:pPr>
              <w:pStyle w:val="96"/>
              <w:rPr>
                <w:lang w:bidi="ar"/>
              </w:rPr>
            </w:pPr>
            <w:r>
              <w:rPr>
                <w:rFonts w:hint="eastAsia"/>
                <w:lang w:bidi="ar"/>
              </w:rPr>
              <w:t>公交站点</w:t>
            </w:r>
          </w:p>
        </w:tc>
        <w:tc>
          <w:tcPr>
            <w:tcW w:w="3043" w:type="dxa"/>
            <w:vAlign w:val="center"/>
          </w:tcPr>
          <w:p>
            <w:pPr>
              <w:pStyle w:val="96"/>
              <w:rPr>
                <w:lang w:bidi="ar"/>
              </w:rPr>
            </w:pPr>
            <w:r>
              <w:rPr>
                <w:rFonts w:hint="eastAsia"/>
                <w:lang w:bidi="ar"/>
              </w:rPr>
              <w:t>满足公交车辆运行安全要求，同时尽可能不影响其他交通工具在道路的通行。</w:t>
            </w:r>
          </w:p>
        </w:tc>
        <w:tc>
          <w:tcPr>
            <w:tcW w:w="3057" w:type="dxa"/>
          </w:tcPr>
          <w:p>
            <w:pPr>
              <w:pStyle w:val="96"/>
              <w:rPr>
                <w:lang w:bidi="ar"/>
              </w:rPr>
            </w:pPr>
            <w:r>
              <w:rPr>
                <w:rFonts w:hint="eastAsia"/>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停车场</w:t>
            </w:r>
          </w:p>
        </w:tc>
        <w:tc>
          <w:tcPr>
            <w:tcW w:w="3043" w:type="dxa"/>
            <w:vAlign w:val="center"/>
          </w:tcPr>
          <w:p>
            <w:pPr>
              <w:pStyle w:val="96"/>
              <w:rPr>
                <w:lang w:bidi="ar"/>
              </w:rPr>
            </w:pPr>
            <w:r>
              <w:rPr>
                <w:rFonts w:hint="eastAsia"/>
              </w:rPr>
              <w:t>结合村庄实际，灵活设施</w:t>
            </w:r>
          </w:p>
        </w:tc>
        <w:tc>
          <w:tcPr>
            <w:tcW w:w="3057"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lang w:bidi="ar"/>
              </w:rPr>
            </w:pPr>
            <w:r>
              <w:rPr>
                <w:rFonts w:hint="eastAsia"/>
                <w:lang w:bidi="ar"/>
              </w:rPr>
              <w:t>市政设施</w:t>
            </w:r>
          </w:p>
        </w:tc>
        <w:tc>
          <w:tcPr>
            <w:tcW w:w="1351" w:type="dxa"/>
            <w:vAlign w:val="center"/>
          </w:tcPr>
          <w:p>
            <w:pPr>
              <w:pStyle w:val="96"/>
              <w:rPr>
                <w:lang w:bidi="ar"/>
              </w:rPr>
            </w:pPr>
            <w:r>
              <w:rPr>
                <w:rFonts w:hint="eastAsia"/>
                <w:lang w:bidi="ar"/>
              </w:rPr>
              <w:t>变压器、配电室</w:t>
            </w:r>
          </w:p>
        </w:tc>
        <w:tc>
          <w:tcPr>
            <w:tcW w:w="3043" w:type="dxa"/>
            <w:vAlign w:val="center"/>
          </w:tcPr>
          <w:p>
            <w:pPr>
              <w:pStyle w:val="96"/>
            </w:pPr>
            <w:r>
              <w:rPr>
                <w:rFonts w:hint="eastAsia"/>
              </w:rPr>
              <w:t>供电半径以不超过500m为宜。</w:t>
            </w:r>
          </w:p>
        </w:tc>
        <w:tc>
          <w:tcPr>
            <w:tcW w:w="3057"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村庄排水</w:t>
            </w:r>
          </w:p>
        </w:tc>
        <w:tc>
          <w:tcPr>
            <w:tcW w:w="3043" w:type="dxa"/>
            <w:vAlign w:val="center"/>
          </w:tcPr>
          <w:p>
            <w:pPr>
              <w:pStyle w:val="96"/>
            </w:pPr>
            <w:r>
              <w:rPr>
                <w:rFonts w:hint="eastAsia"/>
              </w:rPr>
              <w:t>污水量按生活用水量的75%～90%计算。</w:t>
            </w:r>
          </w:p>
        </w:tc>
        <w:tc>
          <w:tcPr>
            <w:tcW w:w="3057" w:type="dxa"/>
          </w:tcPr>
          <w:p>
            <w:pPr>
              <w:pStyle w:val="96"/>
            </w:pPr>
            <w:r>
              <w:rPr>
                <w:rFonts w:hint="eastAsia"/>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水泵房</w:t>
            </w:r>
          </w:p>
        </w:tc>
        <w:tc>
          <w:tcPr>
            <w:tcW w:w="3043" w:type="dxa"/>
            <w:vAlign w:val="center"/>
          </w:tcPr>
          <w:p>
            <w:pPr>
              <w:pStyle w:val="96"/>
            </w:pPr>
            <w:r>
              <w:rPr>
                <w:rFonts w:hint="eastAsia"/>
              </w:rPr>
              <w:t>泵房的主要通道宽度不应小于1.2米。</w:t>
            </w:r>
          </w:p>
        </w:tc>
        <w:tc>
          <w:tcPr>
            <w:tcW w:w="3057" w:type="dxa"/>
            <w:vAlign w:val="center"/>
          </w:tcPr>
          <w:p>
            <w:pPr>
              <w:pStyle w:val="96"/>
            </w:pPr>
            <w:r>
              <w:rPr>
                <w:rFonts w:hint="eastAsia"/>
              </w:rPr>
              <w:t>非集中供水村庄</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lang w:bidi="ar"/>
              </w:rPr>
            </w:pPr>
            <w:r>
              <w:rPr>
                <w:rFonts w:hint="eastAsia"/>
                <w:lang w:bidi="ar"/>
              </w:rPr>
              <w:t>环境卫生</w:t>
            </w:r>
          </w:p>
        </w:tc>
        <w:tc>
          <w:tcPr>
            <w:tcW w:w="1351" w:type="dxa"/>
            <w:vAlign w:val="center"/>
          </w:tcPr>
          <w:p>
            <w:pPr>
              <w:pStyle w:val="96"/>
              <w:rPr>
                <w:lang w:bidi="ar"/>
              </w:rPr>
            </w:pPr>
            <w:r>
              <w:rPr>
                <w:rFonts w:hint="eastAsia"/>
                <w:lang w:bidi="ar"/>
              </w:rPr>
              <w:t>垃圾筒</w:t>
            </w:r>
          </w:p>
        </w:tc>
        <w:tc>
          <w:tcPr>
            <w:tcW w:w="3043" w:type="dxa"/>
            <w:vAlign w:val="center"/>
          </w:tcPr>
          <w:p>
            <w:pPr>
              <w:pStyle w:val="96"/>
            </w:pPr>
            <w:r>
              <w:rPr>
                <w:rFonts w:hint="eastAsia"/>
              </w:rPr>
              <w:t>服务半径一般不超过70m。</w:t>
            </w:r>
          </w:p>
        </w:tc>
        <w:tc>
          <w:tcPr>
            <w:tcW w:w="3057" w:type="dxa"/>
            <w:vAlign w:val="center"/>
          </w:tcPr>
          <w:p>
            <w:pPr>
              <w:pStyle w:val="96"/>
            </w:pPr>
            <w:r>
              <w:rPr>
                <w:rFonts w:hint="eastAsia"/>
              </w:rPr>
              <w:t>五星支部村庄服务半径一般不超过50m。</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公厕</w:t>
            </w:r>
          </w:p>
        </w:tc>
        <w:tc>
          <w:tcPr>
            <w:tcW w:w="3043" w:type="dxa"/>
            <w:vAlign w:val="center"/>
          </w:tcPr>
          <w:p>
            <w:pPr>
              <w:pStyle w:val="96"/>
            </w:pPr>
            <w:r>
              <w:rPr>
                <w:rFonts w:hint="eastAsia"/>
              </w:rPr>
              <w:t>每村至少设置一个。</w:t>
            </w:r>
          </w:p>
        </w:tc>
        <w:tc>
          <w:tcPr>
            <w:tcW w:w="3057" w:type="dxa"/>
            <w:vAlign w:val="center"/>
          </w:tcPr>
          <w:p>
            <w:pPr>
              <w:pStyle w:val="96"/>
            </w:pPr>
            <w:r>
              <w:rPr>
                <w:rFonts w:hint="eastAsia"/>
              </w:rPr>
              <w:t>建筑面积不大于60平米。</w:t>
            </w:r>
          </w:p>
        </w:tc>
      </w:tr>
    </w:tbl>
    <w:p>
      <w:pPr>
        <w:ind w:firstLine="640"/>
        <w:rPr>
          <w:lang w:bidi="ar"/>
        </w:rPr>
      </w:pPr>
      <w:r>
        <w:rPr>
          <w:rFonts w:hint="eastAsia"/>
          <w:lang w:bidi="ar"/>
        </w:rPr>
        <w:t>在乡村地区建设的机动车停车场，其用地规划控制指标宜符合下表</w:t>
      </w:r>
      <w:r>
        <w:rPr>
          <w:lang w:bidi="ar"/>
        </w:rPr>
        <w:t>的规定。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701"/>
        <w:gridCol w:w="2126"/>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ind w:firstLine="640"/>
              <w:rPr>
                <w:rFonts w:ascii="仿宋" w:hAnsi="仿宋" w:eastAsia="仿宋" w:cs="仿宋"/>
                <w:sz w:val="21"/>
                <w:szCs w:val="21"/>
              </w:rPr>
            </w:pPr>
            <w:r>
              <w:rPr>
                <w:rFonts w:hint="eastAsia"/>
                <w:lang w:bidi="ar"/>
              </w:rPr>
              <w:t>专栏</w:t>
            </w:r>
            <w:r>
              <w:rPr>
                <w:lang w:bidi="ar"/>
              </w:rPr>
              <w:t xml:space="preserve">16-9 </w:t>
            </w:r>
            <w:r>
              <w:rPr>
                <w:rFonts w:hint="eastAsia"/>
                <w:lang w:bidi="ar"/>
              </w:rPr>
              <w:t>机动车停车场建设用地规划控制指标表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838" w:type="dxa"/>
            <w:vAlign w:val="center"/>
          </w:tcPr>
          <w:p>
            <w:pPr>
              <w:spacing w:line="500" w:lineRule="exact"/>
              <w:ind w:firstLine="0" w:firstLineChars="0"/>
              <w:jc w:val="center"/>
              <w:rPr>
                <w:rFonts w:ascii="仿宋_GB2312" w:hAnsi="仿宋" w:cs="仿宋"/>
                <w:sz w:val="24"/>
                <w:szCs w:val="24"/>
              </w:rPr>
            </w:pP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机动车数量（辆）</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用地标准（平方米/标准停车位）</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用地面积（平方米）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小型停车场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0-300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500-9000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大型停车场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＞9</w:t>
            </w:r>
            <w:r>
              <w:rPr>
                <w:rFonts w:ascii="仿宋_GB2312" w:hAnsi="仿宋" w:cs="仿宋"/>
                <w:sz w:val="24"/>
                <w:szCs w:val="24"/>
              </w:rPr>
              <w:t>000</w:t>
            </w:r>
          </w:p>
        </w:tc>
      </w:tr>
    </w:tbl>
    <w:p>
      <w:pPr>
        <w:pStyle w:val="105"/>
        <w:rPr>
          <w:lang w:bidi="ar"/>
        </w:rPr>
      </w:pPr>
      <w:r>
        <w:rPr>
          <w:rFonts w:hint="eastAsia"/>
          <w:lang w:bidi="ar"/>
        </w:rPr>
        <w:t>注：</w:t>
      </w:r>
      <w:r>
        <w:rPr>
          <w:lang w:bidi="ar"/>
        </w:rPr>
        <w:t>1.标准车停车位以小型汽车为基本单位，其他车型折合为小型汽车车位的换算系数为：微型</w:t>
      </w:r>
      <w:r>
        <w:rPr>
          <w:rFonts w:hint="eastAsia"/>
          <w:lang w:bidi="ar"/>
        </w:rPr>
        <w:t>车</w:t>
      </w:r>
      <w:r>
        <w:rPr>
          <w:lang w:bidi="ar"/>
        </w:rPr>
        <w:t>0.7，小型车1.0，中型车2.0，大型车2.5，铰接车3.5。</w:t>
      </w:r>
    </w:p>
    <w:p>
      <w:pPr>
        <w:pStyle w:val="105"/>
        <w:rPr>
          <w:lang w:bidi="ar"/>
        </w:rPr>
      </w:pPr>
      <w:r>
        <w:rPr>
          <w:lang w:bidi="ar"/>
        </w:rPr>
        <w:t>2.为乡村旅游服务的停车场，可适当提高机动车停车场用地标准，结合地形地貌和游客流量，</w:t>
      </w:r>
      <w:r>
        <w:rPr>
          <w:rFonts w:hint="eastAsia"/>
          <w:lang w:bidi="ar"/>
        </w:rPr>
        <w:t>合理安排用地规模。</w:t>
      </w:r>
    </w:p>
    <w:p>
      <w:pPr>
        <w:pStyle w:val="105"/>
        <w:rPr>
          <w:lang w:bidi="ar"/>
        </w:rPr>
      </w:pPr>
      <w:r>
        <w:rPr>
          <w:lang w:bidi="ar"/>
        </w:rPr>
        <w:t>3.在村庄内部宜建设小型、中型机动车停车场，乡村文旅项目宜结合停车需求建设中型、大</w:t>
      </w:r>
      <w:r>
        <w:rPr>
          <w:rFonts w:hint="eastAsia"/>
          <w:lang w:bidi="ar"/>
        </w:rPr>
        <w:t>型停车场。</w:t>
      </w:r>
    </w:p>
    <w:p>
      <w:pPr>
        <w:pStyle w:val="4"/>
        <w:spacing w:before="195" w:after="195"/>
        <w:rPr>
          <w:lang w:bidi="ar"/>
        </w:rPr>
      </w:pP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w:t>
            </w:r>
            <w:r>
              <w:rPr>
                <w:lang w:bidi="ar"/>
              </w:rPr>
              <w:t xml:space="preserve">16-10 </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类别</w:t>
            </w:r>
          </w:p>
        </w:tc>
        <w:tc>
          <w:tcPr>
            <w:tcW w:w="1983" w:type="dxa"/>
            <w:vMerge w:val="restart"/>
            <w:vAlign w:val="center"/>
          </w:tcPr>
          <w:p>
            <w:pPr>
              <w:pStyle w:val="96"/>
              <w:rPr>
                <w:lang w:bidi="ar"/>
              </w:rPr>
            </w:pPr>
            <w:r>
              <w:rPr>
                <w:rFonts w:hint="eastAsia"/>
                <w:lang w:bidi="ar"/>
              </w:rPr>
              <w:t>项目</w:t>
            </w:r>
          </w:p>
        </w:tc>
        <w:tc>
          <w:tcPr>
            <w:tcW w:w="4393" w:type="dxa"/>
            <w:gridSpan w:val="3"/>
          </w:tcPr>
          <w:p>
            <w:pPr>
              <w:pStyle w:val="96"/>
              <w:rPr>
                <w:lang w:bidi="ar"/>
              </w:rPr>
            </w:pPr>
            <w:r>
              <w:rPr>
                <w:rFonts w:hint="eastAsia"/>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lang w:bidi="ar"/>
              </w:rPr>
            </w:pPr>
          </w:p>
        </w:tc>
        <w:tc>
          <w:tcPr>
            <w:tcW w:w="1983" w:type="dxa"/>
            <w:vMerge w:val="continue"/>
          </w:tcPr>
          <w:p>
            <w:pPr>
              <w:pStyle w:val="96"/>
              <w:rPr>
                <w:lang w:bidi="ar"/>
              </w:rPr>
            </w:pPr>
          </w:p>
        </w:tc>
        <w:tc>
          <w:tcPr>
            <w:tcW w:w="1558" w:type="dxa"/>
          </w:tcPr>
          <w:p>
            <w:pPr>
              <w:pStyle w:val="96"/>
              <w:rPr>
                <w:lang w:bidi="ar"/>
              </w:rPr>
            </w:pPr>
            <w:r>
              <w:rPr>
                <w:rFonts w:hint="eastAsia"/>
                <w:lang w:bidi="ar"/>
              </w:rPr>
              <w:t>集聚提升类</w:t>
            </w:r>
          </w:p>
        </w:tc>
        <w:tc>
          <w:tcPr>
            <w:tcW w:w="1417"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行政管理</w:t>
            </w:r>
          </w:p>
        </w:tc>
        <w:tc>
          <w:tcPr>
            <w:tcW w:w="1983" w:type="dxa"/>
            <w:vAlign w:val="center"/>
          </w:tcPr>
          <w:p>
            <w:pPr>
              <w:pStyle w:val="96"/>
              <w:rPr>
                <w:lang w:bidi="ar"/>
              </w:rPr>
            </w:pPr>
            <w:r>
              <w:rPr>
                <w:rFonts w:hint="eastAsia"/>
                <w:lang w:bidi="ar"/>
              </w:rPr>
              <w:t>村委会</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教育机构</w:t>
            </w:r>
          </w:p>
        </w:tc>
        <w:tc>
          <w:tcPr>
            <w:tcW w:w="1983" w:type="dxa"/>
            <w:vAlign w:val="center"/>
          </w:tcPr>
          <w:p>
            <w:pPr>
              <w:pStyle w:val="96"/>
              <w:rPr>
                <w:lang w:bidi="ar"/>
              </w:rPr>
            </w:pPr>
            <w:r>
              <w:rPr>
                <w:rFonts w:hint="eastAsia"/>
                <w:lang w:bidi="ar"/>
              </w:rPr>
              <w:t>小学</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幼儿园</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托儿所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文化科技</w:t>
            </w:r>
          </w:p>
        </w:tc>
        <w:tc>
          <w:tcPr>
            <w:tcW w:w="1983" w:type="dxa"/>
            <w:vAlign w:val="center"/>
          </w:tcPr>
          <w:p>
            <w:pPr>
              <w:pStyle w:val="96"/>
              <w:rPr>
                <w:lang w:bidi="ar"/>
              </w:rPr>
            </w:pPr>
            <w:r>
              <w:rPr>
                <w:rFonts w:hint="eastAsia"/>
                <w:lang w:bidi="ar"/>
              </w:rPr>
              <w:t>文化大院</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体育设施</w:t>
            </w:r>
          </w:p>
        </w:tc>
        <w:tc>
          <w:tcPr>
            <w:tcW w:w="1983" w:type="dxa"/>
            <w:vAlign w:val="center"/>
          </w:tcPr>
          <w:p>
            <w:pPr>
              <w:pStyle w:val="96"/>
              <w:rPr>
                <w:lang w:bidi="ar"/>
              </w:rPr>
            </w:pPr>
            <w:r>
              <w:rPr>
                <w:rFonts w:hint="eastAsia"/>
                <w:lang w:bidi="ar"/>
              </w:rPr>
              <w:t>休闲运动广场</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医疗设施</w:t>
            </w:r>
          </w:p>
        </w:tc>
        <w:tc>
          <w:tcPr>
            <w:tcW w:w="1983" w:type="dxa"/>
            <w:vAlign w:val="center"/>
          </w:tcPr>
          <w:p>
            <w:pPr>
              <w:pStyle w:val="96"/>
              <w:rPr>
                <w:lang w:bidi="ar"/>
              </w:rPr>
            </w:pPr>
            <w:r>
              <w:rPr>
                <w:rFonts w:hint="eastAsia"/>
                <w:lang w:bidi="ar"/>
              </w:rPr>
              <w:t>村卫生室</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社会保障</w:t>
            </w:r>
          </w:p>
        </w:tc>
        <w:tc>
          <w:tcPr>
            <w:tcW w:w="1983" w:type="dxa"/>
            <w:vAlign w:val="center"/>
          </w:tcPr>
          <w:p>
            <w:pPr>
              <w:pStyle w:val="96"/>
              <w:rPr>
                <w:lang w:bidi="ar"/>
              </w:rPr>
            </w:pPr>
            <w:r>
              <w:rPr>
                <w:rFonts w:hint="eastAsia"/>
                <w:lang w:bidi="ar"/>
              </w:rPr>
              <w:t>日间照料中心</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商业服务</w:t>
            </w:r>
          </w:p>
        </w:tc>
        <w:tc>
          <w:tcPr>
            <w:tcW w:w="1983" w:type="dxa"/>
            <w:vAlign w:val="center"/>
          </w:tcPr>
          <w:p>
            <w:pPr>
              <w:pStyle w:val="96"/>
              <w:rPr>
                <w:lang w:bidi="ar"/>
              </w:rPr>
            </w:pPr>
            <w:r>
              <w:rPr>
                <w:rFonts w:hint="eastAsia"/>
                <w:lang w:bidi="ar"/>
              </w:rPr>
              <w:t>小卖部</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小型超市</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餐饮、特产店</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旅馆、招待所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701"/>
        <w:gridCol w:w="4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w:t>
            </w:r>
            <w:r>
              <w:rPr>
                <w:lang w:bidi="ar"/>
              </w:rPr>
              <w:t xml:space="preserve">16-11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46" w:type="dxa"/>
          </w:tcPr>
          <w:p>
            <w:pPr>
              <w:pStyle w:val="96"/>
              <w:rPr>
                <w:lang w:bidi="ar"/>
              </w:rPr>
            </w:pPr>
            <w:r>
              <w:rPr>
                <w:rFonts w:hint="eastAsia"/>
                <w:lang w:bidi="ar"/>
              </w:rPr>
              <w:t>类别</w:t>
            </w:r>
          </w:p>
        </w:tc>
        <w:tc>
          <w:tcPr>
            <w:tcW w:w="1276" w:type="dxa"/>
          </w:tcPr>
          <w:p>
            <w:pPr>
              <w:pStyle w:val="96"/>
              <w:rPr>
                <w:lang w:bidi="ar"/>
              </w:rPr>
            </w:pPr>
            <w:r>
              <w:rPr>
                <w:rFonts w:hint="eastAsia"/>
                <w:lang w:bidi="ar"/>
              </w:rPr>
              <w:t>设施名称</w:t>
            </w:r>
          </w:p>
        </w:tc>
        <w:tc>
          <w:tcPr>
            <w:tcW w:w="1701" w:type="dxa"/>
          </w:tcPr>
          <w:p>
            <w:pPr>
              <w:pStyle w:val="96"/>
              <w:rPr>
                <w:lang w:bidi="ar"/>
              </w:rPr>
            </w:pPr>
            <w:r>
              <w:rPr>
                <w:rFonts w:hint="eastAsia"/>
                <w:lang w:bidi="ar"/>
              </w:rPr>
              <w:t>建筑面积</w:t>
            </w:r>
          </w:p>
        </w:tc>
        <w:tc>
          <w:tcPr>
            <w:tcW w:w="4474"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行政管理</w:t>
            </w:r>
          </w:p>
        </w:tc>
        <w:tc>
          <w:tcPr>
            <w:tcW w:w="1276" w:type="dxa"/>
            <w:vAlign w:val="center"/>
          </w:tcPr>
          <w:p>
            <w:pPr>
              <w:pStyle w:val="96"/>
              <w:rPr>
                <w:lang w:bidi="ar"/>
              </w:rPr>
            </w:pPr>
            <w:r>
              <w:rPr>
                <w:rFonts w:hint="eastAsia"/>
                <w:lang w:bidi="ar"/>
              </w:rPr>
              <w:t>村委会</w:t>
            </w:r>
          </w:p>
        </w:tc>
        <w:tc>
          <w:tcPr>
            <w:tcW w:w="1701" w:type="dxa"/>
            <w:vAlign w:val="center"/>
          </w:tcPr>
          <w:p>
            <w:pPr>
              <w:pStyle w:val="96"/>
              <w:rPr>
                <w:lang w:bidi="ar"/>
              </w:rPr>
            </w:pPr>
            <w:r>
              <w:rPr>
                <w:rFonts w:hint="eastAsia"/>
                <w:lang w:bidi="ar"/>
              </w:rPr>
              <w:t>200-500</w:t>
            </w:r>
          </w:p>
        </w:tc>
        <w:tc>
          <w:tcPr>
            <w:tcW w:w="4474" w:type="dxa"/>
          </w:tcPr>
          <w:p>
            <w:pPr>
              <w:pStyle w:val="96"/>
              <w:rPr>
                <w:lang w:bidi="ar"/>
              </w:rPr>
            </w:pPr>
            <w:r>
              <w:rPr>
                <w:rFonts w:hint="eastAsia"/>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教育机构</w:t>
            </w:r>
          </w:p>
        </w:tc>
        <w:tc>
          <w:tcPr>
            <w:tcW w:w="1276" w:type="dxa"/>
            <w:vAlign w:val="center"/>
          </w:tcPr>
          <w:p>
            <w:pPr>
              <w:pStyle w:val="96"/>
              <w:rPr>
                <w:lang w:bidi="ar"/>
              </w:rPr>
            </w:pPr>
            <w:r>
              <w:rPr>
                <w:rFonts w:hint="eastAsia"/>
                <w:lang w:bidi="ar"/>
              </w:rPr>
              <w:t>小学</w:t>
            </w:r>
          </w:p>
        </w:tc>
        <w:tc>
          <w:tcPr>
            <w:tcW w:w="1701" w:type="dxa"/>
            <w:vAlign w:val="center"/>
          </w:tcPr>
          <w:p>
            <w:pPr>
              <w:pStyle w:val="96"/>
              <w:rPr>
                <w:lang w:bidi="ar"/>
              </w:rPr>
            </w:pPr>
            <w:r>
              <w:rPr>
                <w:rFonts w:hint="eastAsia"/>
                <w:lang w:bidi="ar"/>
              </w:rPr>
              <w:t>4000-8000</w:t>
            </w:r>
          </w:p>
        </w:tc>
        <w:tc>
          <w:tcPr>
            <w:tcW w:w="4474" w:type="dxa"/>
          </w:tcPr>
          <w:p>
            <w:pPr>
              <w:pStyle w:val="96"/>
            </w:pPr>
            <w:r>
              <w:rPr>
                <w:rFonts w:hint="eastAsia"/>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幼儿园</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托儿所</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文化科技</w:t>
            </w:r>
          </w:p>
        </w:tc>
        <w:tc>
          <w:tcPr>
            <w:tcW w:w="1276" w:type="dxa"/>
            <w:vAlign w:val="center"/>
          </w:tcPr>
          <w:p>
            <w:pPr>
              <w:pStyle w:val="96"/>
              <w:rPr>
                <w:lang w:bidi="ar"/>
              </w:rPr>
            </w:pPr>
            <w:r>
              <w:rPr>
                <w:rFonts w:hint="eastAsia"/>
                <w:lang w:bidi="ar"/>
              </w:rPr>
              <w:t>文化大院</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体育设施</w:t>
            </w:r>
          </w:p>
        </w:tc>
        <w:tc>
          <w:tcPr>
            <w:tcW w:w="1276" w:type="dxa"/>
            <w:vAlign w:val="center"/>
          </w:tcPr>
          <w:p>
            <w:pPr>
              <w:pStyle w:val="96"/>
              <w:rPr>
                <w:lang w:bidi="ar"/>
              </w:rPr>
            </w:pPr>
            <w:r>
              <w:rPr>
                <w:rFonts w:hint="eastAsia"/>
                <w:lang w:bidi="ar"/>
              </w:rPr>
              <w:t>休闲运动广场</w:t>
            </w:r>
          </w:p>
        </w:tc>
        <w:tc>
          <w:tcPr>
            <w:tcW w:w="1701" w:type="dxa"/>
            <w:vAlign w:val="center"/>
          </w:tcPr>
          <w:p>
            <w:pPr>
              <w:pStyle w:val="96"/>
              <w:rPr>
                <w:lang w:bidi="ar"/>
              </w:rPr>
            </w:pPr>
            <w:r>
              <w:rPr>
                <w:rFonts w:hint="eastAsia"/>
                <w:lang w:bidi="ar"/>
              </w:rPr>
              <w:t>600-2000</w:t>
            </w:r>
          </w:p>
          <w:p>
            <w:pPr>
              <w:pStyle w:val="96"/>
              <w:rPr>
                <w:lang w:bidi="ar"/>
              </w:rPr>
            </w:pPr>
            <w:r>
              <w:rPr>
                <w:rFonts w:hint="eastAsia"/>
                <w:lang w:bidi="ar"/>
              </w:rPr>
              <w:t>（用地面积）</w:t>
            </w:r>
          </w:p>
        </w:tc>
        <w:tc>
          <w:tcPr>
            <w:tcW w:w="4474" w:type="dxa"/>
          </w:tcPr>
          <w:p>
            <w:pPr>
              <w:pStyle w:val="96"/>
            </w:pPr>
            <w:r>
              <w:rPr>
                <w:rFonts w:hint="eastAsia"/>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医疗设施</w:t>
            </w:r>
          </w:p>
        </w:tc>
        <w:tc>
          <w:tcPr>
            <w:tcW w:w="1276" w:type="dxa"/>
            <w:vAlign w:val="center"/>
          </w:tcPr>
          <w:p>
            <w:pPr>
              <w:pStyle w:val="96"/>
              <w:rPr>
                <w:lang w:bidi="ar"/>
              </w:rPr>
            </w:pPr>
            <w:r>
              <w:rPr>
                <w:rFonts w:hint="eastAsia"/>
                <w:lang w:bidi="ar"/>
              </w:rPr>
              <w:t>村卫生室</w:t>
            </w:r>
          </w:p>
        </w:tc>
        <w:tc>
          <w:tcPr>
            <w:tcW w:w="1701" w:type="dxa"/>
            <w:vAlign w:val="center"/>
          </w:tcPr>
          <w:p>
            <w:pPr>
              <w:pStyle w:val="96"/>
              <w:rPr>
                <w:lang w:bidi="ar"/>
              </w:rPr>
            </w:pPr>
            <w:r>
              <w:rPr>
                <w:rFonts w:hint="eastAsia"/>
                <w:lang w:bidi="ar"/>
              </w:rPr>
              <w:t>50-100</w:t>
            </w:r>
          </w:p>
        </w:tc>
        <w:tc>
          <w:tcPr>
            <w:tcW w:w="4474" w:type="dxa"/>
          </w:tcPr>
          <w:p>
            <w:pPr>
              <w:pStyle w:val="96"/>
            </w:pPr>
            <w:r>
              <w:rPr>
                <w:rFonts w:hint="eastAsia"/>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社会保障</w:t>
            </w:r>
          </w:p>
        </w:tc>
        <w:tc>
          <w:tcPr>
            <w:tcW w:w="1276" w:type="dxa"/>
            <w:vAlign w:val="center"/>
          </w:tcPr>
          <w:p>
            <w:pPr>
              <w:pStyle w:val="96"/>
              <w:rPr>
                <w:lang w:bidi="ar"/>
              </w:rPr>
            </w:pPr>
            <w:r>
              <w:rPr>
                <w:rFonts w:hint="eastAsia"/>
                <w:lang w:bidi="ar"/>
              </w:rPr>
              <w:t>日间照料中心</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restart"/>
            <w:vAlign w:val="center"/>
          </w:tcPr>
          <w:p>
            <w:pPr>
              <w:pStyle w:val="96"/>
              <w:rPr>
                <w:lang w:bidi="ar"/>
              </w:rPr>
            </w:pPr>
            <w:r>
              <w:rPr>
                <w:rFonts w:hint="eastAsia"/>
                <w:lang w:bidi="ar"/>
              </w:rPr>
              <w:t>商业服务</w:t>
            </w:r>
          </w:p>
        </w:tc>
        <w:tc>
          <w:tcPr>
            <w:tcW w:w="1276" w:type="dxa"/>
            <w:vAlign w:val="center"/>
          </w:tcPr>
          <w:p>
            <w:pPr>
              <w:pStyle w:val="96"/>
              <w:rPr>
                <w:lang w:bidi="ar"/>
              </w:rPr>
            </w:pPr>
            <w:r>
              <w:rPr>
                <w:rFonts w:hint="eastAsia"/>
                <w:lang w:bidi="ar"/>
              </w:rPr>
              <w:t>小卖部</w:t>
            </w:r>
          </w:p>
        </w:tc>
        <w:tc>
          <w:tcPr>
            <w:tcW w:w="1701" w:type="dxa"/>
            <w:vAlign w:val="center"/>
          </w:tcPr>
          <w:p>
            <w:pPr>
              <w:pStyle w:val="96"/>
              <w:rPr>
                <w:lang w:bidi="ar"/>
              </w:rPr>
            </w:pPr>
            <w:r>
              <w:rPr>
                <w:rFonts w:hint="eastAsia"/>
                <w:lang w:bidi="ar"/>
              </w:rPr>
              <w:t>300-1000</w:t>
            </w:r>
          </w:p>
        </w:tc>
        <w:tc>
          <w:tcPr>
            <w:tcW w:w="4474" w:type="dxa"/>
          </w:tcPr>
          <w:p>
            <w:pPr>
              <w:pStyle w:val="96"/>
            </w:pPr>
            <w:r>
              <w:rPr>
                <w:rFonts w:hint="eastAsia"/>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小型超市</w:t>
            </w:r>
          </w:p>
        </w:tc>
        <w:tc>
          <w:tcPr>
            <w:tcW w:w="1701" w:type="dxa"/>
            <w:vAlign w:val="center"/>
          </w:tcPr>
          <w:p>
            <w:pPr>
              <w:pStyle w:val="96"/>
              <w:rPr>
                <w:lang w:bidi="ar"/>
              </w:rPr>
            </w:pPr>
            <w:r>
              <w:rPr>
                <w:rFonts w:hint="eastAsia"/>
                <w:lang w:bidi="ar"/>
              </w:rPr>
              <w:t>500-800</w:t>
            </w:r>
          </w:p>
        </w:tc>
        <w:tc>
          <w:tcPr>
            <w:tcW w:w="4474"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餐饮、特产店</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旅馆、招待所</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bl>
    <w:p>
      <w:pPr>
        <w:ind w:firstLine="640"/>
      </w:pPr>
      <w:r>
        <w:rPr>
          <w:rFonts w:hint="eastAsia"/>
        </w:rPr>
        <w:t>村委会办公建筑规划控制指标可参照下表执行。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3119"/>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16-12 </w:t>
            </w:r>
            <w:r>
              <w:rPr>
                <w:rFonts w:hint="eastAsia"/>
              </w:rPr>
              <w:t>村委会办公</w:t>
            </w:r>
            <w:r>
              <w:rPr>
                <w:rFonts w:hint="eastAsia"/>
                <w:lang w:bidi="ar"/>
              </w:rPr>
              <w:t>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村委会办公建筑</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.8</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r>
    </w:tbl>
    <w:p>
      <w:pPr>
        <w:ind w:firstLine="640"/>
      </w:pPr>
      <w:r>
        <w:rPr>
          <w:rFonts w:hint="eastAsia"/>
        </w:rPr>
        <w:t>幼儿园建筑规划控制指标可参照下表执行。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2268"/>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16-13 </w:t>
            </w:r>
            <w:r>
              <w:rPr>
                <w:rFonts w:hint="eastAsia"/>
              </w:rPr>
              <w:t>幼儿园建筑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3</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.7</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小学建筑规划控制指标可参照下表执行。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2127"/>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rPr>
                <w:rFonts w:ascii="仿宋" w:hAnsi="仿宋" w:eastAsia="仿宋" w:cs="仿宋"/>
                <w:sz w:val="21"/>
                <w:szCs w:val="21"/>
              </w:rPr>
            </w:pPr>
            <w:r>
              <w:rPr>
                <w:rFonts w:hint="eastAsia"/>
                <w:lang w:bidi="ar"/>
              </w:rPr>
              <w:t>专栏</w:t>
            </w:r>
            <w:r>
              <w:rPr>
                <w:lang w:bidi="ar"/>
              </w:rPr>
              <w:t xml:space="preserve">16-14 </w:t>
            </w:r>
            <w:r>
              <w:rPr>
                <w:rFonts w:hint="eastAsia"/>
              </w:rPr>
              <w:t>小学建筑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397" w:type="dxa"/>
            <w:gridSpan w:val="2"/>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127"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8</w:t>
            </w:r>
          </w:p>
        </w:tc>
        <w:tc>
          <w:tcPr>
            <w:tcW w:w="2127"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.9</w:t>
            </w:r>
          </w:p>
        </w:tc>
        <w:tc>
          <w:tcPr>
            <w:tcW w:w="2773"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7</w:t>
            </w:r>
          </w:p>
        </w:tc>
        <w:tc>
          <w:tcPr>
            <w:tcW w:w="2127" w:type="dxa"/>
            <w:vMerge w:val="continue"/>
            <w:vAlign w:val="center"/>
          </w:tcPr>
          <w:p>
            <w:pPr>
              <w:spacing w:line="500" w:lineRule="exact"/>
              <w:ind w:firstLine="0" w:firstLineChars="0"/>
              <w:jc w:val="center"/>
              <w:rPr>
                <w:rFonts w:ascii="仿宋_GB2312" w:hAnsi="仿宋" w:cs="仿宋"/>
                <w:sz w:val="24"/>
                <w:szCs w:val="24"/>
              </w:rPr>
            </w:pPr>
          </w:p>
        </w:tc>
        <w:tc>
          <w:tcPr>
            <w:tcW w:w="2773" w:type="dxa"/>
            <w:vMerge w:val="continue"/>
            <w:vAlign w:val="center"/>
          </w:tcPr>
          <w:p>
            <w:pPr>
              <w:spacing w:line="500" w:lineRule="exact"/>
              <w:ind w:firstLine="0" w:firstLineChars="0"/>
              <w:jc w:val="center"/>
              <w:rPr>
                <w:rFonts w:ascii="仿宋_GB2312" w:hAnsi="仿宋" w:cs="仿宋"/>
                <w:sz w:val="24"/>
                <w:szCs w:val="24"/>
              </w:rPr>
            </w:pPr>
          </w:p>
        </w:tc>
      </w:tr>
    </w:tbl>
    <w:p>
      <w:pPr>
        <w:ind w:firstLine="640"/>
      </w:pPr>
      <w:r>
        <w:rPr>
          <w:rFonts w:hint="eastAsia"/>
        </w:rPr>
        <w:t>医疗卫生建筑规划控制指标可参照下表执行。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59"/>
        <w:gridCol w:w="1418"/>
        <w:gridCol w:w="1701"/>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w:t>
            </w:r>
            <w:r>
              <w:rPr>
                <w:lang w:bidi="ar"/>
              </w:rPr>
              <w:t xml:space="preserve">16-15 </w:t>
            </w:r>
            <w:r>
              <w:rPr>
                <w:rFonts w:hint="eastAsia"/>
                <w:lang w:bidi="ar"/>
              </w:rPr>
              <w:t>医疗卫生建筑建设控制指标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床位数（床）</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村卫生室</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p>
        </w:tc>
      </w:tr>
    </w:tbl>
    <w:p>
      <w:pPr>
        <w:ind w:firstLine="640"/>
      </w:pPr>
      <w:r>
        <w:rPr>
          <w:rFonts w:hint="eastAsia"/>
        </w:rPr>
        <w:t>社会福利建筑规划控制指标可参照下表执行。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9"/>
        <w:gridCol w:w="1145"/>
        <w:gridCol w:w="1453"/>
        <w:gridCol w:w="1755"/>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6"/>
          </w:tcPr>
          <w:p>
            <w:pPr>
              <w:pStyle w:val="98"/>
              <w:rPr>
                <w:lang w:bidi="ar"/>
              </w:rPr>
            </w:pPr>
            <w:r>
              <w:rPr>
                <w:rFonts w:hint="eastAsia"/>
                <w:lang w:bidi="ar"/>
              </w:rPr>
              <w:t>专栏</w:t>
            </w:r>
            <w:r>
              <w:rPr>
                <w:lang w:bidi="ar"/>
              </w:rPr>
              <w:t xml:space="preserve">16-16 </w:t>
            </w:r>
            <w:r>
              <w:rPr>
                <w:rFonts w:hint="eastAsia"/>
                <w:lang w:bidi="ar"/>
              </w:rPr>
              <w:t>社会福利建筑建设控制指标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2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床均用地面积（平方米/床）</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建筑密度（%）</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养老院</w:t>
            </w:r>
          </w:p>
        </w:tc>
        <w:tc>
          <w:tcPr>
            <w:tcW w:w="1279"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35-50</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24</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30</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村庄健身广场宜与绿地结合设置，可根据村庄人口数量和人口分布情况设置多处，单个健身广场用地面积不宜大于</w:t>
      </w:r>
      <w:r>
        <w:t>400平方米，每村健身广场的总面积人均不宜大于3平方米。</w:t>
      </w:r>
      <w:r>
        <w:rPr>
          <w:rFonts w:hint="eastAsia"/>
        </w:rPr>
        <w:t>位于旅游景区或特色保护类游客较多的村庄，面积可适当增加。</w:t>
      </w:r>
    </w:p>
    <w:p>
      <w:pPr>
        <w:pStyle w:val="4"/>
        <w:spacing w:before="195" w:after="195"/>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本着节约集约用地的原则，在乡村地区建设的商业服务业设施用地规划控制指标一般符合以下规定：</w:t>
      </w:r>
    </w:p>
    <w:tbl>
      <w:tblPr>
        <w:tblStyle w:val="30"/>
        <w:tblW w:w="5000" w:type="pct"/>
        <w:tblInd w:w="0" w:type="dxa"/>
        <w:tblLayout w:type="autofit"/>
        <w:tblCellMar>
          <w:top w:w="0" w:type="dxa"/>
          <w:left w:w="108" w:type="dxa"/>
          <w:bottom w:w="0" w:type="dxa"/>
          <w:right w:w="108" w:type="dxa"/>
        </w:tblCellMar>
      </w:tblPr>
      <w:tblGrid>
        <w:gridCol w:w="3053"/>
        <w:gridCol w:w="2184"/>
        <w:gridCol w:w="3286"/>
      </w:tblGrid>
      <w:tr>
        <w:tblPrEx>
          <w:tblCellMar>
            <w:top w:w="0" w:type="dxa"/>
            <w:left w:w="108" w:type="dxa"/>
            <w:bottom w:w="0" w:type="dxa"/>
            <w:right w:w="108" w:type="dxa"/>
          </w:tblCellMar>
        </w:tblPrEx>
        <w:trPr>
          <w:trHeight w:val="373"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98"/>
            </w:pPr>
            <w:r>
              <w:rPr>
                <w:rFonts w:hint="eastAsia"/>
              </w:rPr>
              <w:t>专栏</w:t>
            </w:r>
            <w:r>
              <w:t xml:space="preserve">16-17 </w:t>
            </w:r>
            <w:r>
              <w:rPr>
                <w:rFonts w:hint="eastAsia"/>
              </w:rPr>
              <w:t>商业服务业设施建设用地规划控制指标表</w:t>
            </w:r>
          </w:p>
        </w:tc>
      </w:tr>
      <w:tr>
        <w:tblPrEx>
          <w:tblCellMar>
            <w:top w:w="0" w:type="dxa"/>
            <w:left w:w="108" w:type="dxa"/>
            <w:bottom w:w="0" w:type="dxa"/>
            <w:right w:w="108" w:type="dxa"/>
          </w:tblCellMar>
        </w:tblPrEx>
        <w:trPr>
          <w:trHeight w:val="706" w:hRule="atLeast"/>
        </w:trPr>
        <w:tc>
          <w:tcPr>
            <w:tcW w:w="179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用地分类</w:t>
            </w:r>
          </w:p>
        </w:tc>
        <w:tc>
          <w:tcPr>
            <w:tcW w:w="1281"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容积率</w:t>
            </w:r>
          </w:p>
        </w:tc>
        <w:tc>
          <w:tcPr>
            <w:tcW w:w="1928"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建筑高度（米）</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商业用地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≤1</w:t>
            </w:r>
            <w:r>
              <w:rPr>
                <w:szCs w:val="24"/>
              </w:rPr>
              <w:t>.5</w:t>
            </w:r>
          </w:p>
        </w:tc>
        <w:tc>
          <w:tcPr>
            <w:tcW w:w="1928" w:type="pct"/>
            <w:vMerge w:val="restart"/>
            <w:tcBorders>
              <w:top w:val="nil"/>
              <w:left w:val="nil"/>
              <w:right w:val="single" w:color="auto" w:sz="4" w:space="0"/>
            </w:tcBorders>
            <w:shd w:val="clear" w:color="auto" w:fill="auto"/>
            <w:vAlign w:val="center"/>
          </w:tcPr>
          <w:p>
            <w:pPr>
              <w:pStyle w:val="96"/>
              <w:rPr>
                <w:szCs w:val="24"/>
              </w:rPr>
            </w:pPr>
            <w:r>
              <w:rPr>
                <w:rFonts w:hint="eastAsia"/>
                <w:szCs w:val="24"/>
              </w:rPr>
              <w:t>≤1</w:t>
            </w:r>
            <w:r>
              <w:rPr>
                <w:szCs w:val="24"/>
              </w:rPr>
              <w:t>2</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jc w:val="both"/>
              <w:rPr>
                <w:szCs w:val="24"/>
              </w:rPr>
            </w:pPr>
            <w:r>
              <w:rPr>
                <w:rFonts w:hint="eastAsia"/>
                <w:szCs w:val="24"/>
              </w:rPr>
              <w:t>商务金融用地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娱乐用地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其他商业服务业用地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≤1</w:t>
            </w:r>
            <w:r>
              <w:rPr>
                <w:szCs w:val="24"/>
              </w:rPr>
              <w:t>.2</w:t>
            </w:r>
          </w:p>
        </w:tc>
        <w:tc>
          <w:tcPr>
            <w:tcW w:w="1928" w:type="pct"/>
            <w:vMerge w:val="continue"/>
            <w:tcBorders>
              <w:left w:val="nil"/>
              <w:bottom w:val="single" w:color="auto" w:sz="4" w:space="0"/>
              <w:right w:val="single" w:color="auto" w:sz="4" w:space="0"/>
            </w:tcBorders>
            <w:shd w:val="clear" w:color="auto" w:fill="auto"/>
            <w:vAlign w:val="center"/>
          </w:tcPr>
          <w:p>
            <w:pPr>
              <w:pStyle w:val="96"/>
              <w:rPr>
                <w:szCs w:val="24"/>
              </w:rPr>
            </w:pPr>
          </w:p>
        </w:tc>
      </w:tr>
    </w:tbl>
    <w:p>
      <w:pPr>
        <w:ind w:firstLine="640"/>
      </w:pPr>
      <w:r>
        <w:rPr>
          <w:rFonts w:hint="eastAsia"/>
        </w:rPr>
        <w:t>在乡村地区建设的物流仓储设施，其用地规划控制指标宜符合以下规定：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096"/>
        <w:gridCol w:w="1296"/>
        <w:gridCol w:w="1287"/>
        <w:gridCol w:w="1453"/>
        <w:gridCol w:w="13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7"/>
            <w:vAlign w:val="center"/>
          </w:tcPr>
          <w:p>
            <w:pPr>
              <w:pStyle w:val="98"/>
              <w:rPr>
                <w:lang w:bidi="ar"/>
              </w:rPr>
            </w:pPr>
            <w:r>
              <w:rPr>
                <w:rFonts w:hint="eastAsia"/>
                <w:lang w:bidi="ar"/>
              </w:rPr>
              <w:t>专栏</w:t>
            </w:r>
            <w:r>
              <w:rPr>
                <w:lang w:bidi="ar"/>
              </w:rPr>
              <w:t xml:space="preserve">16-18 </w:t>
            </w:r>
            <w:r>
              <w:rPr>
                <w:rFonts w:hint="eastAsia"/>
                <w:lang w:bidi="ar"/>
              </w:rPr>
              <w:t>物流仓储设施建设用地规划控制指标表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分级</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用地规模（公顷）</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日流通量（吨</w:t>
            </w:r>
            <w:r>
              <w:rPr>
                <w:rFonts w:ascii="仿宋_GB2312" w:hAnsi="仿宋" w:cs="仿宋"/>
                <w:sz w:val="24"/>
                <w:szCs w:val="24"/>
              </w:rPr>
              <w:t>/</w:t>
            </w:r>
            <w:r>
              <w:rPr>
                <w:rFonts w:hint="eastAsia" w:ascii="仿宋_GB2312" w:hAnsi="仿宋" w:cs="仿宋"/>
                <w:sz w:val="24"/>
                <w:szCs w:val="24"/>
              </w:rPr>
              <w:t>天）</w:t>
            </w:r>
          </w:p>
        </w:tc>
        <w:tc>
          <w:tcPr>
            <w:tcW w:w="130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单位用地指标（平方米</w:t>
            </w:r>
            <w:r>
              <w:rPr>
                <w:rFonts w:ascii="仿宋_GB2312" w:hAnsi="仿宋" w:cs="仿宋"/>
                <w:sz w:val="24"/>
                <w:szCs w:val="24"/>
              </w:rPr>
              <w:t>/</w:t>
            </w:r>
            <w:r>
              <w:rPr>
                <w:rFonts w:hint="eastAsia" w:ascii="仿宋_GB2312" w:hAnsi="仿宋" w:cs="仿宋"/>
                <w:sz w:val="24"/>
                <w:szCs w:val="24"/>
              </w:rPr>
              <w:t>吨）</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4-6</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000-3000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28-35</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41-50</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bl>
    <w:p>
      <w:pPr>
        <w:pStyle w:val="105"/>
      </w:pPr>
      <w:r>
        <w:rPr>
          <w:rFonts w:hint="eastAsia"/>
        </w:rPr>
        <w:t>注：</w:t>
      </w:r>
      <w:r>
        <w:t>1.如有特殊建筑要求的物流仓储设施可结合实际需求适当提高建筑高度，但建筑层数不宜超过6层、建筑高度不宜超过24米。</w:t>
      </w:r>
    </w:p>
    <w:p>
      <w:pPr>
        <w:pStyle w:val="105"/>
      </w:pPr>
      <w:r>
        <w:t>2.需要单独选址的易燃易爆类危险品仓储用地，建设用地规模参考相关行业标准，容积率不应</w:t>
      </w:r>
      <w:r>
        <w:rPr>
          <w:rFonts w:hint="eastAsia"/>
        </w:rPr>
        <w:t>小于</w:t>
      </w:r>
      <w:r>
        <w:t>0.5。</w:t>
      </w:r>
    </w:p>
    <w:p>
      <w:pPr>
        <w:pStyle w:val="105"/>
      </w:pPr>
      <w:r>
        <w:t>3.物流仓储建筑层高超过8米时，该层建筑面积加倍计算。</w:t>
      </w:r>
    </w:p>
    <w:p>
      <w:pPr>
        <w:ind w:firstLine="640"/>
      </w:pPr>
      <w:r>
        <w:rPr>
          <w:rFonts w:hint="eastAsia"/>
        </w:rPr>
        <w:t>在乡村地区建设的工业项目，其用地规划控制指标宜符合以下规定：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2551"/>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vAlign w:val="center"/>
          </w:tcPr>
          <w:p>
            <w:pPr>
              <w:pStyle w:val="98"/>
              <w:rPr>
                <w:lang w:bidi="ar"/>
              </w:rPr>
            </w:pPr>
            <w:r>
              <w:rPr>
                <w:rFonts w:hint="eastAsia"/>
                <w:lang w:bidi="ar"/>
              </w:rPr>
              <w:t>专栏</w:t>
            </w:r>
            <w:r>
              <w:rPr>
                <w:lang w:bidi="ar"/>
              </w:rPr>
              <w:t xml:space="preserve">16-19 </w:t>
            </w:r>
            <w:r>
              <w:rPr>
                <w:rFonts w:hint="eastAsia"/>
                <w:lang w:bidi="ar"/>
              </w:rPr>
              <w:t>工业设施建设用地规划控制指标表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类型</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建筑系数（%）</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工业用地</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40</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r>
    </w:tbl>
    <w:p>
      <w:pPr>
        <w:pStyle w:val="105"/>
      </w:pPr>
      <w:r>
        <w:rPr>
          <w:rFonts w:hint="eastAsia"/>
        </w:rPr>
        <w:t>注：如有特殊建设要求的工业项目可结合实际需求适当提高建筑高度，但建筑层数不宜超过</w:t>
      </w:r>
      <w:r>
        <w:t>6层、</w:t>
      </w:r>
      <w:r>
        <w:rPr>
          <w:rFonts w:hint="eastAsia"/>
        </w:rPr>
        <w:t>建筑高度不宜超过</w:t>
      </w:r>
      <w:r>
        <w:t>24米。</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spacing w:before="195" w:after="195"/>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spacing w:before="195" w:after="195"/>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县处理</w:t>
      </w:r>
      <w:r>
        <w:t>”。</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bookmarkEnd w:id="2"/>
    <w:bookmarkEnd w:id="3"/>
    <w:p>
      <w:pPr>
        <w:spacing w:before="65" w:line="240" w:lineRule="auto"/>
        <w:ind w:firstLine="640"/>
        <w:rPr>
          <w:rFonts w:hint="default"/>
          <w:lang w:val="en" w:bidi="ar"/>
        </w:rPr>
      </w:pPr>
      <w:r>
        <w:rPr>
          <w:rFonts w:hint="default"/>
          <w:lang w:val="en" w:bidi="ar"/>
        </w:rPr>
        <w:drawing>
          <wp:inline distT="0" distB="0" distL="114300" distR="114300">
            <wp:extent cx="5258435" cy="7431405"/>
            <wp:effectExtent l="0" t="0" r="18415" b="17145"/>
            <wp:docPr id="6" name="图片 6" descr="11-板场乡-01-乡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1-板场乡-01-乡域国土空间用地现状图"/>
                    <pic:cNvPicPr>
                      <a:picLocks noChangeAspect="true"/>
                    </pic:cNvPicPr>
                  </pic:nvPicPr>
                  <pic:blipFill>
                    <a:blip r:embed="rId14"/>
                    <a:stretch>
                      <a:fillRect/>
                    </a:stretch>
                  </pic:blipFill>
                  <pic:spPr>
                    <a:xfrm>
                      <a:off x="0" y="0"/>
                      <a:ext cx="5258435" cy="7431405"/>
                    </a:xfrm>
                    <a:prstGeom prst="rect">
                      <a:avLst/>
                    </a:prstGeom>
                  </pic:spPr>
                </pic:pic>
              </a:graphicData>
            </a:graphic>
          </wp:inline>
        </w:drawing>
      </w:r>
      <w:r>
        <w:rPr>
          <w:rFonts w:hint="default"/>
          <w:lang w:val="en" w:bidi="ar"/>
        </w:rPr>
        <w:drawing>
          <wp:inline distT="0" distB="0" distL="114300" distR="114300">
            <wp:extent cx="5258435" cy="7431405"/>
            <wp:effectExtent l="0" t="0" r="18415" b="17145"/>
            <wp:docPr id="5" name="图片 5" descr="11-板场乡-02-乡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11-板场乡-02-乡域国土空间总体格局规划图"/>
                    <pic:cNvPicPr>
                      <a:picLocks noChangeAspect="true"/>
                    </pic:cNvPicPr>
                  </pic:nvPicPr>
                  <pic:blipFill>
                    <a:blip r:embed="rId15"/>
                    <a:stretch>
                      <a:fillRect/>
                    </a:stretch>
                  </pic:blipFill>
                  <pic:spPr>
                    <a:xfrm>
                      <a:off x="0" y="0"/>
                      <a:ext cx="5258435" cy="743140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4" name="图片 4" descr="11-板场乡-03-乡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1-板场乡-03-乡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3" name="图片 3" descr="11-板场乡-04-乡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11-板场乡-04-乡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58435" cy="7431405"/>
            <wp:effectExtent l="0" t="0" r="18415" b="17145"/>
            <wp:docPr id="2" name="图片 2" descr="11-板场乡-05-乡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11-板场乡-05-乡域综合交通规划图"/>
                    <pic:cNvPicPr>
                      <a:picLocks noChangeAspect="true"/>
                    </pic:cNvPicPr>
                  </pic:nvPicPr>
                  <pic:blipFill>
                    <a:blip r:embed="rId18"/>
                    <a:stretch>
                      <a:fillRect/>
                    </a:stretch>
                  </pic:blipFill>
                  <pic:spPr>
                    <a:xfrm>
                      <a:off x="0" y="0"/>
                      <a:ext cx="5258435" cy="7431405"/>
                    </a:xfrm>
                    <a:prstGeom prst="rect">
                      <a:avLst/>
                    </a:prstGeom>
                  </pic:spPr>
                </pic:pic>
              </a:graphicData>
            </a:graphic>
          </wp:inline>
        </w:drawing>
      </w:r>
      <w:bookmarkStart w:id="184" w:name="_GoBack"/>
      <w:r>
        <w:rPr>
          <w:rFonts w:hint="default"/>
          <w:lang w:val="en" w:bidi="ar"/>
        </w:rPr>
        <w:drawing>
          <wp:inline distT="0" distB="0" distL="114300" distR="114300">
            <wp:extent cx="5227320" cy="3698875"/>
            <wp:effectExtent l="0" t="0" r="11430" b="15875"/>
            <wp:docPr id="1" name="图片 1" descr="11-板场乡-06-集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11-板场乡-06-集镇区国土空间用地规划图"/>
                    <pic:cNvPicPr>
                      <a:picLocks noChangeAspect="true"/>
                    </pic:cNvPicPr>
                  </pic:nvPicPr>
                  <pic:blipFill>
                    <a:blip r:embed="rId19"/>
                    <a:stretch>
                      <a:fillRect/>
                    </a:stretch>
                  </pic:blipFill>
                  <pic:spPr>
                    <a:xfrm>
                      <a:off x="0" y="0"/>
                      <a:ext cx="5227320" cy="3698875"/>
                    </a:xfrm>
                    <a:prstGeom prst="rect">
                      <a:avLst/>
                    </a:prstGeom>
                  </pic:spPr>
                </pic:pic>
              </a:graphicData>
            </a:graphic>
          </wp:inline>
        </w:drawing>
      </w:r>
      <w:bookmarkEnd w:id="184"/>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EF3348"/>
    <w:multiLevelType w:val="multilevel"/>
    <w:tmpl w:val="78EF3348"/>
    <w:lvl w:ilvl="0" w:tentative="0">
      <w:start w:val="1"/>
      <w:numFmt w:val="chineseCountingThousand"/>
      <w:pStyle w:val="2"/>
      <w:suff w:val="space"/>
      <w:lvlText w:val="第%1章 "/>
      <w:lvlJc w:val="left"/>
      <w:pPr>
        <w:ind w:left="1135" w:firstLine="0"/>
      </w:pPr>
    </w:lvl>
    <w:lvl w:ilvl="1" w:tentative="0">
      <w:start w:val="1"/>
      <w:numFmt w:val="chineseCountingThousand"/>
      <w:pStyle w:val="3"/>
      <w:suff w:val="space"/>
      <w:lvlText w:val="第%2节 "/>
      <w:lvlJc w:val="left"/>
      <w:pPr>
        <w:ind w:left="1702" w:firstLine="0"/>
      </w:pPr>
    </w:lvl>
    <w:lvl w:ilvl="2" w:tentative="0">
      <w:start w:val="1"/>
      <w:numFmt w:val="decimal"/>
      <w:lvlRestart w:val="0"/>
      <w:pStyle w:val="4"/>
      <w:isLgl/>
      <w:suff w:val="space"/>
      <w:lvlText w:val="第%3条 "/>
      <w:lvlJc w:val="left"/>
      <w:pPr>
        <w:ind w:left="568" w:firstLine="0"/>
      </w:pPr>
    </w:lvl>
    <w:lvl w:ilvl="3" w:tentative="0">
      <w:start w:val="1"/>
      <w:numFmt w:val="decimal"/>
      <w:pStyle w:val="5"/>
      <w:isLgl/>
      <w:suff w:val="nothing"/>
      <w:lvlText w:val="%4."/>
      <w:lvlJc w:val="left"/>
      <w:pPr>
        <w:ind w:left="-141" w:firstLine="425"/>
      </w:pPr>
    </w:lvl>
    <w:lvl w:ilvl="4" w:tentative="0">
      <w:start w:val="1"/>
      <w:numFmt w:val="decimal"/>
      <w:pStyle w:val="6"/>
      <w:isLgl/>
      <w:suff w:val="nothing"/>
      <w:lvlText w:val="（%5）"/>
      <w:lvlJc w:val="left"/>
      <w:pPr>
        <w:ind w:left="0" w:firstLine="340"/>
      </w:pPr>
    </w:lvl>
    <w:lvl w:ilvl="5" w:tentative="0">
      <w:start w:val="1"/>
      <w:numFmt w:val="decimal"/>
      <w:lvlRestart w:val="1"/>
      <w:isLgl/>
      <w:suff w:val="nothing"/>
      <w:lvlText w:val="附表%6："/>
      <w:lvlJc w:val="left"/>
      <w:pPr>
        <w:ind w:left="0" w:firstLine="0"/>
      </w:pPr>
    </w:lvl>
    <w:lvl w:ilvl="6" w:tentative="0">
      <w:start w:val="1"/>
      <w:numFmt w:val="decimal"/>
      <w:lvlRestart w:val="4"/>
      <w:isLgl/>
      <w:suff w:val="nothing"/>
      <w:lvlText w:val="（%7）"/>
      <w:lvlJc w:val="left"/>
      <w:pPr>
        <w:ind w:left="0" w:firstLine="340"/>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CD2"/>
    <w:rsid w:val="00010057"/>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614B"/>
    <w:rsid w:val="000401C8"/>
    <w:rsid w:val="00042AF6"/>
    <w:rsid w:val="00042E60"/>
    <w:rsid w:val="00043914"/>
    <w:rsid w:val="00043D07"/>
    <w:rsid w:val="00044269"/>
    <w:rsid w:val="00044A6C"/>
    <w:rsid w:val="00044E71"/>
    <w:rsid w:val="00046257"/>
    <w:rsid w:val="00046BBF"/>
    <w:rsid w:val="00046E46"/>
    <w:rsid w:val="0004772B"/>
    <w:rsid w:val="0005003D"/>
    <w:rsid w:val="00051283"/>
    <w:rsid w:val="0005170E"/>
    <w:rsid w:val="000522AA"/>
    <w:rsid w:val="00053B04"/>
    <w:rsid w:val="00056EF1"/>
    <w:rsid w:val="0005723A"/>
    <w:rsid w:val="0005724D"/>
    <w:rsid w:val="00062C5F"/>
    <w:rsid w:val="00063F69"/>
    <w:rsid w:val="000649D6"/>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930"/>
    <w:rsid w:val="000A2C0B"/>
    <w:rsid w:val="000A3B02"/>
    <w:rsid w:val="000A4529"/>
    <w:rsid w:val="000A5030"/>
    <w:rsid w:val="000A50E0"/>
    <w:rsid w:val="000A52E7"/>
    <w:rsid w:val="000A534F"/>
    <w:rsid w:val="000A5430"/>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E0444"/>
    <w:rsid w:val="000E0F8D"/>
    <w:rsid w:val="000E1E0F"/>
    <w:rsid w:val="000E2292"/>
    <w:rsid w:val="000E2A07"/>
    <w:rsid w:val="000E2A20"/>
    <w:rsid w:val="000E324F"/>
    <w:rsid w:val="000E35FD"/>
    <w:rsid w:val="000E410B"/>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7CF"/>
    <w:rsid w:val="00106AE3"/>
    <w:rsid w:val="00107FC3"/>
    <w:rsid w:val="00110059"/>
    <w:rsid w:val="001105F1"/>
    <w:rsid w:val="00110ED6"/>
    <w:rsid w:val="00111100"/>
    <w:rsid w:val="001129D8"/>
    <w:rsid w:val="00113B52"/>
    <w:rsid w:val="00113C92"/>
    <w:rsid w:val="00114E92"/>
    <w:rsid w:val="00116D01"/>
    <w:rsid w:val="00120488"/>
    <w:rsid w:val="001204CF"/>
    <w:rsid w:val="00120A0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381F"/>
    <w:rsid w:val="00134387"/>
    <w:rsid w:val="00136B98"/>
    <w:rsid w:val="001371F4"/>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6A88"/>
    <w:rsid w:val="0015738E"/>
    <w:rsid w:val="00157548"/>
    <w:rsid w:val="0016018D"/>
    <w:rsid w:val="0016071B"/>
    <w:rsid w:val="00160744"/>
    <w:rsid w:val="00160A7E"/>
    <w:rsid w:val="001617AD"/>
    <w:rsid w:val="00161CCC"/>
    <w:rsid w:val="001674E7"/>
    <w:rsid w:val="00167698"/>
    <w:rsid w:val="00170A73"/>
    <w:rsid w:val="00170F66"/>
    <w:rsid w:val="0017172C"/>
    <w:rsid w:val="0017263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5251"/>
    <w:rsid w:val="001B6117"/>
    <w:rsid w:val="001B621A"/>
    <w:rsid w:val="001B73C7"/>
    <w:rsid w:val="001C0BB2"/>
    <w:rsid w:val="001C0F1D"/>
    <w:rsid w:val="001C1416"/>
    <w:rsid w:val="001C1AAB"/>
    <w:rsid w:val="001C216E"/>
    <w:rsid w:val="001C28BC"/>
    <w:rsid w:val="001C4927"/>
    <w:rsid w:val="001C68A6"/>
    <w:rsid w:val="001C7E81"/>
    <w:rsid w:val="001D0529"/>
    <w:rsid w:val="001D0D58"/>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490"/>
    <w:rsid w:val="00201631"/>
    <w:rsid w:val="00201F70"/>
    <w:rsid w:val="002023C0"/>
    <w:rsid w:val="0020243D"/>
    <w:rsid w:val="00202D2C"/>
    <w:rsid w:val="002040CD"/>
    <w:rsid w:val="00204C4D"/>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4BF6"/>
    <w:rsid w:val="002357AA"/>
    <w:rsid w:val="00235B3B"/>
    <w:rsid w:val="00235EFC"/>
    <w:rsid w:val="00237CD9"/>
    <w:rsid w:val="0024154E"/>
    <w:rsid w:val="00241DCC"/>
    <w:rsid w:val="00242391"/>
    <w:rsid w:val="002466B6"/>
    <w:rsid w:val="002516C3"/>
    <w:rsid w:val="002519E5"/>
    <w:rsid w:val="002522BE"/>
    <w:rsid w:val="0025290E"/>
    <w:rsid w:val="00253CAE"/>
    <w:rsid w:val="0025432E"/>
    <w:rsid w:val="00256485"/>
    <w:rsid w:val="00260EA9"/>
    <w:rsid w:val="00261A81"/>
    <w:rsid w:val="0026390F"/>
    <w:rsid w:val="00263D89"/>
    <w:rsid w:val="002649E9"/>
    <w:rsid w:val="00266A10"/>
    <w:rsid w:val="0026767C"/>
    <w:rsid w:val="00267805"/>
    <w:rsid w:val="00271E06"/>
    <w:rsid w:val="002730E2"/>
    <w:rsid w:val="0027483B"/>
    <w:rsid w:val="00274AB8"/>
    <w:rsid w:val="00275466"/>
    <w:rsid w:val="002809B3"/>
    <w:rsid w:val="00280A41"/>
    <w:rsid w:val="00282556"/>
    <w:rsid w:val="00282A78"/>
    <w:rsid w:val="00285171"/>
    <w:rsid w:val="002858A9"/>
    <w:rsid w:val="00287750"/>
    <w:rsid w:val="002909DB"/>
    <w:rsid w:val="002927A2"/>
    <w:rsid w:val="00293283"/>
    <w:rsid w:val="00293304"/>
    <w:rsid w:val="0029353D"/>
    <w:rsid w:val="0029563F"/>
    <w:rsid w:val="0029594D"/>
    <w:rsid w:val="00295CF8"/>
    <w:rsid w:val="00296C9A"/>
    <w:rsid w:val="00296F9B"/>
    <w:rsid w:val="002971CF"/>
    <w:rsid w:val="00297F42"/>
    <w:rsid w:val="002A0B80"/>
    <w:rsid w:val="002A0C66"/>
    <w:rsid w:val="002A0F24"/>
    <w:rsid w:val="002A1DB3"/>
    <w:rsid w:val="002A32FD"/>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AA6"/>
    <w:rsid w:val="002B7E47"/>
    <w:rsid w:val="002C11EE"/>
    <w:rsid w:val="002C2A13"/>
    <w:rsid w:val="002C2E92"/>
    <w:rsid w:val="002C3825"/>
    <w:rsid w:val="002C398A"/>
    <w:rsid w:val="002C3FB6"/>
    <w:rsid w:val="002C42F2"/>
    <w:rsid w:val="002C46E9"/>
    <w:rsid w:val="002C51F4"/>
    <w:rsid w:val="002C6201"/>
    <w:rsid w:val="002C6673"/>
    <w:rsid w:val="002C719A"/>
    <w:rsid w:val="002C786B"/>
    <w:rsid w:val="002C7CBE"/>
    <w:rsid w:val="002D05EF"/>
    <w:rsid w:val="002D157C"/>
    <w:rsid w:val="002D1C3F"/>
    <w:rsid w:val="002D36AE"/>
    <w:rsid w:val="002D3839"/>
    <w:rsid w:val="002D3FFB"/>
    <w:rsid w:val="002D5611"/>
    <w:rsid w:val="002D6047"/>
    <w:rsid w:val="002D6E59"/>
    <w:rsid w:val="002D7CD8"/>
    <w:rsid w:val="002D7FB1"/>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36E8"/>
    <w:rsid w:val="002F529A"/>
    <w:rsid w:val="002F5BB4"/>
    <w:rsid w:val="002F5BB5"/>
    <w:rsid w:val="002F6661"/>
    <w:rsid w:val="002F6D93"/>
    <w:rsid w:val="002F7EE7"/>
    <w:rsid w:val="0030002A"/>
    <w:rsid w:val="003008FB"/>
    <w:rsid w:val="00300F45"/>
    <w:rsid w:val="003014F3"/>
    <w:rsid w:val="00301643"/>
    <w:rsid w:val="00301649"/>
    <w:rsid w:val="0030170C"/>
    <w:rsid w:val="00301A91"/>
    <w:rsid w:val="00301AB5"/>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1A64"/>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1862"/>
    <w:rsid w:val="0034203C"/>
    <w:rsid w:val="00342ED0"/>
    <w:rsid w:val="00343111"/>
    <w:rsid w:val="003446F2"/>
    <w:rsid w:val="00344BB4"/>
    <w:rsid w:val="003457C2"/>
    <w:rsid w:val="00345BAA"/>
    <w:rsid w:val="00346168"/>
    <w:rsid w:val="003479E8"/>
    <w:rsid w:val="00347BFE"/>
    <w:rsid w:val="003533FF"/>
    <w:rsid w:val="00353EB6"/>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0A7"/>
    <w:rsid w:val="00365625"/>
    <w:rsid w:val="00370B52"/>
    <w:rsid w:val="003715FA"/>
    <w:rsid w:val="00371710"/>
    <w:rsid w:val="00371F8A"/>
    <w:rsid w:val="00372354"/>
    <w:rsid w:val="003723B0"/>
    <w:rsid w:val="00372E59"/>
    <w:rsid w:val="00373691"/>
    <w:rsid w:val="00373AFF"/>
    <w:rsid w:val="00373D30"/>
    <w:rsid w:val="00375CB6"/>
    <w:rsid w:val="003777F2"/>
    <w:rsid w:val="003819CB"/>
    <w:rsid w:val="00381A96"/>
    <w:rsid w:val="00383792"/>
    <w:rsid w:val="00383ED6"/>
    <w:rsid w:val="0038428F"/>
    <w:rsid w:val="00385823"/>
    <w:rsid w:val="0038737D"/>
    <w:rsid w:val="00390487"/>
    <w:rsid w:val="0039195F"/>
    <w:rsid w:val="003928A6"/>
    <w:rsid w:val="00392949"/>
    <w:rsid w:val="003929AC"/>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B0168"/>
    <w:rsid w:val="003B04E8"/>
    <w:rsid w:val="003B079D"/>
    <w:rsid w:val="003B0873"/>
    <w:rsid w:val="003B0E02"/>
    <w:rsid w:val="003B2BD1"/>
    <w:rsid w:val="003B2DED"/>
    <w:rsid w:val="003B52B9"/>
    <w:rsid w:val="003B5635"/>
    <w:rsid w:val="003B60A1"/>
    <w:rsid w:val="003B6113"/>
    <w:rsid w:val="003B64C7"/>
    <w:rsid w:val="003B6FE0"/>
    <w:rsid w:val="003B7790"/>
    <w:rsid w:val="003B78BD"/>
    <w:rsid w:val="003C0206"/>
    <w:rsid w:val="003C1846"/>
    <w:rsid w:val="003C1D78"/>
    <w:rsid w:val="003C2CDB"/>
    <w:rsid w:val="003C38B5"/>
    <w:rsid w:val="003C3E17"/>
    <w:rsid w:val="003C3E5B"/>
    <w:rsid w:val="003C545E"/>
    <w:rsid w:val="003C54EF"/>
    <w:rsid w:val="003C55CE"/>
    <w:rsid w:val="003C5616"/>
    <w:rsid w:val="003C6394"/>
    <w:rsid w:val="003C6B26"/>
    <w:rsid w:val="003C72FC"/>
    <w:rsid w:val="003C7A10"/>
    <w:rsid w:val="003D00C7"/>
    <w:rsid w:val="003D058C"/>
    <w:rsid w:val="003D0AD5"/>
    <w:rsid w:val="003D157E"/>
    <w:rsid w:val="003D2089"/>
    <w:rsid w:val="003D256E"/>
    <w:rsid w:val="003D35DA"/>
    <w:rsid w:val="003D3613"/>
    <w:rsid w:val="003D3EE8"/>
    <w:rsid w:val="003D4863"/>
    <w:rsid w:val="003D4BF0"/>
    <w:rsid w:val="003D64C4"/>
    <w:rsid w:val="003D6C0D"/>
    <w:rsid w:val="003D7D09"/>
    <w:rsid w:val="003D7F97"/>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FCF"/>
    <w:rsid w:val="003F30F5"/>
    <w:rsid w:val="003F329A"/>
    <w:rsid w:val="003F353C"/>
    <w:rsid w:val="003F3815"/>
    <w:rsid w:val="003F3CDE"/>
    <w:rsid w:val="003F5AFF"/>
    <w:rsid w:val="003F67FF"/>
    <w:rsid w:val="003F6B11"/>
    <w:rsid w:val="003F705A"/>
    <w:rsid w:val="003F7648"/>
    <w:rsid w:val="00400878"/>
    <w:rsid w:val="00401497"/>
    <w:rsid w:val="00402217"/>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45D9"/>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03B5"/>
    <w:rsid w:val="00431F22"/>
    <w:rsid w:val="00433217"/>
    <w:rsid w:val="004353C1"/>
    <w:rsid w:val="00436D72"/>
    <w:rsid w:val="00437936"/>
    <w:rsid w:val="004406DF"/>
    <w:rsid w:val="0044075D"/>
    <w:rsid w:val="004428C6"/>
    <w:rsid w:val="004429D3"/>
    <w:rsid w:val="004429FC"/>
    <w:rsid w:val="00442CAA"/>
    <w:rsid w:val="00443C3A"/>
    <w:rsid w:val="00444C58"/>
    <w:rsid w:val="00445125"/>
    <w:rsid w:val="00446B13"/>
    <w:rsid w:val="00450F69"/>
    <w:rsid w:val="00451163"/>
    <w:rsid w:val="00453CB9"/>
    <w:rsid w:val="00453D17"/>
    <w:rsid w:val="00454BB3"/>
    <w:rsid w:val="00455B41"/>
    <w:rsid w:val="00455B7B"/>
    <w:rsid w:val="00457530"/>
    <w:rsid w:val="00457668"/>
    <w:rsid w:val="004576AC"/>
    <w:rsid w:val="00460E75"/>
    <w:rsid w:val="00461586"/>
    <w:rsid w:val="00463148"/>
    <w:rsid w:val="00463153"/>
    <w:rsid w:val="00463983"/>
    <w:rsid w:val="00463D68"/>
    <w:rsid w:val="004640C5"/>
    <w:rsid w:val="00465924"/>
    <w:rsid w:val="00466189"/>
    <w:rsid w:val="00466F2F"/>
    <w:rsid w:val="00467D06"/>
    <w:rsid w:val="004713C0"/>
    <w:rsid w:val="00472422"/>
    <w:rsid w:val="004729FE"/>
    <w:rsid w:val="00472D78"/>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863C5"/>
    <w:rsid w:val="00491D05"/>
    <w:rsid w:val="0049319B"/>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5F88"/>
    <w:rsid w:val="004C75C9"/>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B23"/>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AFF"/>
    <w:rsid w:val="00503D38"/>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F9"/>
    <w:rsid w:val="00516E9C"/>
    <w:rsid w:val="005172CD"/>
    <w:rsid w:val="0051741E"/>
    <w:rsid w:val="0051775A"/>
    <w:rsid w:val="005201CF"/>
    <w:rsid w:val="00520600"/>
    <w:rsid w:val="005209A4"/>
    <w:rsid w:val="005213BD"/>
    <w:rsid w:val="00522D82"/>
    <w:rsid w:val="00522F8F"/>
    <w:rsid w:val="005241C8"/>
    <w:rsid w:val="00524E04"/>
    <w:rsid w:val="00524F1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50039"/>
    <w:rsid w:val="00552D05"/>
    <w:rsid w:val="00552E13"/>
    <w:rsid w:val="00553081"/>
    <w:rsid w:val="00553C22"/>
    <w:rsid w:val="0055431A"/>
    <w:rsid w:val="00554715"/>
    <w:rsid w:val="00554D99"/>
    <w:rsid w:val="005550EF"/>
    <w:rsid w:val="00555582"/>
    <w:rsid w:val="005557D4"/>
    <w:rsid w:val="00557720"/>
    <w:rsid w:val="005578BF"/>
    <w:rsid w:val="00560AC0"/>
    <w:rsid w:val="0056297F"/>
    <w:rsid w:val="0056325C"/>
    <w:rsid w:val="00564BFA"/>
    <w:rsid w:val="005709D7"/>
    <w:rsid w:val="005716D5"/>
    <w:rsid w:val="00571B3A"/>
    <w:rsid w:val="00573B30"/>
    <w:rsid w:val="00575112"/>
    <w:rsid w:val="00575472"/>
    <w:rsid w:val="005764F4"/>
    <w:rsid w:val="00576EA4"/>
    <w:rsid w:val="00576EBA"/>
    <w:rsid w:val="00576F28"/>
    <w:rsid w:val="00577799"/>
    <w:rsid w:val="005777D0"/>
    <w:rsid w:val="0057792C"/>
    <w:rsid w:val="00580229"/>
    <w:rsid w:val="00581158"/>
    <w:rsid w:val="005814FF"/>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5212"/>
    <w:rsid w:val="00595707"/>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B91"/>
    <w:rsid w:val="005C1F7C"/>
    <w:rsid w:val="005C2275"/>
    <w:rsid w:val="005C515D"/>
    <w:rsid w:val="005C5674"/>
    <w:rsid w:val="005C5D32"/>
    <w:rsid w:val="005C6C00"/>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5F7C5A"/>
    <w:rsid w:val="00601800"/>
    <w:rsid w:val="00601AAC"/>
    <w:rsid w:val="006051F1"/>
    <w:rsid w:val="0060554F"/>
    <w:rsid w:val="00606851"/>
    <w:rsid w:val="0060685D"/>
    <w:rsid w:val="00606EE5"/>
    <w:rsid w:val="006070D6"/>
    <w:rsid w:val="006075D6"/>
    <w:rsid w:val="00607B21"/>
    <w:rsid w:val="00613DAD"/>
    <w:rsid w:val="00616611"/>
    <w:rsid w:val="006223E9"/>
    <w:rsid w:val="00622533"/>
    <w:rsid w:val="00622F96"/>
    <w:rsid w:val="00623889"/>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37F49"/>
    <w:rsid w:val="006424EB"/>
    <w:rsid w:val="00642B3C"/>
    <w:rsid w:val="00643239"/>
    <w:rsid w:val="006432DB"/>
    <w:rsid w:val="00643638"/>
    <w:rsid w:val="006440C9"/>
    <w:rsid w:val="006446B5"/>
    <w:rsid w:val="006449AB"/>
    <w:rsid w:val="0064527A"/>
    <w:rsid w:val="006461BF"/>
    <w:rsid w:val="00647FBE"/>
    <w:rsid w:val="00651E14"/>
    <w:rsid w:val="00652EB5"/>
    <w:rsid w:val="006553F7"/>
    <w:rsid w:val="00655728"/>
    <w:rsid w:val="00655ECE"/>
    <w:rsid w:val="006600ED"/>
    <w:rsid w:val="00660BC2"/>
    <w:rsid w:val="0066156D"/>
    <w:rsid w:val="00661646"/>
    <w:rsid w:val="00663B38"/>
    <w:rsid w:val="00664D9F"/>
    <w:rsid w:val="00665520"/>
    <w:rsid w:val="0067219B"/>
    <w:rsid w:val="00672D34"/>
    <w:rsid w:val="0067411B"/>
    <w:rsid w:val="00674625"/>
    <w:rsid w:val="00675405"/>
    <w:rsid w:val="0067551B"/>
    <w:rsid w:val="00675CF5"/>
    <w:rsid w:val="00676001"/>
    <w:rsid w:val="00676340"/>
    <w:rsid w:val="006777A4"/>
    <w:rsid w:val="00677E55"/>
    <w:rsid w:val="00677E64"/>
    <w:rsid w:val="00680F95"/>
    <w:rsid w:val="00682354"/>
    <w:rsid w:val="006849F5"/>
    <w:rsid w:val="00685FA9"/>
    <w:rsid w:val="006862D4"/>
    <w:rsid w:val="00686658"/>
    <w:rsid w:val="006877BE"/>
    <w:rsid w:val="00687980"/>
    <w:rsid w:val="00690FD4"/>
    <w:rsid w:val="00691B31"/>
    <w:rsid w:val="0069234E"/>
    <w:rsid w:val="0069266B"/>
    <w:rsid w:val="00692867"/>
    <w:rsid w:val="00692D3C"/>
    <w:rsid w:val="00693193"/>
    <w:rsid w:val="00693368"/>
    <w:rsid w:val="00693C1D"/>
    <w:rsid w:val="00693F11"/>
    <w:rsid w:val="00694073"/>
    <w:rsid w:val="00694A0B"/>
    <w:rsid w:val="00694BA3"/>
    <w:rsid w:val="0069529C"/>
    <w:rsid w:val="00695339"/>
    <w:rsid w:val="0069600C"/>
    <w:rsid w:val="00697103"/>
    <w:rsid w:val="006A18A3"/>
    <w:rsid w:val="006A193E"/>
    <w:rsid w:val="006A1B4F"/>
    <w:rsid w:val="006A2244"/>
    <w:rsid w:val="006A3716"/>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C40"/>
    <w:rsid w:val="006B6C98"/>
    <w:rsid w:val="006C320F"/>
    <w:rsid w:val="006C3D59"/>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25C3"/>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C9"/>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6260"/>
    <w:rsid w:val="00726B92"/>
    <w:rsid w:val="007275B9"/>
    <w:rsid w:val="0073050B"/>
    <w:rsid w:val="007307C0"/>
    <w:rsid w:val="0073173D"/>
    <w:rsid w:val="00731AF6"/>
    <w:rsid w:val="00731F7E"/>
    <w:rsid w:val="007323F5"/>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5D8E"/>
    <w:rsid w:val="00756225"/>
    <w:rsid w:val="00756804"/>
    <w:rsid w:val="00757037"/>
    <w:rsid w:val="00760282"/>
    <w:rsid w:val="00760455"/>
    <w:rsid w:val="007604D4"/>
    <w:rsid w:val="00761035"/>
    <w:rsid w:val="007614F2"/>
    <w:rsid w:val="00762B27"/>
    <w:rsid w:val="007637A0"/>
    <w:rsid w:val="00763DD9"/>
    <w:rsid w:val="00765356"/>
    <w:rsid w:val="00765DDB"/>
    <w:rsid w:val="00766B5A"/>
    <w:rsid w:val="00766B9F"/>
    <w:rsid w:val="0076713C"/>
    <w:rsid w:val="00770489"/>
    <w:rsid w:val="00770578"/>
    <w:rsid w:val="00771B12"/>
    <w:rsid w:val="00771C5F"/>
    <w:rsid w:val="00773F83"/>
    <w:rsid w:val="00775CB3"/>
    <w:rsid w:val="007772C0"/>
    <w:rsid w:val="007772DF"/>
    <w:rsid w:val="00777CA0"/>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F76"/>
    <w:rsid w:val="007C6717"/>
    <w:rsid w:val="007C7D70"/>
    <w:rsid w:val="007D21FA"/>
    <w:rsid w:val="007D2B25"/>
    <w:rsid w:val="007D3B78"/>
    <w:rsid w:val="007D431F"/>
    <w:rsid w:val="007D5793"/>
    <w:rsid w:val="007D582A"/>
    <w:rsid w:val="007D5E08"/>
    <w:rsid w:val="007D6CDD"/>
    <w:rsid w:val="007D6D2E"/>
    <w:rsid w:val="007D7072"/>
    <w:rsid w:val="007E091D"/>
    <w:rsid w:val="007E167A"/>
    <w:rsid w:val="007E2928"/>
    <w:rsid w:val="007E5B56"/>
    <w:rsid w:val="007E5E69"/>
    <w:rsid w:val="007E5F65"/>
    <w:rsid w:val="007E69A0"/>
    <w:rsid w:val="007E6FAA"/>
    <w:rsid w:val="007F0AB5"/>
    <w:rsid w:val="007F22AE"/>
    <w:rsid w:val="007F2FD5"/>
    <w:rsid w:val="007F3A4D"/>
    <w:rsid w:val="007F3B1E"/>
    <w:rsid w:val="007F3B8D"/>
    <w:rsid w:val="007F3CAA"/>
    <w:rsid w:val="007F4B08"/>
    <w:rsid w:val="007F4D9B"/>
    <w:rsid w:val="007F5803"/>
    <w:rsid w:val="007F5A81"/>
    <w:rsid w:val="007F63D9"/>
    <w:rsid w:val="007F65F6"/>
    <w:rsid w:val="007F6D86"/>
    <w:rsid w:val="007F6E25"/>
    <w:rsid w:val="0080254A"/>
    <w:rsid w:val="0080270E"/>
    <w:rsid w:val="00802740"/>
    <w:rsid w:val="00802B77"/>
    <w:rsid w:val="00802C36"/>
    <w:rsid w:val="008031FA"/>
    <w:rsid w:val="008031FF"/>
    <w:rsid w:val="00803821"/>
    <w:rsid w:val="008039E1"/>
    <w:rsid w:val="008039EE"/>
    <w:rsid w:val="00803FD1"/>
    <w:rsid w:val="00804709"/>
    <w:rsid w:val="00804917"/>
    <w:rsid w:val="00805B8F"/>
    <w:rsid w:val="00810588"/>
    <w:rsid w:val="00811EAE"/>
    <w:rsid w:val="008124C8"/>
    <w:rsid w:val="00813B9C"/>
    <w:rsid w:val="008144E4"/>
    <w:rsid w:val="008147E9"/>
    <w:rsid w:val="00816D91"/>
    <w:rsid w:val="00816E35"/>
    <w:rsid w:val="00817438"/>
    <w:rsid w:val="008174BC"/>
    <w:rsid w:val="00817809"/>
    <w:rsid w:val="00820932"/>
    <w:rsid w:val="00821683"/>
    <w:rsid w:val="00821907"/>
    <w:rsid w:val="008228E0"/>
    <w:rsid w:val="00823CF1"/>
    <w:rsid w:val="00823E8D"/>
    <w:rsid w:val="008244D2"/>
    <w:rsid w:val="008270C4"/>
    <w:rsid w:val="00827522"/>
    <w:rsid w:val="008277B9"/>
    <w:rsid w:val="00827A00"/>
    <w:rsid w:val="00830586"/>
    <w:rsid w:val="0083209B"/>
    <w:rsid w:val="008321E8"/>
    <w:rsid w:val="00832AD2"/>
    <w:rsid w:val="00835613"/>
    <w:rsid w:val="00836279"/>
    <w:rsid w:val="00836658"/>
    <w:rsid w:val="00837D9C"/>
    <w:rsid w:val="0084053D"/>
    <w:rsid w:val="00842F76"/>
    <w:rsid w:val="00845884"/>
    <w:rsid w:val="008476A4"/>
    <w:rsid w:val="00847D37"/>
    <w:rsid w:val="008514A8"/>
    <w:rsid w:val="00851704"/>
    <w:rsid w:val="008519A8"/>
    <w:rsid w:val="00851B3D"/>
    <w:rsid w:val="00852BB3"/>
    <w:rsid w:val="0085309F"/>
    <w:rsid w:val="00853513"/>
    <w:rsid w:val="008537BC"/>
    <w:rsid w:val="00853C11"/>
    <w:rsid w:val="00853E70"/>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A4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DC7"/>
    <w:rsid w:val="008A18EF"/>
    <w:rsid w:val="008A2EB0"/>
    <w:rsid w:val="008A3D64"/>
    <w:rsid w:val="008A620D"/>
    <w:rsid w:val="008A6BDD"/>
    <w:rsid w:val="008B0056"/>
    <w:rsid w:val="008B0383"/>
    <w:rsid w:val="008B1963"/>
    <w:rsid w:val="008B1AD7"/>
    <w:rsid w:val="008B4730"/>
    <w:rsid w:val="008B47E8"/>
    <w:rsid w:val="008B49B9"/>
    <w:rsid w:val="008B4FB6"/>
    <w:rsid w:val="008B5D61"/>
    <w:rsid w:val="008B6100"/>
    <w:rsid w:val="008B6FA2"/>
    <w:rsid w:val="008B7131"/>
    <w:rsid w:val="008C0651"/>
    <w:rsid w:val="008C1BCB"/>
    <w:rsid w:val="008C3817"/>
    <w:rsid w:val="008C4408"/>
    <w:rsid w:val="008C46E3"/>
    <w:rsid w:val="008C59C7"/>
    <w:rsid w:val="008C652B"/>
    <w:rsid w:val="008C71A1"/>
    <w:rsid w:val="008C7885"/>
    <w:rsid w:val="008C7993"/>
    <w:rsid w:val="008D24D5"/>
    <w:rsid w:val="008D2E13"/>
    <w:rsid w:val="008D31D8"/>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3AB"/>
    <w:rsid w:val="00914A77"/>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B7D"/>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54FA"/>
    <w:rsid w:val="00955802"/>
    <w:rsid w:val="00955B0B"/>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4A3D"/>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6797"/>
    <w:rsid w:val="009B6CEE"/>
    <w:rsid w:val="009B6D95"/>
    <w:rsid w:val="009C1B00"/>
    <w:rsid w:val="009C1D48"/>
    <w:rsid w:val="009C287A"/>
    <w:rsid w:val="009C3BE9"/>
    <w:rsid w:val="009C44C6"/>
    <w:rsid w:val="009C451B"/>
    <w:rsid w:val="009C69B3"/>
    <w:rsid w:val="009C6CB6"/>
    <w:rsid w:val="009C7CB2"/>
    <w:rsid w:val="009D0601"/>
    <w:rsid w:val="009D342B"/>
    <w:rsid w:val="009D5E5A"/>
    <w:rsid w:val="009D6089"/>
    <w:rsid w:val="009D618B"/>
    <w:rsid w:val="009D671B"/>
    <w:rsid w:val="009D6D26"/>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20003"/>
    <w:rsid w:val="00A203BB"/>
    <w:rsid w:val="00A23538"/>
    <w:rsid w:val="00A262EC"/>
    <w:rsid w:val="00A27675"/>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5453"/>
    <w:rsid w:val="00A46443"/>
    <w:rsid w:val="00A47517"/>
    <w:rsid w:val="00A5075E"/>
    <w:rsid w:val="00A51429"/>
    <w:rsid w:val="00A51D40"/>
    <w:rsid w:val="00A52E98"/>
    <w:rsid w:val="00A538D5"/>
    <w:rsid w:val="00A5457C"/>
    <w:rsid w:val="00A554A0"/>
    <w:rsid w:val="00A55EB8"/>
    <w:rsid w:val="00A56900"/>
    <w:rsid w:val="00A5764C"/>
    <w:rsid w:val="00A60006"/>
    <w:rsid w:val="00A6129B"/>
    <w:rsid w:val="00A61794"/>
    <w:rsid w:val="00A6261C"/>
    <w:rsid w:val="00A62A9C"/>
    <w:rsid w:val="00A62DBE"/>
    <w:rsid w:val="00A62EFC"/>
    <w:rsid w:val="00A65A02"/>
    <w:rsid w:val="00A66C1D"/>
    <w:rsid w:val="00A678CD"/>
    <w:rsid w:val="00A67F34"/>
    <w:rsid w:val="00A70B08"/>
    <w:rsid w:val="00A71250"/>
    <w:rsid w:val="00A713A7"/>
    <w:rsid w:val="00A72C4D"/>
    <w:rsid w:val="00A72FFC"/>
    <w:rsid w:val="00A73729"/>
    <w:rsid w:val="00A73E05"/>
    <w:rsid w:val="00A751FE"/>
    <w:rsid w:val="00A753C0"/>
    <w:rsid w:val="00A75B67"/>
    <w:rsid w:val="00A75C4E"/>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601B"/>
    <w:rsid w:val="00A87C0A"/>
    <w:rsid w:val="00A87DA4"/>
    <w:rsid w:val="00A9055C"/>
    <w:rsid w:val="00A90A5F"/>
    <w:rsid w:val="00A912EC"/>
    <w:rsid w:val="00A916C9"/>
    <w:rsid w:val="00A932E7"/>
    <w:rsid w:val="00A9372E"/>
    <w:rsid w:val="00A9425E"/>
    <w:rsid w:val="00A95C8E"/>
    <w:rsid w:val="00A966DD"/>
    <w:rsid w:val="00A9754A"/>
    <w:rsid w:val="00A97D6D"/>
    <w:rsid w:val="00AA0FB9"/>
    <w:rsid w:val="00AA108E"/>
    <w:rsid w:val="00AA1D1C"/>
    <w:rsid w:val="00AA2666"/>
    <w:rsid w:val="00AA30CD"/>
    <w:rsid w:val="00AA3D21"/>
    <w:rsid w:val="00AA4592"/>
    <w:rsid w:val="00AA4B7A"/>
    <w:rsid w:val="00AA5427"/>
    <w:rsid w:val="00AA69C9"/>
    <w:rsid w:val="00AA7433"/>
    <w:rsid w:val="00AB00B9"/>
    <w:rsid w:val="00AB2E6B"/>
    <w:rsid w:val="00AB402A"/>
    <w:rsid w:val="00AB5064"/>
    <w:rsid w:val="00AB534C"/>
    <w:rsid w:val="00AB53EB"/>
    <w:rsid w:val="00AB63F6"/>
    <w:rsid w:val="00AB6FE4"/>
    <w:rsid w:val="00AB7704"/>
    <w:rsid w:val="00AB7D1C"/>
    <w:rsid w:val="00AC2285"/>
    <w:rsid w:val="00AC2854"/>
    <w:rsid w:val="00AC2967"/>
    <w:rsid w:val="00AC2C80"/>
    <w:rsid w:val="00AC3B34"/>
    <w:rsid w:val="00AC40BD"/>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481"/>
    <w:rsid w:val="00AF060F"/>
    <w:rsid w:val="00AF0891"/>
    <w:rsid w:val="00AF0A29"/>
    <w:rsid w:val="00AF152B"/>
    <w:rsid w:val="00AF268B"/>
    <w:rsid w:val="00AF28A1"/>
    <w:rsid w:val="00AF3521"/>
    <w:rsid w:val="00AF3900"/>
    <w:rsid w:val="00AF5B81"/>
    <w:rsid w:val="00B0017A"/>
    <w:rsid w:val="00B01138"/>
    <w:rsid w:val="00B01218"/>
    <w:rsid w:val="00B01676"/>
    <w:rsid w:val="00B03599"/>
    <w:rsid w:val="00B04DC3"/>
    <w:rsid w:val="00B05981"/>
    <w:rsid w:val="00B05FF9"/>
    <w:rsid w:val="00B061B9"/>
    <w:rsid w:val="00B10153"/>
    <w:rsid w:val="00B105A7"/>
    <w:rsid w:val="00B105CB"/>
    <w:rsid w:val="00B1179F"/>
    <w:rsid w:val="00B13121"/>
    <w:rsid w:val="00B134C6"/>
    <w:rsid w:val="00B13C16"/>
    <w:rsid w:val="00B14D3B"/>
    <w:rsid w:val="00B155AF"/>
    <w:rsid w:val="00B1632B"/>
    <w:rsid w:val="00B16559"/>
    <w:rsid w:val="00B16D30"/>
    <w:rsid w:val="00B17E60"/>
    <w:rsid w:val="00B211C6"/>
    <w:rsid w:val="00B21979"/>
    <w:rsid w:val="00B22230"/>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45F3"/>
    <w:rsid w:val="00B45625"/>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0523"/>
    <w:rsid w:val="00B7123F"/>
    <w:rsid w:val="00B71328"/>
    <w:rsid w:val="00B735EE"/>
    <w:rsid w:val="00B7387D"/>
    <w:rsid w:val="00B750E1"/>
    <w:rsid w:val="00B751CA"/>
    <w:rsid w:val="00B76215"/>
    <w:rsid w:val="00B804BD"/>
    <w:rsid w:val="00B811A4"/>
    <w:rsid w:val="00B814D0"/>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97D0C"/>
    <w:rsid w:val="00BA0F35"/>
    <w:rsid w:val="00BA1F77"/>
    <w:rsid w:val="00BA260C"/>
    <w:rsid w:val="00BA2D9E"/>
    <w:rsid w:val="00BA3090"/>
    <w:rsid w:val="00BA38BB"/>
    <w:rsid w:val="00BA3BF9"/>
    <w:rsid w:val="00BA5313"/>
    <w:rsid w:val="00BA770C"/>
    <w:rsid w:val="00BA77D9"/>
    <w:rsid w:val="00BA7FE1"/>
    <w:rsid w:val="00BB0415"/>
    <w:rsid w:val="00BB049D"/>
    <w:rsid w:val="00BB0DE7"/>
    <w:rsid w:val="00BB1A15"/>
    <w:rsid w:val="00BB2B2E"/>
    <w:rsid w:val="00BB37BF"/>
    <w:rsid w:val="00BB3DFB"/>
    <w:rsid w:val="00BB41DC"/>
    <w:rsid w:val="00BB4CA8"/>
    <w:rsid w:val="00BB5D41"/>
    <w:rsid w:val="00BB68A4"/>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20C"/>
    <w:rsid w:val="00BD1D4B"/>
    <w:rsid w:val="00BD202B"/>
    <w:rsid w:val="00BD370B"/>
    <w:rsid w:val="00BD3A47"/>
    <w:rsid w:val="00BD3A7B"/>
    <w:rsid w:val="00BD4D8B"/>
    <w:rsid w:val="00BD50DB"/>
    <w:rsid w:val="00BD61C7"/>
    <w:rsid w:val="00BD70C7"/>
    <w:rsid w:val="00BD7506"/>
    <w:rsid w:val="00BE0593"/>
    <w:rsid w:val="00BE1774"/>
    <w:rsid w:val="00BE24AD"/>
    <w:rsid w:val="00BE284E"/>
    <w:rsid w:val="00BE3BAA"/>
    <w:rsid w:val="00BE493F"/>
    <w:rsid w:val="00BE54CC"/>
    <w:rsid w:val="00BE781F"/>
    <w:rsid w:val="00BF06BD"/>
    <w:rsid w:val="00BF08BA"/>
    <w:rsid w:val="00BF09F8"/>
    <w:rsid w:val="00BF12CB"/>
    <w:rsid w:val="00BF17EA"/>
    <w:rsid w:val="00BF1B2A"/>
    <w:rsid w:val="00BF1DB0"/>
    <w:rsid w:val="00BF2E31"/>
    <w:rsid w:val="00BF3AAB"/>
    <w:rsid w:val="00BF4EE8"/>
    <w:rsid w:val="00BF590C"/>
    <w:rsid w:val="00BF6E9D"/>
    <w:rsid w:val="00BF7841"/>
    <w:rsid w:val="00C0094B"/>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775C"/>
    <w:rsid w:val="00C20467"/>
    <w:rsid w:val="00C21A87"/>
    <w:rsid w:val="00C21E60"/>
    <w:rsid w:val="00C237FE"/>
    <w:rsid w:val="00C23952"/>
    <w:rsid w:val="00C23B94"/>
    <w:rsid w:val="00C252BF"/>
    <w:rsid w:val="00C25664"/>
    <w:rsid w:val="00C25DC9"/>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50242"/>
    <w:rsid w:val="00C505B1"/>
    <w:rsid w:val="00C5113A"/>
    <w:rsid w:val="00C5192F"/>
    <w:rsid w:val="00C52A7F"/>
    <w:rsid w:val="00C52E39"/>
    <w:rsid w:val="00C55882"/>
    <w:rsid w:val="00C55BED"/>
    <w:rsid w:val="00C56C27"/>
    <w:rsid w:val="00C60C99"/>
    <w:rsid w:val="00C63037"/>
    <w:rsid w:val="00C6347C"/>
    <w:rsid w:val="00C64410"/>
    <w:rsid w:val="00C647E9"/>
    <w:rsid w:val="00C66D1A"/>
    <w:rsid w:val="00C66EE4"/>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7025"/>
    <w:rsid w:val="00CC75FE"/>
    <w:rsid w:val="00CD4DD4"/>
    <w:rsid w:val="00CD57D1"/>
    <w:rsid w:val="00CD57DB"/>
    <w:rsid w:val="00CD7853"/>
    <w:rsid w:val="00CE01D3"/>
    <w:rsid w:val="00CE173A"/>
    <w:rsid w:val="00CE1851"/>
    <w:rsid w:val="00CE22E2"/>
    <w:rsid w:val="00CE23BF"/>
    <w:rsid w:val="00CE23FA"/>
    <w:rsid w:val="00CE2B1B"/>
    <w:rsid w:val="00CE4BA6"/>
    <w:rsid w:val="00CE4C47"/>
    <w:rsid w:val="00CE5A68"/>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07CA9"/>
    <w:rsid w:val="00D10968"/>
    <w:rsid w:val="00D10C50"/>
    <w:rsid w:val="00D1192E"/>
    <w:rsid w:val="00D130E9"/>
    <w:rsid w:val="00D1452E"/>
    <w:rsid w:val="00D14AF1"/>
    <w:rsid w:val="00D15609"/>
    <w:rsid w:val="00D157AF"/>
    <w:rsid w:val="00D15D79"/>
    <w:rsid w:val="00D15F19"/>
    <w:rsid w:val="00D16C11"/>
    <w:rsid w:val="00D16F40"/>
    <w:rsid w:val="00D16F44"/>
    <w:rsid w:val="00D17196"/>
    <w:rsid w:val="00D20A14"/>
    <w:rsid w:val="00D21096"/>
    <w:rsid w:val="00D21201"/>
    <w:rsid w:val="00D21308"/>
    <w:rsid w:val="00D21929"/>
    <w:rsid w:val="00D219BC"/>
    <w:rsid w:val="00D228AD"/>
    <w:rsid w:val="00D246D7"/>
    <w:rsid w:val="00D252D6"/>
    <w:rsid w:val="00D25452"/>
    <w:rsid w:val="00D25B15"/>
    <w:rsid w:val="00D26C8D"/>
    <w:rsid w:val="00D2780A"/>
    <w:rsid w:val="00D2780D"/>
    <w:rsid w:val="00D27F13"/>
    <w:rsid w:val="00D304B3"/>
    <w:rsid w:val="00D30682"/>
    <w:rsid w:val="00D307BD"/>
    <w:rsid w:val="00D312CD"/>
    <w:rsid w:val="00D32008"/>
    <w:rsid w:val="00D331B3"/>
    <w:rsid w:val="00D3340A"/>
    <w:rsid w:val="00D33889"/>
    <w:rsid w:val="00D3388C"/>
    <w:rsid w:val="00D37275"/>
    <w:rsid w:val="00D377A7"/>
    <w:rsid w:val="00D37BC6"/>
    <w:rsid w:val="00D40B2C"/>
    <w:rsid w:val="00D40C15"/>
    <w:rsid w:val="00D427E2"/>
    <w:rsid w:val="00D428A3"/>
    <w:rsid w:val="00D4290B"/>
    <w:rsid w:val="00D43B9B"/>
    <w:rsid w:val="00D4413F"/>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5A3"/>
    <w:rsid w:val="00D64AA2"/>
    <w:rsid w:val="00D64BC5"/>
    <w:rsid w:val="00D6609E"/>
    <w:rsid w:val="00D667B0"/>
    <w:rsid w:val="00D66A2B"/>
    <w:rsid w:val="00D66DCF"/>
    <w:rsid w:val="00D718F6"/>
    <w:rsid w:val="00D72608"/>
    <w:rsid w:val="00D72CBC"/>
    <w:rsid w:val="00D736E1"/>
    <w:rsid w:val="00D73930"/>
    <w:rsid w:val="00D74799"/>
    <w:rsid w:val="00D75857"/>
    <w:rsid w:val="00D75895"/>
    <w:rsid w:val="00D761A1"/>
    <w:rsid w:val="00D7635F"/>
    <w:rsid w:val="00D77124"/>
    <w:rsid w:val="00D77989"/>
    <w:rsid w:val="00D82008"/>
    <w:rsid w:val="00D824A1"/>
    <w:rsid w:val="00D82723"/>
    <w:rsid w:val="00D82C2B"/>
    <w:rsid w:val="00D83DFF"/>
    <w:rsid w:val="00D843A2"/>
    <w:rsid w:val="00D854CA"/>
    <w:rsid w:val="00D90700"/>
    <w:rsid w:val="00D90999"/>
    <w:rsid w:val="00D9199A"/>
    <w:rsid w:val="00D927FC"/>
    <w:rsid w:val="00D928F4"/>
    <w:rsid w:val="00D94792"/>
    <w:rsid w:val="00D94BBB"/>
    <w:rsid w:val="00D956C5"/>
    <w:rsid w:val="00D9719B"/>
    <w:rsid w:val="00D973A4"/>
    <w:rsid w:val="00D976DC"/>
    <w:rsid w:val="00DA084C"/>
    <w:rsid w:val="00DA167B"/>
    <w:rsid w:val="00DA1C3C"/>
    <w:rsid w:val="00DA4DFC"/>
    <w:rsid w:val="00DA537F"/>
    <w:rsid w:val="00DA5EC7"/>
    <w:rsid w:val="00DA7844"/>
    <w:rsid w:val="00DA78CA"/>
    <w:rsid w:val="00DA7FB1"/>
    <w:rsid w:val="00DB1ACA"/>
    <w:rsid w:val="00DB1C0E"/>
    <w:rsid w:val="00DB1F2B"/>
    <w:rsid w:val="00DB41C3"/>
    <w:rsid w:val="00DB4C69"/>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2779"/>
    <w:rsid w:val="00DD49BB"/>
    <w:rsid w:val="00DD5B95"/>
    <w:rsid w:val="00DD66EA"/>
    <w:rsid w:val="00DD682E"/>
    <w:rsid w:val="00DD6C1D"/>
    <w:rsid w:val="00DD6F37"/>
    <w:rsid w:val="00DE088B"/>
    <w:rsid w:val="00DE0D70"/>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1CA"/>
    <w:rsid w:val="00E0036B"/>
    <w:rsid w:val="00E01E94"/>
    <w:rsid w:val="00E02117"/>
    <w:rsid w:val="00E02285"/>
    <w:rsid w:val="00E02298"/>
    <w:rsid w:val="00E0367E"/>
    <w:rsid w:val="00E03968"/>
    <w:rsid w:val="00E04BBB"/>
    <w:rsid w:val="00E05BE8"/>
    <w:rsid w:val="00E06867"/>
    <w:rsid w:val="00E06CE2"/>
    <w:rsid w:val="00E07058"/>
    <w:rsid w:val="00E07C68"/>
    <w:rsid w:val="00E10460"/>
    <w:rsid w:val="00E116C6"/>
    <w:rsid w:val="00E11B52"/>
    <w:rsid w:val="00E12595"/>
    <w:rsid w:val="00E13AEB"/>
    <w:rsid w:val="00E1403D"/>
    <w:rsid w:val="00E140E0"/>
    <w:rsid w:val="00E14969"/>
    <w:rsid w:val="00E150BB"/>
    <w:rsid w:val="00E167F9"/>
    <w:rsid w:val="00E16B74"/>
    <w:rsid w:val="00E16C3A"/>
    <w:rsid w:val="00E21C6B"/>
    <w:rsid w:val="00E2222F"/>
    <w:rsid w:val="00E227BB"/>
    <w:rsid w:val="00E23E8B"/>
    <w:rsid w:val="00E23F79"/>
    <w:rsid w:val="00E25C8B"/>
    <w:rsid w:val="00E268EC"/>
    <w:rsid w:val="00E316EE"/>
    <w:rsid w:val="00E32769"/>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269"/>
    <w:rsid w:val="00E4693A"/>
    <w:rsid w:val="00E4707C"/>
    <w:rsid w:val="00E47A4F"/>
    <w:rsid w:val="00E5007C"/>
    <w:rsid w:val="00E51259"/>
    <w:rsid w:val="00E5161F"/>
    <w:rsid w:val="00E51AAA"/>
    <w:rsid w:val="00E51B71"/>
    <w:rsid w:val="00E52348"/>
    <w:rsid w:val="00E5345A"/>
    <w:rsid w:val="00E54249"/>
    <w:rsid w:val="00E547B8"/>
    <w:rsid w:val="00E55201"/>
    <w:rsid w:val="00E552F1"/>
    <w:rsid w:val="00E57909"/>
    <w:rsid w:val="00E604C9"/>
    <w:rsid w:val="00E626A0"/>
    <w:rsid w:val="00E6440A"/>
    <w:rsid w:val="00E647B7"/>
    <w:rsid w:val="00E657FE"/>
    <w:rsid w:val="00E663CD"/>
    <w:rsid w:val="00E6784B"/>
    <w:rsid w:val="00E67863"/>
    <w:rsid w:val="00E67DF4"/>
    <w:rsid w:val="00E70943"/>
    <w:rsid w:val="00E7123F"/>
    <w:rsid w:val="00E72232"/>
    <w:rsid w:val="00E723FE"/>
    <w:rsid w:val="00E75A02"/>
    <w:rsid w:val="00E75A5E"/>
    <w:rsid w:val="00E7632C"/>
    <w:rsid w:val="00E76622"/>
    <w:rsid w:val="00E77174"/>
    <w:rsid w:val="00E77ECC"/>
    <w:rsid w:val="00E800EA"/>
    <w:rsid w:val="00E808C6"/>
    <w:rsid w:val="00E8197D"/>
    <w:rsid w:val="00E831E1"/>
    <w:rsid w:val="00E835B3"/>
    <w:rsid w:val="00E83DC6"/>
    <w:rsid w:val="00E83F5B"/>
    <w:rsid w:val="00E84348"/>
    <w:rsid w:val="00E85E70"/>
    <w:rsid w:val="00E90974"/>
    <w:rsid w:val="00E914E4"/>
    <w:rsid w:val="00E91E62"/>
    <w:rsid w:val="00E92136"/>
    <w:rsid w:val="00E94771"/>
    <w:rsid w:val="00E94A7C"/>
    <w:rsid w:val="00E94B56"/>
    <w:rsid w:val="00E9567D"/>
    <w:rsid w:val="00E95A7C"/>
    <w:rsid w:val="00E95D89"/>
    <w:rsid w:val="00EA069D"/>
    <w:rsid w:val="00EA0AED"/>
    <w:rsid w:val="00EA2469"/>
    <w:rsid w:val="00EA2857"/>
    <w:rsid w:val="00EA2A19"/>
    <w:rsid w:val="00EA2FE1"/>
    <w:rsid w:val="00EA4395"/>
    <w:rsid w:val="00EA4603"/>
    <w:rsid w:val="00EA5256"/>
    <w:rsid w:val="00EA597F"/>
    <w:rsid w:val="00EA713A"/>
    <w:rsid w:val="00EA7927"/>
    <w:rsid w:val="00EB090D"/>
    <w:rsid w:val="00EB1667"/>
    <w:rsid w:val="00EB1C7A"/>
    <w:rsid w:val="00EB3FF4"/>
    <w:rsid w:val="00EB4263"/>
    <w:rsid w:val="00EB4B0F"/>
    <w:rsid w:val="00EB4DB8"/>
    <w:rsid w:val="00EB64A7"/>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C75E0"/>
    <w:rsid w:val="00ED0BBC"/>
    <w:rsid w:val="00ED1031"/>
    <w:rsid w:val="00ED10EF"/>
    <w:rsid w:val="00ED14B1"/>
    <w:rsid w:val="00ED15B2"/>
    <w:rsid w:val="00ED1E4C"/>
    <w:rsid w:val="00ED1F06"/>
    <w:rsid w:val="00ED1FCD"/>
    <w:rsid w:val="00ED26AC"/>
    <w:rsid w:val="00ED5228"/>
    <w:rsid w:val="00ED5536"/>
    <w:rsid w:val="00ED7809"/>
    <w:rsid w:val="00ED7934"/>
    <w:rsid w:val="00EE0746"/>
    <w:rsid w:val="00EE0B70"/>
    <w:rsid w:val="00EE1F6D"/>
    <w:rsid w:val="00EE2405"/>
    <w:rsid w:val="00EE29F1"/>
    <w:rsid w:val="00EE3228"/>
    <w:rsid w:val="00EE4EEA"/>
    <w:rsid w:val="00EE6622"/>
    <w:rsid w:val="00EE662D"/>
    <w:rsid w:val="00EE7381"/>
    <w:rsid w:val="00EE76C1"/>
    <w:rsid w:val="00EF0E45"/>
    <w:rsid w:val="00EF2798"/>
    <w:rsid w:val="00EF283C"/>
    <w:rsid w:val="00EF3771"/>
    <w:rsid w:val="00EF5E63"/>
    <w:rsid w:val="00EF7C0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B16"/>
    <w:rsid w:val="00F24F2E"/>
    <w:rsid w:val="00F2551C"/>
    <w:rsid w:val="00F25DE7"/>
    <w:rsid w:val="00F30DEC"/>
    <w:rsid w:val="00F31416"/>
    <w:rsid w:val="00F31920"/>
    <w:rsid w:val="00F32D6C"/>
    <w:rsid w:val="00F3361E"/>
    <w:rsid w:val="00F34794"/>
    <w:rsid w:val="00F35147"/>
    <w:rsid w:val="00F35A91"/>
    <w:rsid w:val="00F36516"/>
    <w:rsid w:val="00F365C9"/>
    <w:rsid w:val="00F412BA"/>
    <w:rsid w:val="00F4181E"/>
    <w:rsid w:val="00F41EC7"/>
    <w:rsid w:val="00F439AE"/>
    <w:rsid w:val="00F45CFD"/>
    <w:rsid w:val="00F45F29"/>
    <w:rsid w:val="00F4711F"/>
    <w:rsid w:val="00F471A3"/>
    <w:rsid w:val="00F50E86"/>
    <w:rsid w:val="00F514D6"/>
    <w:rsid w:val="00F52093"/>
    <w:rsid w:val="00F52683"/>
    <w:rsid w:val="00F526B2"/>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09BC"/>
    <w:rsid w:val="00F62760"/>
    <w:rsid w:val="00F63AC8"/>
    <w:rsid w:val="00F65519"/>
    <w:rsid w:val="00F670FB"/>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1C9"/>
    <w:rsid w:val="00F83875"/>
    <w:rsid w:val="00F83C8C"/>
    <w:rsid w:val="00F83E78"/>
    <w:rsid w:val="00F85F3D"/>
    <w:rsid w:val="00F8652B"/>
    <w:rsid w:val="00F86D73"/>
    <w:rsid w:val="00F9139B"/>
    <w:rsid w:val="00F92545"/>
    <w:rsid w:val="00F9393E"/>
    <w:rsid w:val="00F9460F"/>
    <w:rsid w:val="00F952DD"/>
    <w:rsid w:val="00F9709A"/>
    <w:rsid w:val="00F973C8"/>
    <w:rsid w:val="00FA2807"/>
    <w:rsid w:val="00FA2E8D"/>
    <w:rsid w:val="00FA30A8"/>
    <w:rsid w:val="00FA30CE"/>
    <w:rsid w:val="00FA3724"/>
    <w:rsid w:val="00FA3DED"/>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EF1"/>
    <w:rsid w:val="00FD3B88"/>
    <w:rsid w:val="00FD4C5B"/>
    <w:rsid w:val="00FD5449"/>
    <w:rsid w:val="00FD605C"/>
    <w:rsid w:val="00FD61A6"/>
    <w:rsid w:val="00FD65E7"/>
    <w:rsid w:val="00FD678A"/>
    <w:rsid w:val="00FD73BF"/>
    <w:rsid w:val="00FD7632"/>
    <w:rsid w:val="00FD7DA6"/>
    <w:rsid w:val="00FE0705"/>
    <w:rsid w:val="00FE0CA5"/>
    <w:rsid w:val="00FE139E"/>
    <w:rsid w:val="00FE1D20"/>
    <w:rsid w:val="00FE1DBA"/>
    <w:rsid w:val="00FE66BE"/>
    <w:rsid w:val="00FE7288"/>
    <w:rsid w:val="00FE746B"/>
    <w:rsid w:val="00FF07EE"/>
    <w:rsid w:val="00FF2473"/>
    <w:rsid w:val="00FF35FA"/>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BFF9A4B"/>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88" w:lineRule="exact"/>
      <w:jc w:val="both"/>
    </w:pPr>
    <w:rPr>
      <w:rFonts w:ascii="楷体" w:hAnsi="楷体" w:eastAsia="楷体" w:cs="楷体"/>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0"/>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114</Pages>
  <Words>7145</Words>
  <Characters>40731</Characters>
  <Lines>339</Lines>
  <Paragraphs>95</Paragraphs>
  <TotalTime>339</TotalTime>
  <ScaleCrop>false</ScaleCrop>
  <LinksUpToDate>false</LinksUpToDate>
  <CharactersWithSpaces>47781</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2025-10-30T10:47:00Z</dcterms:created>
  <dc:creator>Lee wintersweet</dc:creator>
  <cp:lastModifiedBy>kylin</cp:lastModifiedBy>
  <cp:lastPrinted>2026-02-03T10:31:00Z</cp:lastPrinted>
  <dcterms:modified xsi:type="dcterms:W3CDTF">2026-02-05T15:49:16Z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