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1"/>
        <w:rPr>
          <w:color w:val="auto"/>
        </w:rPr>
      </w:pPr>
    </w:p>
    <w:p>
      <w:pPr>
        <w:pStyle w:val="101"/>
        <w:rPr>
          <w:color w:val="auto"/>
        </w:rPr>
      </w:pPr>
    </w:p>
    <w:p>
      <w:pPr>
        <w:pStyle w:val="101"/>
        <w:rPr>
          <w:color w:val="auto"/>
        </w:rPr>
      </w:pPr>
    </w:p>
    <w:p>
      <w:pPr>
        <w:pStyle w:val="101"/>
        <w:rPr>
          <w:color w:val="auto"/>
        </w:rPr>
      </w:pPr>
    </w:p>
    <w:p>
      <w:pPr>
        <w:pStyle w:val="101"/>
        <w:spacing w:line="240" w:lineRule="auto"/>
        <w:rPr>
          <w:color w:val="auto"/>
        </w:rPr>
      </w:pPr>
      <w:bookmarkStart w:id="141" w:name="_GoBack"/>
      <w:r>
        <w:rPr>
          <w:color w:val="auto"/>
        </w:rPr>
        <w:t>内乡县赤眉镇国土空间总体规划</w:t>
      </w:r>
    </w:p>
    <w:bookmarkEnd w:id="141"/>
    <w:p>
      <w:pPr>
        <w:pStyle w:val="101"/>
        <w:spacing w:line="240" w:lineRule="auto"/>
        <w:rPr>
          <w:color w:val="auto"/>
        </w:rPr>
      </w:pPr>
      <w:r>
        <w:rPr>
          <w:rFonts w:hint="eastAsia" w:ascii="方正小标宋简体" w:hAnsi="黑体"/>
          <w:bCs/>
          <w:color w:val="auto"/>
          <w:szCs w:val="48"/>
        </w:rPr>
        <w:t>（2021—2035年）</w:t>
      </w:r>
    </w:p>
    <w:p>
      <w:pPr>
        <w:pStyle w:val="101"/>
        <w:rPr>
          <w:color w:val="auto"/>
        </w:rPr>
      </w:pPr>
    </w:p>
    <w:p>
      <w:pPr>
        <w:pStyle w:val="101"/>
        <w:rPr>
          <w:color w:val="auto"/>
        </w:rPr>
      </w:pPr>
      <w:r>
        <w:rPr>
          <w:color w:val="auto"/>
        </w:rPr>
        <w:t>文</w:t>
      </w:r>
      <w:r>
        <w:rPr>
          <w:rFonts w:hint="eastAsia"/>
          <w:color w:val="auto"/>
        </w:rPr>
        <w:t xml:space="preserve"> </w:t>
      </w:r>
      <w:r>
        <w:rPr>
          <w:color w:val="auto"/>
        </w:rPr>
        <w:t xml:space="preserve"> 本</w:t>
      </w:r>
    </w:p>
    <w:p>
      <w:pPr>
        <w:spacing w:before="65"/>
        <w:ind w:firstLine="0" w:firstLineChars="0"/>
        <w:jc w:val="center"/>
        <w:rPr>
          <w:rFonts w:ascii="楷体" w:hAnsi="楷体" w:eastAsia="楷体" w:cs="楷体"/>
          <w:bCs/>
          <w:sz w:val="44"/>
          <w:szCs w:val="44"/>
        </w:rPr>
      </w:pPr>
      <w:bookmarkStart w:id="0" w:name="_Hlk196901031"/>
      <w:r>
        <w:rPr>
          <w:rFonts w:hint="eastAsia" w:ascii="楷体" w:hAnsi="楷体" w:eastAsia="楷体" w:cs="楷体"/>
          <w:bCs/>
          <w:sz w:val="44"/>
          <w:szCs w:val="44"/>
        </w:rPr>
        <w:t>（公示稿）</w:t>
      </w:r>
    </w:p>
    <w:bookmarkEnd w:id="0"/>
    <w:p>
      <w:pPr>
        <w:pStyle w:val="101"/>
        <w:rPr>
          <w:bCs/>
          <w:color w:val="auto"/>
          <w:sz w:val="44"/>
          <w:szCs w:val="44"/>
        </w:rPr>
      </w:pPr>
    </w:p>
    <w:p>
      <w:pPr>
        <w:pStyle w:val="101"/>
        <w:rPr>
          <w:bCs/>
          <w:color w:val="auto"/>
          <w:sz w:val="44"/>
          <w:szCs w:val="44"/>
        </w:rPr>
      </w:pPr>
    </w:p>
    <w:p>
      <w:pPr>
        <w:pStyle w:val="101"/>
        <w:rPr>
          <w:bCs/>
          <w:color w:val="auto"/>
          <w:sz w:val="44"/>
          <w:szCs w:val="44"/>
        </w:rPr>
      </w:pPr>
    </w:p>
    <w:p>
      <w:pPr>
        <w:pStyle w:val="101"/>
        <w:rPr>
          <w:bCs/>
          <w:color w:val="auto"/>
          <w:sz w:val="44"/>
          <w:szCs w:val="44"/>
        </w:rPr>
      </w:pPr>
    </w:p>
    <w:p>
      <w:pPr>
        <w:pStyle w:val="101"/>
        <w:rPr>
          <w:bCs/>
          <w:color w:val="auto"/>
          <w:sz w:val="44"/>
          <w:szCs w:val="44"/>
        </w:rPr>
      </w:pPr>
    </w:p>
    <w:p>
      <w:pPr>
        <w:pStyle w:val="101"/>
        <w:rPr>
          <w:bCs/>
          <w:color w:val="auto"/>
          <w:sz w:val="44"/>
          <w:szCs w:val="44"/>
        </w:rPr>
      </w:pPr>
    </w:p>
    <w:p>
      <w:pPr>
        <w:pStyle w:val="101"/>
        <w:rPr>
          <w:bCs/>
          <w:color w:val="auto"/>
          <w:sz w:val="44"/>
          <w:szCs w:val="44"/>
        </w:rPr>
      </w:pPr>
    </w:p>
    <w:p>
      <w:pPr>
        <w:pStyle w:val="101"/>
        <w:rPr>
          <w:bCs/>
          <w:color w:val="auto"/>
          <w:sz w:val="44"/>
          <w:szCs w:val="44"/>
        </w:rPr>
      </w:pPr>
    </w:p>
    <w:p>
      <w:pPr>
        <w:pStyle w:val="101"/>
        <w:rPr>
          <w:bCs/>
          <w:color w:val="auto"/>
          <w:sz w:val="44"/>
          <w:szCs w:val="44"/>
        </w:rPr>
      </w:pPr>
    </w:p>
    <w:p>
      <w:pPr>
        <w:pStyle w:val="101"/>
        <w:rPr>
          <w:bCs/>
          <w:color w:val="auto"/>
          <w:sz w:val="44"/>
          <w:szCs w:val="44"/>
        </w:rPr>
      </w:pPr>
    </w:p>
    <w:p>
      <w:pPr>
        <w:pStyle w:val="101"/>
        <w:rPr>
          <w:rFonts w:eastAsia="黑体"/>
          <w:color w:val="auto"/>
          <w:sz w:val="32"/>
          <w:szCs w:val="32"/>
        </w:rPr>
      </w:pPr>
      <w:r>
        <w:rPr>
          <w:rFonts w:eastAsia="黑体"/>
          <w:color w:val="auto"/>
          <w:sz w:val="32"/>
          <w:szCs w:val="32"/>
        </w:rPr>
        <w:t>赤眉镇人民政府</w:t>
      </w:r>
    </w:p>
    <w:p>
      <w:pPr>
        <w:pStyle w:val="101"/>
        <w:rPr>
          <w:rFonts w:eastAsia="黑体"/>
          <w:color w:val="auto"/>
          <w:sz w:val="32"/>
          <w:szCs w:val="32"/>
        </w:rPr>
      </w:pPr>
      <w:r>
        <w:rPr>
          <w:rFonts w:eastAsia="黑体"/>
          <w:color w:val="auto"/>
          <w:sz w:val="32"/>
          <w:szCs w:val="32"/>
        </w:rPr>
        <w:t>2025年</w:t>
      </w:r>
      <w:r>
        <w:rPr>
          <w:rFonts w:hint="eastAsia" w:eastAsia="黑体"/>
          <w:color w:val="auto"/>
          <w:sz w:val="32"/>
          <w:szCs w:val="32"/>
        </w:rPr>
        <w:t>11</w:t>
      </w:r>
      <w:r>
        <w:rPr>
          <w:rFonts w:eastAsia="黑体"/>
          <w:color w:val="auto"/>
          <w:sz w:val="32"/>
          <w:szCs w:val="32"/>
        </w:rPr>
        <w:t>月</w:t>
      </w:r>
    </w:p>
    <w:p>
      <w:pPr>
        <w:pStyle w:val="101"/>
        <w:rPr>
          <w:bCs/>
          <w:color w:val="auto"/>
          <w:sz w:val="28"/>
        </w:rPr>
        <w:sectPr>
          <w:headerReference r:id="rId7" w:type="first"/>
          <w:footerReference r:id="rId10" w:type="first"/>
          <w:headerReference r:id="rId5" w:type="default"/>
          <w:footerReference r:id="rId8" w:type="default"/>
          <w:headerReference r:id="rId6" w:type="even"/>
          <w:footerReference r:id="rId9" w:type="even"/>
          <w:pgSz w:w="11907" w:h="16839"/>
          <w:pgMar w:top="1440" w:right="1800" w:bottom="1440" w:left="1800" w:header="851" w:footer="992" w:gutter="0"/>
          <w:pgNumType w:start="1"/>
          <w:cols w:space="1137" w:num="1"/>
          <w:docGrid w:type="lines" w:linePitch="326" w:charSpace="0"/>
        </w:sectPr>
      </w:pPr>
    </w:p>
    <w:sdt>
      <w:sdtPr>
        <w:rPr>
          <w:b/>
          <w:sz w:val="36"/>
          <w:szCs w:val="36"/>
          <w:lang w:val="zh-CN"/>
        </w:rPr>
        <w:id w:val="-1"/>
        <w:docPartObj>
          <w:docPartGallery w:val="Table of Contents"/>
          <w:docPartUnique/>
        </w:docPartObj>
      </w:sdtPr>
      <w:sdtEndPr>
        <w:rPr>
          <w:rFonts w:eastAsia="黑体"/>
          <w:b/>
          <w:bCs/>
          <w:sz w:val="40"/>
          <w:szCs w:val="36"/>
          <w:lang w:val="zh-CN"/>
        </w:rPr>
      </w:sdtEndPr>
      <w:sdtContent>
        <w:p>
          <w:pPr>
            <w:spacing w:line="600" w:lineRule="exact"/>
            <w:ind w:firstLine="0" w:firstLineChars="0"/>
            <w:jc w:val="center"/>
            <w:rPr>
              <w:rFonts w:eastAsia="黑体"/>
              <w:sz w:val="36"/>
              <w:szCs w:val="36"/>
            </w:rPr>
          </w:pPr>
          <w:r>
            <w:rPr>
              <w:rFonts w:eastAsia="黑体"/>
              <w:sz w:val="36"/>
              <w:szCs w:val="36"/>
            </w:rPr>
            <w:t>目 录</w:t>
          </w:r>
        </w:p>
        <w:p>
          <w:pPr>
            <w:pStyle w:val="23"/>
            <w:tabs>
              <w:tab w:val="right" w:leader="dot" w:pos="8307"/>
            </w:tabs>
            <w:rPr>
              <w:rFonts w:ascii="楷体_GB2312" w:hAnsi="楷体_GB2312" w:cs="楷体_GB2312"/>
            </w:rPr>
          </w:pPr>
          <w:r>
            <w:fldChar w:fldCharType="begin"/>
          </w:r>
          <w:r>
            <w:instrText xml:space="preserve">TOC \o "1-1" \h \u </w:instrText>
          </w:r>
          <w:r>
            <w:fldChar w:fldCharType="separate"/>
          </w:r>
          <w:r>
            <w:fldChar w:fldCharType="begin"/>
          </w:r>
          <w:r>
            <w:instrText xml:space="preserve"> HYPERLINK \l "_Toc112" </w:instrText>
          </w:r>
          <w:r>
            <w:fldChar w:fldCharType="separate"/>
          </w:r>
          <w:r>
            <w:rPr>
              <w:rFonts w:hint="eastAsia" w:ascii="楷体_GB2312" w:hAnsi="楷体_GB2312" w:cs="楷体_GB2312"/>
            </w:rPr>
            <w:t>第一章 总则</w:t>
          </w:r>
          <w:r>
            <w:rPr>
              <w:rFonts w:hint="eastAsia" w:ascii="楷体_GB2312" w:hAnsi="楷体_GB2312" w:cs="楷体_GB2312"/>
            </w:rPr>
            <w:tab/>
          </w:r>
          <w:r>
            <w:rPr>
              <w:rFonts w:hint="eastAsia" w:ascii="楷体_GB2312" w:hAnsi="楷体_GB2312" w:cs="楷体_GB2312"/>
            </w:rPr>
            <w:fldChar w:fldCharType="begin"/>
          </w:r>
          <w:r>
            <w:rPr>
              <w:rFonts w:hint="eastAsia" w:ascii="楷体_GB2312" w:hAnsi="楷体_GB2312" w:cs="楷体_GB2312"/>
            </w:rPr>
            <w:instrText xml:space="preserve"> PAGEREF _Toc112 \h </w:instrText>
          </w:r>
          <w:r>
            <w:rPr>
              <w:rFonts w:hint="eastAsia" w:ascii="楷体_GB2312" w:hAnsi="楷体_GB2312" w:cs="楷体_GB2312"/>
            </w:rPr>
            <w:fldChar w:fldCharType="separate"/>
          </w:r>
          <w:r>
            <w:rPr>
              <w:rFonts w:hint="eastAsia" w:ascii="楷体_GB2312" w:hAnsi="楷体_GB2312" w:cs="楷体_GB2312"/>
            </w:rPr>
            <w:t>2</w:t>
          </w:r>
          <w:r>
            <w:rPr>
              <w:rFonts w:hint="eastAsia" w:ascii="楷体_GB2312" w:hAnsi="楷体_GB2312" w:cs="楷体_GB2312"/>
            </w:rPr>
            <w:fldChar w:fldCharType="end"/>
          </w:r>
          <w:r>
            <w:rPr>
              <w:rFonts w:hint="eastAsia" w:ascii="楷体_GB2312" w:hAnsi="楷体_GB2312" w:cs="楷体_GB2312"/>
            </w:rPr>
            <w:fldChar w:fldCharType="end"/>
          </w:r>
        </w:p>
        <w:p>
          <w:pPr>
            <w:pStyle w:val="23"/>
            <w:tabs>
              <w:tab w:val="right" w:leader="dot" w:pos="8307"/>
            </w:tabs>
            <w:rPr>
              <w:rFonts w:ascii="楷体_GB2312" w:hAnsi="楷体_GB2312" w:cs="楷体_GB2312"/>
            </w:rPr>
          </w:pPr>
          <w:r>
            <w:fldChar w:fldCharType="begin"/>
          </w:r>
          <w:r>
            <w:instrText xml:space="preserve"> HYPERLINK \l "_Toc28635" </w:instrText>
          </w:r>
          <w:r>
            <w:fldChar w:fldCharType="separate"/>
          </w:r>
          <w:r>
            <w:rPr>
              <w:rFonts w:hint="eastAsia" w:ascii="楷体_GB2312" w:hAnsi="楷体_GB2312" w:cs="楷体_GB2312"/>
            </w:rPr>
            <w:t>第二章 现状分析</w:t>
          </w:r>
          <w:r>
            <w:rPr>
              <w:rFonts w:hint="eastAsia" w:ascii="楷体_GB2312" w:hAnsi="楷体_GB2312" w:cs="楷体_GB2312"/>
            </w:rPr>
            <w:tab/>
          </w:r>
          <w:r>
            <w:rPr>
              <w:rFonts w:hint="eastAsia" w:ascii="楷体_GB2312" w:hAnsi="楷体_GB2312" w:cs="楷体_GB2312"/>
            </w:rPr>
            <w:fldChar w:fldCharType="begin"/>
          </w:r>
          <w:r>
            <w:rPr>
              <w:rFonts w:hint="eastAsia" w:ascii="楷体_GB2312" w:hAnsi="楷体_GB2312" w:cs="楷体_GB2312"/>
            </w:rPr>
            <w:instrText xml:space="preserve"> PAGEREF _Toc28635 \h </w:instrText>
          </w:r>
          <w:r>
            <w:rPr>
              <w:rFonts w:hint="eastAsia" w:ascii="楷体_GB2312" w:hAnsi="楷体_GB2312" w:cs="楷体_GB2312"/>
            </w:rPr>
            <w:fldChar w:fldCharType="separate"/>
          </w:r>
          <w:r>
            <w:rPr>
              <w:rFonts w:hint="eastAsia" w:ascii="楷体_GB2312" w:hAnsi="楷体_GB2312" w:cs="楷体_GB2312"/>
            </w:rPr>
            <w:t>4</w:t>
          </w:r>
          <w:r>
            <w:rPr>
              <w:rFonts w:hint="eastAsia" w:ascii="楷体_GB2312" w:hAnsi="楷体_GB2312" w:cs="楷体_GB2312"/>
            </w:rPr>
            <w:fldChar w:fldCharType="end"/>
          </w:r>
          <w:r>
            <w:rPr>
              <w:rFonts w:hint="eastAsia" w:ascii="楷体_GB2312" w:hAnsi="楷体_GB2312" w:cs="楷体_GB2312"/>
            </w:rPr>
            <w:fldChar w:fldCharType="end"/>
          </w:r>
        </w:p>
        <w:p>
          <w:pPr>
            <w:pStyle w:val="23"/>
            <w:tabs>
              <w:tab w:val="right" w:leader="dot" w:pos="8307"/>
            </w:tabs>
            <w:rPr>
              <w:rFonts w:ascii="楷体_GB2312" w:hAnsi="楷体_GB2312" w:cs="楷体_GB2312"/>
            </w:rPr>
          </w:pPr>
          <w:r>
            <w:fldChar w:fldCharType="begin"/>
          </w:r>
          <w:r>
            <w:instrText xml:space="preserve"> HYPERLINK \l "_Toc2450" </w:instrText>
          </w:r>
          <w:r>
            <w:fldChar w:fldCharType="separate"/>
          </w:r>
          <w:r>
            <w:rPr>
              <w:rFonts w:hint="eastAsia" w:ascii="楷体_GB2312" w:hAnsi="楷体_GB2312" w:cs="楷体_GB2312"/>
            </w:rPr>
            <w:t>第三章 发展定位与目标</w:t>
          </w:r>
          <w:r>
            <w:rPr>
              <w:rFonts w:hint="eastAsia" w:ascii="楷体_GB2312" w:hAnsi="楷体_GB2312" w:cs="楷体_GB2312"/>
            </w:rPr>
            <w:tab/>
          </w:r>
          <w:r>
            <w:rPr>
              <w:rFonts w:hint="eastAsia" w:ascii="楷体_GB2312" w:hAnsi="楷体_GB2312" w:cs="楷体_GB2312"/>
            </w:rPr>
            <w:fldChar w:fldCharType="begin"/>
          </w:r>
          <w:r>
            <w:rPr>
              <w:rFonts w:hint="eastAsia" w:ascii="楷体_GB2312" w:hAnsi="楷体_GB2312" w:cs="楷体_GB2312"/>
            </w:rPr>
            <w:instrText xml:space="preserve"> PAGEREF _Toc2450 \h </w:instrText>
          </w:r>
          <w:r>
            <w:rPr>
              <w:rFonts w:hint="eastAsia" w:ascii="楷体_GB2312" w:hAnsi="楷体_GB2312" w:cs="楷体_GB2312"/>
            </w:rPr>
            <w:fldChar w:fldCharType="separate"/>
          </w:r>
          <w:r>
            <w:rPr>
              <w:rFonts w:hint="eastAsia" w:ascii="楷体_GB2312" w:hAnsi="楷体_GB2312" w:cs="楷体_GB2312"/>
            </w:rPr>
            <w:t>10</w:t>
          </w:r>
          <w:r>
            <w:rPr>
              <w:rFonts w:hint="eastAsia" w:ascii="楷体_GB2312" w:hAnsi="楷体_GB2312" w:cs="楷体_GB2312"/>
            </w:rPr>
            <w:fldChar w:fldCharType="end"/>
          </w:r>
          <w:r>
            <w:rPr>
              <w:rFonts w:hint="eastAsia" w:ascii="楷体_GB2312" w:hAnsi="楷体_GB2312" w:cs="楷体_GB2312"/>
            </w:rPr>
            <w:fldChar w:fldCharType="end"/>
          </w:r>
        </w:p>
        <w:p>
          <w:pPr>
            <w:pStyle w:val="23"/>
            <w:tabs>
              <w:tab w:val="right" w:leader="dot" w:pos="8307"/>
            </w:tabs>
            <w:rPr>
              <w:rFonts w:ascii="楷体_GB2312" w:hAnsi="楷体_GB2312" w:cs="楷体_GB2312"/>
            </w:rPr>
          </w:pPr>
          <w:r>
            <w:fldChar w:fldCharType="begin"/>
          </w:r>
          <w:r>
            <w:instrText xml:space="preserve"> HYPERLINK \l "_Toc14386" </w:instrText>
          </w:r>
          <w:r>
            <w:fldChar w:fldCharType="separate"/>
          </w:r>
          <w:r>
            <w:rPr>
              <w:rFonts w:hint="eastAsia" w:ascii="楷体_GB2312" w:hAnsi="楷体_GB2312" w:cs="楷体_GB2312"/>
            </w:rPr>
            <w:t>第四章 底线约束</w:t>
          </w:r>
          <w:r>
            <w:rPr>
              <w:rFonts w:hint="eastAsia" w:ascii="楷体_GB2312" w:hAnsi="楷体_GB2312" w:cs="楷体_GB2312"/>
            </w:rPr>
            <w:tab/>
          </w:r>
          <w:r>
            <w:rPr>
              <w:rFonts w:hint="eastAsia" w:ascii="楷体_GB2312" w:hAnsi="楷体_GB2312" w:cs="楷体_GB2312"/>
            </w:rPr>
            <w:fldChar w:fldCharType="begin"/>
          </w:r>
          <w:r>
            <w:rPr>
              <w:rFonts w:hint="eastAsia" w:ascii="楷体_GB2312" w:hAnsi="楷体_GB2312" w:cs="楷体_GB2312"/>
            </w:rPr>
            <w:instrText xml:space="preserve"> PAGEREF _Toc14386 \h </w:instrText>
          </w:r>
          <w:r>
            <w:rPr>
              <w:rFonts w:hint="eastAsia" w:ascii="楷体_GB2312" w:hAnsi="楷体_GB2312" w:cs="楷体_GB2312"/>
            </w:rPr>
            <w:fldChar w:fldCharType="separate"/>
          </w:r>
          <w:r>
            <w:rPr>
              <w:rFonts w:hint="eastAsia" w:ascii="楷体_GB2312" w:hAnsi="楷体_GB2312" w:cs="楷体_GB2312"/>
            </w:rPr>
            <w:t>12</w:t>
          </w:r>
          <w:r>
            <w:rPr>
              <w:rFonts w:hint="eastAsia" w:ascii="楷体_GB2312" w:hAnsi="楷体_GB2312" w:cs="楷体_GB2312"/>
            </w:rPr>
            <w:fldChar w:fldCharType="end"/>
          </w:r>
          <w:r>
            <w:rPr>
              <w:rFonts w:hint="eastAsia" w:ascii="楷体_GB2312" w:hAnsi="楷体_GB2312" w:cs="楷体_GB2312"/>
            </w:rPr>
            <w:fldChar w:fldCharType="end"/>
          </w:r>
        </w:p>
        <w:p>
          <w:pPr>
            <w:pStyle w:val="23"/>
            <w:tabs>
              <w:tab w:val="right" w:leader="dot" w:pos="8307"/>
            </w:tabs>
            <w:rPr>
              <w:rFonts w:ascii="楷体_GB2312" w:hAnsi="楷体_GB2312" w:cs="楷体_GB2312"/>
            </w:rPr>
          </w:pPr>
          <w:r>
            <w:fldChar w:fldCharType="begin"/>
          </w:r>
          <w:r>
            <w:instrText xml:space="preserve"> HYPERLINK \l "_Toc24053" </w:instrText>
          </w:r>
          <w:r>
            <w:fldChar w:fldCharType="separate"/>
          </w:r>
          <w:r>
            <w:rPr>
              <w:rFonts w:hint="eastAsia" w:ascii="楷体_GB2312" w:hAnsi="楷体_GB2312" w:cs="楷体_GB2312"/>
            </w:rPr>
            <w:t>第五章 规划分区</w:t>
          </w:r>
          <w:r>
            <w:rPr>
              <w:rFonts w:hint="eastAsia" w:ascii="楷体_GB2312" w:hAnsi="楷体_GB2312" w:cs="楷体_GB2312"/>
            </w:rPr>
            <w:tab/>
          </w:r>
          <w:r>
            <w:rPr>
              <w:rFonts w:hint="eastAsia" w:ascii="楷体_GB2312" w:hAnsi="楷体_GB2312" w:cs="楷体_GB2312"/>
            </w:rPr>
            <w:fldChar w:fldCharType="begin"/>
          </w:r>
          <w:r>
            <w:rPr>
              <w:rFonts w:hint="eastAsia" w:ascii="楷体_GB2312" w:hAnsi="楷体_GB2312" w:cs="楷体_GB2312"/>
            </w:rPr>
            <w:instrText xml:space="preserve"> PAGEREF _Toc24053 \h </w:instrText>
          </w:r>
          <w:r>
            <w:rPr>
              <w:rFonts w:hint="eastAsia" w:ascii="楷体_GB2312" w:hAnsi="楷体_GB2312" w:cs="楷体_GB2312"/>
            </w:rPr>
            <w:fldChar w:fldCharType="separate"/>
          </w:r>
          <w:r>
            <w:rPr>
              <w:rFonts w:hint="eastAsia" w:ascii="楷体_GB2312" w:hAnsi="楷体_GB2312" w:cs="楷体_GB2312"/>
            </w:rPr>
            <w:t>18</w:t>
          </w:r>
          <w:r>
            <w:rPr>
              <w:rFonts w:hint="eastAsia" w:ascii="楷体_GB2312" w:hAnsi="楷体_GB2312" w:cs="楷体_GB2312"/>
            </w:rPr>
            <w:fldChar w:fldCharType="end"/>
          </w:r>
          <w:r>
            <w:rPr>
              <w:rFonts w:hint="eastAsia" w:ascii="楷体_GB2312" w:hAnsi="楷体_GB2312" w:cs="楷体_GB2312"/>
            </w:rPr>
            <w:fldChar w:fldCharType="end"/>
          </w:r>
        </w:p>
        <w:p>
          <w:pPr>
            <w:pStyle w:val="23"/>
            <w:tabs>
              <w:tab w:val="right" w:leader="dot" w:pos="8307"/>
            </w:tabs>
            <w:rPr>
              <w:rFonts w:ascii="楷体_GB2312" w:hAnsi="楷体_GB2312" w:cs="楷体_GB2312"/>
            </w:rPr>
          </w:pPr>
          <w:r>
            <w:fldChar w:fldCharType="begin"/>
          </w:r>
          <w:r>
            <w:instrText xml:space="preserve"> HYPERLINK \l "_Toc10486" </w:instrText>
          </w:r>
          <w:r>
            <w:fldChar w:fldCharType="separate"/>
          </w:r>
          <w:r>
            <w:rPr>
              <w:rFonts w:hint="eastAsia" w:ascii="楷体_GB2312" w:hAnsi="楷体_GB2312" w:cs="楷体_GB2312"/>
            </w:rPr>
            <w:t>第六章 国土空间功能结构调整</w:t>
          </w:r>
          <w:r>
            <w:rPr>
              <w:rFonts w:hint="eastAsia" w:ascii="楷体_GB2312" w:hAnsi="楷体_GB2312" w:cs="楷体_GB2312"/>
            </w:rPr>
            <w:tab/>
          </w:r>
          <w:r>
            <w:rPr>
              <w:rFonts w:hint="eastAsia" w:ascii="楷体_GB2312" w:hAnsi="楷体_GB2312" w:cs="楷体_GB2312"/>
            </w:rPr>
            <w:fldChar w:fldCharType="begin"/>
          </w:r>
          <w:r>
            <w:rPr>
              <w:rFonts w:hint="eastAsia" w:ascii="楷体_GB2312" w:hAnsi="楷体_GB2312" w:cs="楷体_GB2312"/>
            </w:rPr>
            <w:instrText xml:space="preserve"> PAGEREF _Toc10486 \h </w:instrText>
          </w:r>
          <w:r>
            <w:rPr>
              <w:rFonts w:hint="eastAsia" w:ascii="楷体_GB2312" w:hAnsi="楷体_GB2312" w:cs="楷体_GB2312"/>
            </w:rPr>
            <w:fldChar w:fldCharType="separate"/>
          </w:r>
          <w:r>
            <w:rPr>
              <w:rFonts w:hint="eastAsia" w:ascii="楷体_GB2312" w:hAnsi="楷体_GB2312" w:cs="楷体_GB2312"/>
            </w:rPr>
            <w:t>27</w:t>
          </w:r>
          <w:r>
            <w:rPr>
              <w:rFonts w:hint="eastAsia" w:ascii="楷体_GB2312" w:hAnsi="楷体_GB2312" w:cs="楷体_GB2312"/>
            </w:rPr>
            <w:fldChar w:fldCharType="end"/>
          </w:r>
          <w:r>
            <w:rPr>
              <w:rFonts w:hint="eastAsia" w:ascii="楷体_GB2312" w:hAnsi="楷体_GB2312" w:cs="楷体_GB2312"/>
            </w:rPr>
            <w:fldChar w:fldCharType="end"/>
          </w:r>
        </w:p>
        <w:p>
          <w:pPr>
            <w:pStyle w:val="23"/>
            <w:tabs>
              <w:tab w:val="right" w:leader="dot" w:pos="8307"/>
            </w:tabs>
            <w:rPr>
              <w:rFonts w:ascii="楷体_GB2312" w:hAnsi="楷体_GB2312" w:cs="楷体_GB2312"/>
            </w:rPr>
          </w:pPr>
          <w:r>
            <w:fldChar w:fldCharType="begin"/>
          </w:r>
          <w:r>
            <w:instrText xml:space="preserve"> HYPERLINK \l "_Toc24457" </w:instrText>
          </w:r>
          <w:r>
            <w:fldChar w:fldCharType="separate"/>
          </w:r>
          <w:r>
            <w:rPr>
              <w:rFonts w:hint="eastAsia" w:ascii="楷体_GB2312" w:hAnsi="楷体_GB2312" w:cs="楷体_GB2312"/>
            </w:rPr>
            <w:t>第七章 自然资源保护利用</w:t>
          </w:r>
          <w:r>
            <w:rPr>
              <w:rFonts w:hint="eastAsia" w:ascii="楷体_GB2312" w:hAnsi="楷体_GB2312" w:cs="楷体_GB2312"/>
            </w:rPr>
            <w:tab/>
          </w:r>
          <w:r>
            <w:rPr>
              <w:rFonts w:hint="eastAsia" w:ascii="楷体_GB2312" w:hAnsi="楷体_GB2312" w:cs="楷体_GB2312"/>
            </w:rPr>
            <w:fldChar w:fldCharType="begin"/>
          </w:r>
          <w:r>
            <w:rPr>
              <w:rFonts w:hint="eastAsia" w:ascii="楷体_GB2312" w:hAnsi="楷体_GB2312" w:cs="楷体_GB2312"/>
            </w:rPr>
            <w:instrText xml:space="preserve"> PAGEREF _Toc24457 \h </w:instrText>
          </w:r>
          <w:r>
            <w:rPr>
              <w:rFonts w:hint="eastAsia" w:ascii="楷体_GB2312" w:hAnsi="楷体_GB2312" w:cs="楷体_GB2312"/>
            </w:rPr>
            <w:fldChar w:fldCharType="separate"/>
          </w:r>
          <w:r>
            <w:rPr>
              <w:rFonts w:hint="eastAsia" w:ascii="楷体_GB2312" w:hAnsi="楷体_GB2312" w:cs="楷体_GB2312"/>
            </w:rPr>
            <w:t>28</w:t>
          </w:r>
          <w:r>
            <w:rPr>
              <w:rFonts w:hint="eastAsia" w:ascii="楷体_GB2312" w:hAnsi="楷体_GB2312" w:cs="楷体_GB2312"/>
            </w:rPr>
            <w:fldChar w:fldCharType="end"/>
          </w:r>
          <w:r>
            <w:rPr>
              <w:rFonts w:hint="eastAsia" w:ascii="楷体_GB2312" w:hAnsi="楷体_GB2312" w:cs="楷体_GB2312"/>
            </w:rPr>
            <w:fldChar w:fldCharType="end"/>
          </w:r>
        </w:p>
        <w:p>
          <w:pPr>
            <w:pStyle w:val="23"/>
            <w:tabs>
              <w:tab w:val="right" w:leader="dot" w:pos="8307"/>
            </w:tabs>
            <w:rPr>
              <w:rFonts w:ascii="楷体_GB2312" w:hAnsi="楷体_GB2312" w:cs="楷体_GB2312"/>
            </w:rPr>
          </w:pPr>
          <w:r>
            <w:fldChar w:fldCharType="begin"/>
          </w:r>
          <w:r>
            <w:instrText xml:space="preserve"> HYPERLINK \l "_Toc20411" </w:instrText>
          </w:r>
          <w:r>
            <w:fldChar w:fldCharType="separate"/>
          </w:r>
          <w:r>
            <w:rPr>
              <w:rFonts w:hint="eastAsia" w:ascii="楷体_GB2312" w:hAnsi="楷体_GB2312" w:cs="楷体_GB2312"/>
            </w:rPr>
            <w:t>第八章 产业规划</w:t>
          </w:r>
          <w:r>
            <w:rPr>
              <w:rFonts w:hint="eastAsia" w:ascii="楷体_GB2312" w:hAnsi="楷体_GB2312" w:cs="楷体_GB2312"/>
            </w:rPr>
            <w:tab/>
          </w:r>
          <w:r>
            <w:rPr>
              <w:rFonts w:hint="eastAsia" w:ascii="楷体_GB2312" w:hAnsi="楷体_GB2312" w:cs="楷体_GB2312"/>
            </w:rPr>
            <w:fldChar w:fldCharType="begin"/>
          </w:r>
          <w:r>
            <w:rPr>
              <w:rFonts w:hint="eastAsia" w:ascii="楷体_GB2312" w:hAnsi="楷体_GB2312" w:cs="楷体_GB2312"/>
            </w:rPr>
            <w:instrText xml:space="preserve"> PAGEREF _Toc20411 \h </w:instrText>
          </w:r>
          <w:r>
            <w:rPr>
              <w:rFonts w:hint="eastAsia" w:ascii="楷体_GB2312" w:hAnsi="楷体_GB2312" w:cs="楷体_GB2312"/>
            </w:rPr>
            <w:fldChar w:fldCharType="separate"/>
          </w:r>
          <w:r>
            <w:rPr>
              <w:rFonts w:hint="eastAsia" w:ascii="楷体_GB2312" w:hAnsi="楷体_GB2312" w:cs="楷体_GB2312"/>
            </w:rPr>
            <w:t>39</w:t>
          </w:r>
          <w:r>
            <w:rPr>
              <w:rFonts w:hint="eastAsia" w:ascii="楷体_GB2312" w:hAnsi="楷体_GB2312" w:cs="楷体_GB2312"/>
            </w:rPr>
            <w:fldChar w:fldCharType="end"/>
          </w:r>
          <w:r>
            <w:rPr>
              <w:rFonts w:hint="eastAsia" w:ascii="楷体_GB2312" w:hAnsi="楷体_GB2312" w:cs="楷体_GB2312"/>
            </w:rPr>
            <w:fldChar w:fldCharType="end"/>
          </w:r>
        </w:p>
        <w:p>
          <w:pPr>
            <w:pStyle w:val="23"/>
            <w:tabs>
              <w:tab w:val="right" w:leader="dot" w:pos="8307"/>
            </w:tabs>
            <w:rPr>
              <w:rFonts w:ascii="楷体_GB2312" w:hAnsi="楷体_GB2312" w:cs="楷体_GB2312"/>
            </w:rPr>
          </w:pPr>
          <w:r>
            <w:fldChar w:fldCharType="begin"/>
          </w:r>
          <w:r>
            <w:instrText xml:space="preserve"> HYPERLINK \l "_Toc29524" </w:instrText>
          </w:r>
          <w:r>
            <w:fldChar w:fldCharType="separate"/>
          </w:r>
          <w:r>
            <w:rPr>
              <w:rFonts w:hint="eastAsia" w:ascii="楷体_GB2312" w:hAnsi="楷体_GB2312" w:cs="楷体_GB2312"/>
            </w:rPr>
            <w:t>第九章 村庄布局</w:t>
          </w:r>
          <w:r>
            <w:rPr>
              <w:rFonts w:hint="eastAsia" w:ascii="楷体_GB2312" w:hAnsi="楷体_GB2312" w:cs="楷体_GB2312"/>
            </w:rPr>
            <w:tab/>
          </w:r>
          <w:r>
            <w:rPr>
              <w:rFonts w:hint="eastAsia" w:ascii="楷体_GB2312" w:hAnsi="楷体_GB2312" w:cs="楷体_GB2312"/>
            </w:rPr>
            <w:fldChar w:fldCharType="begin"/>
          </w:r>
          <w:r>
            <w:rPr>
              <w:rFonts w:hint="eastAsia" w:ascii="楷体_GB2312" w:hAnsi="楷体_GB2312" w:cs="楷体_GB2312"/>
            </w:rPr>
            <w:instrText xml:space="preserve"> PAGEREF _Toc29524 \h </w:instrText>
          </w:r>
          <w:r>
            <w:rPr>
              <w:rFonts w:hint="eastAsia" w:ascii="楷体_GB2312" w:hAnsi="楷体_GB2312" w:cs="楷体_GB2312"/>
            </w:rPr>
            <w:fldChar w:fldCharType="separate"/>
          </w:r>
          <w:r>
            <w:rPr>
              <w:rFonts w:hint="eastAsia" w:ascii="楷体_GB2312" w:hAnsi="楷体_GB2312" w:cs="楷体_GB2312"/>
            </w:rPr>
            <w:t>40</w:t>
          </w:r>
          <w:r>
            <w:rPr>
              <w:rFonts w:hint="eastAsia" w:ascii="楷体_GB2312" w:hAnsi="楷体_GB2312" w:cs="楷体_GB2312"/>
            </w:rPr>
            <w:fldChar w:fldCharType="end"/>
          </w:r>
          <w:r>
            <w:rPr>
              <w:rFonts w:hint="eastAsia" w:ascii="楷体_GB2312" w:hAnsi="楷体_GB2312" w:cs="楷体_GB2312"/>
            </w:rPr>
            <w:fldChar w:fldCharType="end"/>
          </w:r>
        </w:p>
        <w:p>
          <w:pPr>
            <w:pStyle w:val="23"/>
            <w:tabs>
              <w:tab w:val="right" w:leader="dot" w:pos="8307"/>
            </w:tabs>
            <w:rPr>
              <w:rFonts w:ascii="楷体_GB2312" w:hAnsi="楷体_GB2312" w:cs="楷体_GB2312"/>
            </w:rPr>
          </w:pPr>
          <w:r>
            <w:fldChar w:fldCharType="begin"/>
          </w:r>
          <w:r>
            <w:instrText xml:space="preserve"> HYPERLINK \l "_Toc23598" </w:instrText>
          </w:r>
          <w:r>
            <w:fldChar w:fldCharType="separate"/>
          </w:r>
          <w:r>
            <w:rPr>
              <w:rFonts w:hint="eastAsia" w:ascii="楷体_GB2312" w:hAnsi="楷体_GB2312" w:cs="楷体_GB2312"/>
            </w:rPr>
            <w:t>第十章 支撑保障体系</w:t>
          </w:r>
          <w:r>
            <w:rPr>
              <w:rFonts w:hint="eastAsia" w:ascii="楷体_GB2312" w:hAnsi="楷体_GB2312" w:cs="楷体_GB2312"/>
            </w:rPr>
            <w:tab/>
          </w:r>
          <w:r>
            <w:rPr>
              <w:rFonts w:hint="eastAsia" w:ascii="楷体_GB2312" w:hAnsi="楷体_GB2312" w:cs="楷体_GB2312"/>
            </w:rPr>
            <w:fldChar w:fldCharType="begin"/>
          </w:r>
          <w:r>
            <w:rPr>
              <w:rFonts w:hint="eastAsia" w:ascii="楷体_GB2312" w:hAnsi="楷体_GB2312" w:cs="楷体_GB2312"/>
            </w:rPr>
            <w:instrText xml:space="preserve"> PAGEREF _Toc23598 \h </w:instrText>
          </w:r>
          <w:r>
            <w:rPr>
              <w:rFonts w:hint="eastAsia" w:ascii="楷体_GB2312" w:hAnsi="楷体_GB2312" w:cs="楷体_GB2312"/>
            </w:rPr>
            <w:fldChar w:fldCharType="separate"/>
          </w:r>
          <w:r>
            <w:rPr>
              <w:rFonts w:hint="eastAsia" w:ascii="楷体_GB2312" w:hAnsi="楷体_GB2312" w:cs="楷体_GB2312"/>
            </w:rPr>
            <w:t>42</w:t>
          </w:r>
          <w:r>
            <w:rPr>
              <w:rFonts w:hint="eastAsia" w:ascii="楷体_GB2312" w:hAnsi="楷体_GB2312" w:cs="楷体_GB2312"/>
            </w:rPr>
            <w:fldChar w:fldCharType="end"/>
          </w:r>
          <w:r>
            <w:rPr>
              <w:rFonts w:hint="eastAsia" w:ascii="楷体_GB2312" w:hAnsi="楷体_GB2312" w:cs="楷体_GB2312"/>
            </w:rPr>
            <w:fldChar w:fldCharType="end"/>
          </w:r>
        </w:p>
        <w:p>
          <w:pPr>
            <w:pStyle w:val="23"/>
            <w:tabs>
              <w:tab w:val="right" w:leader="dot" w:pos="8307"/>
            </w:tabs>
            <w:rPr>
              <w:rFonts w:ascii="楷体_GB2312" w:hAnsi="楷体_GB2312" w:cs="楷体_GB2312"/>
            </w:rPr>
          </w:pPr>
          <w:r>
            <w:fldChar w:fldCharType="begin"/>
          </w:r>
          <w:r>
            <w:instrText xml:space="preserve"> HYPERLINK \l "_Toc22049" </w:instrText>
          </w:r>
          <w:r>
            <w:fldChar w:fldCharType="separate"/>
          </w:r>
          <w:r>
            <w:rPr>
              <w:rFonts w:hint="eastAsia" w:ascii="楷体_GB2312" w:hAnsi="楷体_GB2312" w:cs="楷体_GB2312"/>
            </w:rPr>
            <w:t>第十一章 历史文化与景观风貌</w:t>
          </w:r>
          <w:r>
            <w:rPr>
              <w:rFonts w:hint="eastAsia" w:ascii="楷体_GB2312" w:hAnsi="楷体_GB2312" w:cs="楷体_GB2312"/>
            </w:rPr>
            <w:tab/>
          </w:r>
          <w:r>
            <w:rPr>
              <w:rFonts w:hint="eastAsia" w:ascii="楷体_GB2312" w:hAnsi="楷体_GB2312" w:cs="楷体_GB2312"/>
            </w:rPr>
            <w:fldChar w:fldCharType="begin"/>
          </w:r>
          <w:r>
            <w:rPr>
              <w:rFonts w:hint="eastAsia" w:ascii="楷体_GB2312" w:hAnsi="楷体_GB2312" w:cs="楷体_GB2312"/>
            </w:rPr>
            <w:instrText xml:space="preserve"> PAGEREF _Toc22049 \h </w:instrText>
          </w:r>
          <w:r>
            <w:rPr>
              <w:rFonts w:hint="eastAsia" w:ascii="楷体_GB2312" w:hAnsi="楷体_GB2312" w:cs="楷体_GB2312"/>
            </w:rPr>
            <w:fldChar w:fldCharType="separate"/>
          </w:r>
          <w:r>
            <w:rPr>
              <w:rFonts w:hint="eastAsia" w:ascii="楷体_GB2312" w:hAnsi="楷体_GB2312" w:cs="楷体_GB2312"/>
            </w:rPr>
            <w:t>54</w:t>
          </w:r>
          <w:r>
            <w:rPr>
              <w:rFonts w:hint="eastAsia" w:ascii="楷体_GB2312" w:hAnsi="楷体_GB2312" w:cs="楷体_GB2312"/>
            </w:rPr>
            <w:fldChar w:fldCharType="end"/>
          </w:r>
          <w:r>
            <w:rPr>
              <w:rFonts w:hint="eastAsia" w:ascii="楷体_GB2312" w:hAnsi="楷体_GB2312" w:cs="楷体_GB2312"/>
            </w:rPr>
            <w:fldChar w:fldCharType="end"/>
          </w:r>
        </w:p>
        <w:p>
          <w:pPr>
            <w:pStyle w:val="23"/>
            <w:tabs>
              <w:tab w:val="right" w:leader="dot" w:pos="8307"/>
            </w:tabs>
            <w:rPr>
              <w:rFonts w:ascii="楷体_GB2312" w:hAnsi="楷体_GB2312" w:cs="楷体_GB2312"/>
            </w:rPr>
          </w:pPr>
          <w:r>
            <w:fldChar w:fldCharType="begin"/>
          </w:r>
          <w:r>
            <w:instrText xml:space="preserve"> HYPERLINK \l "_Toc31862" </w:instrText>
          </w:r>
          <w:r>
            <w:fldChar w:fldCharType="separate"/>
          </w:r>
          <w:r>
            <w:rPr>
              <w:rFonts w:hint="eastAsia" w:ascii="楷体_GB2312" w:hAnsi="楷体_GB2312" w:cs="楷体_GB2312"/>
            </w:rPr>
            <w:t>第十二章 乡镇政府驻地规划</w:t>
          </w:r>
          <w:r>
            <w:rPr>
              <w:rFonts w:hint="eastAsia" w:ascii="楷体_GB2312" w:hAnsi="楷体_GB2312" w:cs="楷体_GB2312"/>
            </w:rPr>
            <w:tab/>
          </w:r>
          <w:r>
            <w:rPr>
              <w:rFonts w:hint="eastAsia" w:ascii="楷体_GB2312" w:hAnsi="楷体_GB2312" w:cs="楷体_GB2312"/>
            </w:rPr>
            <w:fldChar w:fldCharType="begin"/>
          </w:r>
          <w:r>
            <w:rPr>
              <w:rFonts w:hint="eastAsia" w:ascii="楷体_GB2312" w:hAnsi="楷体_GB2312" w:cs="楷体_GB2312"/>
            </w:rPr>
            <w:instrText xml:space="preserve"> PAGEREF _Toc31862 \h </w:instrText>
          </w:r>
          <w:r>
            <w:rPr>
              <w:rFonts w:hint="eastAsia" w:ascii="楷体_GB2312" w:hAnsi="楷体_GB2312" w:cs="楷体_GB2312"/>
            </w:rPr>
            <w:fldChar w:fldCharType="separate"/>
          </w:r>
          <w:r>
            <w:rPr>
              <w:rFonts w:hint="eastAsia" w:ascii="楷体_GB2312" w:hAnsi="楷体_GB2312" w:cs="楷体_GB2312"/>
            </w:rPr>
            <w:t>57</w:t>
          </w:r>
          <w:r>
            <w:rPr>
              <w:rFonts w:hint="eastAsia" w:ascii="楷体_GB2312" w:hAnsi="楷体_GB2312" w:cs="楷体_GB2312"/>
            </w:rPr>
            <w:fldChar w:fldCharType="end"/>
          </w:r>
          <w:r>
            <w:rPr>
              <w:rFonts w:hint="eastAsia" w:ascii="楷体_GB2312" w:hAnsi="楷体_GB2312" w:cs="楷体_GB2312"/>
            </w:rPr>
            <w:fldChar w:fldCharType="end"/>
          </w:r>
        </w:p>
        <w:p>
          <w:pPr>
            <w:pStyle w:val="23"/>
            <w:tabs>
              <w:tab w:val="right" w:leader="dot" w:pos="8307"/>
            </w:tabs>
            <w:rPr>
              <w:rFonts w:ascii="楷体_GB2312" w:hAnsi="楷体_GB2312" w:cs="楷体_GB2312"/>
            </w:rPr>
          </w:pPr>
          <w:r>
            <w:fldChar w:fldCharType="begin"/>
          </w:r>
          <w:r>
            <w:instrText xml:space="preserve"> HYPERLINK \l "_Toc30684" </w:instrText>
          </w:r>
          <w:r>
            <w:fldChar w:fldCharType="separate"/>
          </w:r>
          <w:r>
            <w:rPr>
              <w:rFonts w:hint="eastAsia" w:ascii="楷体_GB2312" w:hAnsi="楷体_GB2312" w:cs="楷体_GB2312"/>
            </w:rPr>
            <w:t>第十三章 土地综合整治与生态修复</w:t>
          </w:r>
          <w:r>
            <w:rPr>
              <w:rFonts w:hint="eastAsia" w:ascii="楷体_GB2312" w:hAnsi="楷体_GB2312" w:cs="楷体_GB2312"/>
            </w:rPr>
            <w:tab/>
          </w:r>
          <w:r>
            <w:rPr>
              <w:rFonts w:hint="eastAsia" w:ascii="楷体_GB2312" w:hAnsi="楷体_GB2312" w:cs="楷体_GB2312"/>
            </w:rPr>
            <w:fldChar w:fldCharType="begin"/>
          </w:r>
          <w:r>
            <w:rPr>
              <w:rFonts w:hint="eastAsia" w:ascii="楷体_GB2312" w:hAnsi="楷体_GB2312" w:cs="楷体_GB2312"/>
            </w:rPr>
            <w:instrText xml:space="preserve"> PAGEREF _Toc30684 \h </w:instrText>
          </w:r>
          <w:r>
            <w:rPr>
              <w:rFonts w:hint="eastAsia" w:ascii="楷体_GB2312" w:hAnsi="楷体_GB2312" w:cs="楷体_GB2312"/>
            </w:rPr>
            <w:fldChar w:fldCharType="separate"/>
          </w:r>
          <w:r>
            <w:rPr>
              <w:rFonts w:hint="eastAsia" w:ascii="楷体_GB2312" w:hAnsi="楷体_GB2312" w:cs="楷体_GB2312"/>
            </w:rPr>
            <w:t>82</w:t>
          </w:r>
          <w:r>
            <w:rPr>
              <w:rFonts w:hint="eastAsia" w:ascii="楷体_GB2312" w:hAnsi="楷体_GB2312" w:cs="楷体_GB2312"/>
            </w:rPr>
            <w:fldChar w:fldCharType="end"/>
          </w:r>
          <w:r>
            <w:rPr>
              <w:rFonts w:hint="eastAsia" w:ascii="楷体_GB2312" w:hAnsi="楷体_GB2312" w:cs="楷体_GB2312"/>
            </w:rPr>
            <w:fldChar w:fldCharType="end"/>
          </w:r>
        </w:p>
        <w:p>
          <w:pPr>
            <w:pStyle w:val="23"/>
            <w:tabs>
              <w:tab w:val="right" w:leader="dot" w:pos="8307"/>
            </w:tabs>
            <w:rPr>
              <w:rFonts w:ascii="楷体_GB2312" w:hAnsi="楷体_GB2312" w:cs="楷体_GB2312"/>
            </w:rPr>
          </w:pPr>
          <w:r>
            <w:fldChar w:fldCharType="begin"/>
          </w:r>
          <w:r>
            <w:instrText xml:space="preserve"> HYPERLINK \l "_Toc31144" </w:instrText>
          </w:r>
          <w:r>
            <w:fldChar w:fldCharType="separate"/>
          </w:r>
          <w:r>
            <w:rPr>
              <w:rFonts w:hint="eastAsia" w:ascii="楷体_GB2312" w:hAnsi="楷体_GB2312" w:cs="楷体_GB2312"/>
            </w:rPr>
            <w:t>第十四章 规划传导</w:t>
          </w:r>
          <w:r>
            <w:rPr>
              <w:rFonts w:hint="eastAsia" w:ascii="楷体_GB2312" w:hAnsi="楷体_GB2312" w:cs="楷体_GB2312"/>
            </w:rPr>
            <w:tab/>
          </w:r>
          <w:r>
            <w:rPr>
              <w:rFonts w:hint="eastAsia" w:ascii="楷体_GB2312" w:hAnsi="楷体_GB2312" w:cs="楷体_GB2312"/>
            </w:rPr>
            <w:fldChar w:fldCharType="begin"/>
          </w:r>
          <w:r>
            <w:rPr>
              <w:rFonts w:hint="eastAsia" w:ascii="楷体_GB2312" w:hAnsi="楷体_GB2312" w:cs="楷体_GB2312"/>
            </w:rPr>
            <w:instrText xml:space="preserve"> PAGEREF _Toc31144 \h </w:instrText>
          </w:r>
          <w:r>
            <w:rPr>
              <w:rFonts w:hint="eastAsia" w:ascii="楷体_GB2312" w:hAnsi="楷体_GB2312" w:cs="楷体_GB2312"/>
            </w:rPr>
            <w:fldChar w:fldCharType="separate"/>
          </w:r>
          <w:r>
            <w:rPr>
              <w:rFonts w:hint="eastAsia" w:ascii="楷体_GB2312" w:hAnsi="楷体_GB2312" w:cs="楷体_GB2312"/>
            </w:rPr>
            <w:t>85</w:t>
          </w:r>
          <w:r>
            <w:rPr>
              <w:rFonts w:hint="eastAsia" w:ascii="楷体_GB2312" w:hAnsi="楷体_GB2312" w:cs="楷体_GB2312"/>
            </w:rPr>
            <w:fldChar w:fldCharType="end"/>
          </w:r>
          <w:r>
            <w:rPr>
              <w:rFonts w:hint="eastAsia" w:ascii="楷体_GB2312" w:hAnsi="楷体_GB2312" w:cs="楷体_GB2312"/>
            </w:rPr>
            <w:fldChar w:fldCharType="end"/>
          </w:r>
        </w:p>
        <w:p>
          <w:pPr>
            <w:pStyle w:val="23"/>
            <w:tabs>
              <w:tab w:val="right" w:leader="dot" w:pos="8307"/>
            </w:tabs>
            <w:rPr>
              <w:rFonts w:ascii="楷体_GB2312" w:hAnsi="楷体_GB2312" w:cs="楷体_GB2312"/>
            </w:rPr>
          </w:pPr>
          <w:r>
            <w:fldChar w:fldCharType="begin"/>
          </w:r>
          <w:r>
            <w:instrText xml:space="preserve"> HYPERLINK \l "_Toc6841" </w:instrText>
          </w:r>
          <w:r>
            <w:fldChar w:fldCharType="separate"/>
          </w:r>
          <w:r>
            <w:rPr>
              <w:rFonts w:hint="eastAsia" w:ascii="楷体_GB2312" w:hAnsi="楷体_GB2312" w:cs="楷体_GB2312"/>
            </w:rPr>
            <w:t>第十五章 规划实施</w:t>
          </w:r>
          <w:r>
            <w:rPr>
              <w:rFonts w:hint="eastAsia" w:ascii="楷体_GB2312" w:hAnsi="楷体_GB2312" w:cs="楷体_GB2312"/>
            </w:rPr>
            <w:tab/>
          </w:r>
          <w:r>
            <w:rPr>
              <w:rFonts w:hint="eastAsia" w:ascii="楷体_GB2312" w:hAnsi="楷体_GB2312" w:cs="楷体_GB2312"/>
            </w:rPr>
            <w:fldChar w:fldCharType="begin"/>
          </w:r>
          <w:r>
            <w:rPr>
              <w:rFonts w:hint="eastAsia" w:ascii="楷体_GB2312" w:hAnsi="楷体_GB2312" w:cs="楷体_GB2312"/>
            </w:rPr>
            <w:instrText xml:space="preserve"> PAGEREF _Toc6841 \h </w:instrText>
          </w:r>
          <w:r>
            <w:rPr>
              <w:rFonts w:hint="eastAsia" w:ascii="楷体_GB2312" w:hAnsi="楷体_GB2312" w:cs="楷体_GB2312"/>
            </w:rPr>
            <w:fldChar w:fldCharType="separate"/>
          </w:r>
          <w:r>
            <w:rPr>
              <w:rFonts w:hint="eastAsia" w:ascii="楷体_GB2312" w:hAnsi="楷体_GB2312" w:cs="楷体_GB2312"/>
            </w:rPr>
            <w:t>111</w:t>
          </w:r>
          <w:r>
            <w:rPr>
              <w:rFonts w:hint="eastAsia" w:ascii="楷体_GB2312" w:hAnsi="楷体_GB2312" w:cs="楷体_GB2312"/>
            </w:rPr>
            <w:fldChar w:fldCharType="end"/>
          </w:r>
          <w:r>
            <w:rPr>
              <w:rFonts w:hint="eastAsia" w:ascii="楷体_GB2312" w:hAnsi="楷体_GB2312" w:cs="楷体_GB2312"/>
            </w:rPr>
            <w:fldChar w:fldCharType="end"/>
          </w:r>
        </w:p>
        <w:p>
          <w:pPr>
            <w:pStyle w:val="23"/>
            <w:tabs>
              <w:tab w:val="right" w:leader="dot" w:pos="8307"/>
            </w:tabs>
          </w:pPr>
          <w:r>
            <w:fldChar w:fldCharType="begin"/>
          </w:r>
          <w:r>
            <w:instrText xml:space="preserve"> HYPERLINK \l "_Toc31955" </w:instrText>
          </w:r>
          <w:r>
            <w:fldChar w:fldCharType="separate"/>
          </w:r>
          <w:r>
            <w:rPr>
              <w:rFonts w:hint="eastAsia" w:ascii="楷体_GB2312" w:hAnsi="楷体_GB2312" w:cs="楷体_GB2312"/>
            </w:rPr>
            <w:t>附表</w:t>
          </w:r>
          <w:r>
            <w:rPr>
              <w:rFonts w:hint="eastAsia" w:ascii="楷体_GB2312" w:hAnsi="楷体_GB2312" w:cs="楷体_GB2312"/>
            </w:rPr>
            <w:tab/>
          </w:r>
          <w:r>
            <w:rPr>
              <w:rFonts w:hint="eastAsia" w:ascii="楷体_GB2312" w:hAnsi="楷体_GB2312" w:cs="楷体_GB2312"/>
            </w:rPr>
            <w:fldChar w:fldCharType="begin"/>
          </w:r>
          <w:r>
            <w:rPr>
              <w:rFonts w:hint="eastAsia" w:ascii="楷体_GB2312" w:hAnsi="楷体_GB2312" w:cs="楷体_GB2312"/>
            </w:rPr>
            <w:instrText xml:space="preserve"> PAGEREF _Toc31955 \h </w:instrText>
          </w:r>
          <w:r>
            <w:rPr>
              <w:rFonts w:hint="eastAsia" w:ascii="楷体_GB2312" w:hAnsi="楷体_GB2312" w:cs="楷体_GB2312"/>
            </w:rPr>
            <w:fldChar w:fldCharType="separate"/>
          </w:r>
          <w:r>
            <w:rPr>
              <w:rFonts w:hint="eastAsia" w:ascii="楷体_GB2312" w:hAnsi="楷体_GB2312" w:cs="楷体_GB2312"/>
            </w:rPr>
            <w:t>114</w:t>
          </w:r>
          <w:r>
            <w:rPr>
              <w:rFonts w:hint="eastAsia" w:ascii="楷体_GB2312" w:hAnsi="楷体_GB2312" w:cs="楷体_GB2312"/>
            </w:rPr>
            <w:fldChar w:fldCharType="end"/>
          </w:r>
          <w:r>
            <w:rPr>
              <w:rFonts w:hint="eastAsia" w:ascii="楷体_GB2312" w:hAnsi="楷体_GB2312" w:cs="楷体_GB2312"/>
            </w:rPr>
            <w:fldChar w:fldCharType="end"/>
          </w:r>
        </w:p>
        <w:p>
          <w:r>
            <w:fldChar w:fldCharType="end"/>
          </w:r>
        </w:p>
        <w:p>
          <w:pPr>
            <w:ind w:firstLine="803"/>
          </w:pPr>
        </w:p>
      </w:sdtContent>
    </w:sdt>
    <w:p>
      <w:bookmarkStart w:id="1" w:name="_Toc112"/>
      <w:bookmarkStart w:id="2" w:name="_Toc10575"/>
      <w:bookmarkStart w:id="3" w:name="_Toc127432230"/>
      <w:bookmarkStart w:id="4" w:name="_Toc129339489"/>
      <w:r>
        <w:br w:type="page"/>
      </w:r>
    </w:p>
    <w:p>
      <w:pPr>
        <w:pStyle w:val="2"/>
      </w:pPr>
      <w:r>
        <w:t>总则</w:t>
      </w:r>
      <w:bookmarkEnd w:id="1"/>
      <w:bookmarkEnd w:id="2"/>
      <w:bookmarkEnd w:id="3"/>
      <w:bookmarkEnd w:id="4"/>
    </w:p>
    <w:p>
      <w:pPr>
        <w:pStyle w:val="4"/>
        <w:rPr>
          <w:rFonts w:ascii="Times New Roman" w:hAnsi="Times New Roman"/>
        </w:rPr>
      </w:pPr>
      <w:r>
        <w:rPr>
          <w:rFonts w:ascii="Times New Roman" w:hAnsi="Times New Roman"/>
        </w:rPr>
        <w:t>规划目的</w:t>
      </w:r>
    </w:p>
    <w:p>
      <w:r>
        <w:t>《赤眉镇国土空间总体规划（2021-2035年）》（以下简称</w:t>
      </w:r>
      <w:r>
        <w:rPr>
          <w:rFonts w:hint="eastAsia"/>
        </w:rPr>
        <w:t>“本</w:t>
      </w:r>
      <w:r>
        <w:t>规划</w:t>
      </w:r>
      <w:r>
        <w:rPr>
          <w:rFonts w:hint="eastAsia"/>
        </w:rPr>
        <w:t>”</w:t>
      </w:r>
      <w:r>
        <w:t>）是对内乡县国土空间总体规划（2021-2035年）（以下简称“县总规”）和相关专项规划的深化落实，是对赤眉镇国土空间开发保护做出的总体安排和综合部署，是编制赤眉镇详细规划以及实施国土空间规划用途管制的基本依据。</w:t>
      </w:r>
    </w:p>
    <w:p>
      <w:pPr>
        <w:pStyle w:val="4"/>
        <w:rPr>
          <w:rFonts w:ascii="Times New Roman" w:hAnsi="Times New Roman"/>
        </w:rPr>
      </w:pPr>
      <w:r>
        <w:rPr>
          <w:rFonts w:ascii="Times New Roman" w:hAnsi="Times New Roman"/>
        </w:rPr>
        <w:t>规划范围</w:t>
      </w:r>
    </w:p>
    <w:p>
      <w:r>
        <w:t>规划范围为赤眉镇行政辖区内全部国土空间，包含镇域和镇区两个层次。其中：</w:t>
      </w:r>
    </w:p>
    <w:p>
      <w:r>
        <w:t>镇域范围为赤眉镇行政辖区内全部国土空间，总面积为145.12平方公里。</w:t>
      </w:r>
    </w:p>
    <w:p>
      <w:r>
        <w:t>镇区范围为镇区开发边界围合区域，总面积为1.04平方公里</w:t>
      </w:r>
      <w:r>
        <w:rPr>
          <w:lang w:bidi="ar"/>
        </w:rPr>
        <w:t>。</w:t>
      </w:r>
    </w:p>
    <w:p>
      <w:pPr>
        <w:pStyle w:val="4"/>
        <w:rPr>
          <w:rFonts w:ascii="Times New Roman" w:hAnsi="Times New Roman"/>
        </w:rPr>
      </w:pPr>
      <w:r>
        <w:rPr>
          <w:rFonts w:ascii="Times New Roman" w:hAnsi="Times New Roman"/>
        </w:rPr>
        <w:t>规划原则</w:t>
      </w:r>
    </w:p>
    <w:p>
      <w:r>
        <w:t>1.生态优先、绿色发展</w:t>
      </w:r>
    </w:p>
    <w:p>
      <w:r>
        <w:t>贯彻新时代新要求，坚持内涵式、集约型、绿色化的高质量发展新路子，在资源环境紧约束下编制规划，推动形成绿色发展方式和生活方式，形成发展新的增长点和竞争力。</w:t>
      </w:r>
    </w:p>
    <w:p>
      <w:r>
        <w:t>2.以人为本、品质提升</w:t>
      </w:r>
    </w:p>
    <w:p>
      <w:r>
        <w:t>坚持以人民为中心，塑造高品质人居环境，着力破解各类民生问题，不断提升人民群众的获得感、幸福感、安全感。</w:t>
      </w:r>
    </w:p>
    <w:p>
      <w:r>
        <w:t>3.全域统筹、城乡融合</w:t>
      </w:r>
    </w:p>
    <w:p>
      <w:r>
        <w:t>结合本地实际，发挥本地特色和优势，落实乡村振兴、区域协调发展、可持续发展等空间发展战略，推动形成开放协调的空间发展格局。</w:t>
      </w:r>
    </w:p>
    <w:p>
      <w:r>
        <w:t>4.问题导向、目标导向</w:t>
      </w:r>
    </w:p>
    <w:p>
      <w:r>
        <w:t>按照“问题-目标-策略-机制”的逻辑，因地制宜制定规划方案和实施措施，充分发挥乡镇级总规在空间治理中的基础作用，确保规划能用、管用、好用。</w:t>
      </w:r>
    </w:p>
    <w:p>
      <w:pPr>
        <w:pStyle w:val="4"/>
        <w:rPr>
          <w:rFonts w:ascii="Times New Roman" w:hAnsi="Times New Roman"/>
        </w:rPr>
      </w:pPr>
      <w:r>
        <w:rPr>
          <w:rFonts w:ascii="Times New Roman" w:hAnsi="Times New Roman"/>
        </w:rPr>
        <w:t>规划期限</w:t>
      </w:r>
    </w:p>
    <w:p>
      <w:r>
        <w:t>规划期限为2021年至2035年。</w:t>
      </w:r>
    </w:p>
    <w:p>
      <w:r>
        <w:t>基期年为2020年，近期至2025年，远期至2035年，远景展望至2050年。</w:t>
      </w:r>
    </w:p>
    <w:p>
      <w:pPr>
        <w:pStyle w:val="4"/>
        <w:rPr>
          <w:rFonts w:ascii="Times New Roman" w:hAnsi="Times New Roman"/>
        </w:rPr>
      </w:pPr>
      <w:r>
        <w:rPr>
          <w:rFonts w:ascii="Times New Roman" w:hAnsi="Times New Roman"/>
        </w:rPr>
        <w:t>规划成果</w:t>
      </w:r>
    </w:p>
    <w:p>
      <w:r>
        <w:rPr>
          <w:rFonts w:hint="eastAsia"/>
        </w:rPr>
        <w:t>规划成果中包括规划文本、规划图件、规划数据库和附件。附件包括规划说明、相关部门意见征求及采纳情况、专家论证、公众参与、人大审议等材料。其中，规划文本、规划图件是法定文件，规划说明和相关附件是支撑法定性文件的论证依据。</w:t>
      </w:r>
    </w:p>
    <w:p>
      <w:pPr>
        <w:pStyle w:val="4"/>
        <w:rPr>
          <w:rFonts w:ascii="Times New Roman" w:hAnsi="Times New Roman"/>
        </w:rPr>
      </w:pPr>
      <w:r>
        <w:rPr>
          <w:rFonts w:hint="eastAsia" w:ascii="Times New Roman" w:hAnsi="Times New Roman"/>
        </w:rPr>
        <w:t>强制性内容</w:t>
      </w:r>
    </w:p>
    <w:p>
      <w:r>
        <w:rPr>
          <w:rFonts w:hint="eastAsia"/>
        </w:rPr>
        <w:t>文本中加下划线的内容为强制性内容。</w:t>
      </w:r>
    </w:p>
    <w:p>
      <w:pPr>
        <w:pStyle w:val="4"/>
        <w:rPr>
          <w:rFonts w:ascii="Times New Roman" w:hAnsi="Times New Roman"/>
        </w:rPr>
      </w:pPr>
      <w:r>
        <w:rPr>
          <w:rFonts w:hint="eastAsia" w:ascii="Times New Roman" w:hAnsi="Times New Roman"/>
        </w:rPr>
        <w:t>规划实施</w:t>
      </w:r>
    </w:p>
    <w:p>
      <w:r>
        <w:rPr>
          <w:rFonts w:hint="eastAsia"/>
        </w:rPr>
        <w:t>本规划自南阳市人民政府批准之日起生效执行，由赤眉镇人民政府组织实施</w:t>
      </w:r>
    </w:p>
    <w:p>
      <w:pPr>
        <w:rPr>
          <w:rFonts w:eastAsia="方正小标宋简体"/>
          <w:kern w:val="44"/>
          <w:sz w:val="36"/>
          <w:szCs w:val="44"/>
        </w:rPr>
      </w:pPr>
      <w:r>
        <w:br w:type="page"/>
      </w:r>
    </w:p>
    <w:p/>
    <w:p>
      <w:pPr>
        <w:pStyle w:val="2"/>
      </w:pPr>
      <w:bookmarkStart w:id="5" w:name="_Toc28635"/>
      <w:bookmarkStart w:id="6" w:name="_Toc10869"/>
      <w:r>
        <w:t>现状分析</w:t>
      </w:r>
      <w:bookmarkEnd w:id="5"/>
      <w:bookmarkEnd w:id="6"/>
    </w:p>
    <w:p>
      <w:pPr>
        <w:pStyle w:val="3"/>
        <w:rPr>
          <w:rFonts w:ascii="Times New Roman" w:hAnsi="Times New Roman"/>
        </w:rPr>
      </w:pPr>
      <w:bookmarkStart w:id="7" w:name="_Toc12660"/>
      <w:r>
        <w:rPr>
          <w:rFonts w:ascii="Times New Roman" w:hAnsi="Times New Roman"/>
        </w:rPr>
        <w:t>自然地理格局和资源禀赋</w:t>
      </w:r>
      <w:bookmarkEnd w:id="7"/>
    </w:p>
    <w:p>
      <w:pPr>
        <w:pStyle w:val="4"/>
        <w:rPr>
          <w:rFonts w:ascii="Times New Roman" w:hAnsi="Times New Roman"/>
        </w:rPr>
      </w:pPr>
      <w:bookmarkStart w:id="8" w:name="_Hlk150173612"/>
      <w:r>
        <w:rPr>
          <w:rFonts w:ascii="Times New Roman" w:hAnsi="Times New Roman"/>
        </w:rPr>
        <w:t>自然地理格局</w:t>
      </w:r>
    </w:p>
    <w:bookmarkEnd w:id="8"/>
    <w:p>
      <w:pPr>
        <w:ind w:firstLine="643"/>
      </w:pPr>
      <w:r>
        <w:rPr>
          <w:b/>
          <w:bCs/>
        </w:rPr>
        <w:t>地处伏牛山南麓，北高南低，三面环山，呈“簸箕状”，是内乡县北部山区向丘陵平原区重要的过度地带。</w:t>
      </w:r>
      <w:r>
        <w:t>赤眉镇地处伏牛山支脉西洋山和大寨山南麓，属于浅山区向丘陵过渡地带，境内地势北高南低，三面环山，呈“簸箕状”。境内多丘陵和山地，形成呈南北走向的丘陵地带，东部为南北走向岗坡地带，中间系默河岸边的沃土平原区，境内最高峰位于河东村薛家自然村，西高顶，海拔353米；最低点位于堰张村默河边马湾，海拔5米。</w:t>
      </w:r>
    </w:p>
    <w:p>
      <w:pPr>
        <w:ind w:firstLine="643"/>
      </w:pPr>
      <w:r>
        <w:rPr>
          <w:b/>
          <w:bCs/>
        </w:rPr>
        <w:t>位于湍河上游区，形成枝状的水系网络。</w:t>
      </w:r>
      <w:r>
        <w:t>赤眉镇境内主要河流有湍河、东北川河、弹琴河、郑岔沟河、洗眉河、火神庙河，属汉水流域的唐白河水系，其中主河道为湍河，自北向南迂回弯曲，纵贯全镇，山脉以湍河为分割线，东为园垛山，西为方山。东部有斩龙岗水库，为内乡县重要水源地之一。</w:t>
      </w:r>
    </w:p>
    <w:p>
      <w:pPr>
        <w:pStyle w:val="4"/>
        <w:rPr>
          <w:rFonts w:ascii="Times New Roman" w:hAnsi="Times New Roman"/>
        </w:rPr>
      </w:pPr>
      <w:bookmarkStart w:id="9" w:name="_Hlk150173613"/>
      <w:r>
        <w:rPr>
          <w:rFonts w:ascii="Times New Roman" w:hAnsi="Times New Roman"/>
        </w:rPr>
        <w:t>自然资源禀赋</w:t>
      </w:r>
    </w:p>
    <w:p>
      <w:pPr>
        <w:ind w:firstLine="643"/>
      </w:pPr>
      <w:r>
        <w:rPr>
          <w:b/>
          <w:bCs/>
        </w:rPr>
        <w:t>水土条件较好，气候温和，四季分明。</w:t>
      </w:r>
      <w:r>
        <w:t>赤眉镇属亚热带大陆性季风气候，多年平均气温15℃，日平均气温高于10℃，日照时间月平均为164小时，无霜期年平均218天，降水量年平均为720毫米左右，适生各种农作物，为农业发展奠定了良好基础。镇域坡度基本在5度以内，宜建宜农，北部东西横亘的麦子山作为天然生态屏障，为赤眉镇世代居民的栖居和农业发展提供了绝佳的条件。</w:t>
      </w:r>
    </w:p>
    <w:p>
      <w:pPr>
        <w:ind w:firstLine="643"/>
      </w:pPr>
      <w:r>
        <w:rPr>
          <w:b/>
          <w:bCs/>
        </w:rPr>
        <w:t>境内水资源丰富。</w:t>
      </w:r>
      <w:r>
        <w:t>赤眉镇境内主要河流有湍河、东北川河、弹琴河、郑岔沟河、洗眉河、火神庙河，属汉水流域的唐白河水系。东部有大型水库斩龙岗水库，为内乡县重要水源地之一，另有庙山水库、庙沟水库、王沟水库等小型水库。境内老龙潭灌区的赤眉段干渠长20公里，可灌溉面积1.2万亩，斩龙岗水库灌区赤眉段干渠6公里，可灌溉面积3000亩。</w:t>
      </w:r>
    </w:p>
    <w:bookmarkEnd w:id="9"/>
    <w:p>
      <w:pPr>
        <w:pStyle w:val="4"/>
        <w:rPr>
          <w:rFonts w:ascii="Times New Roman" w:hAnsi="Times New Roman"/>
        </w:rPr>
      </w:pPr>
      <w:bookmarkStart w:id="10" w:name="_Hlk150173614"/>
      <w:r>
        <w:rPr>
          <w:rFonts w:ascii="Times New Roman" w:hAnsi="Times New Roman"/>
        </w:rPr>
        <w:t>国土空间用地现状</w:t>
      </w:r>
      <w:bookmarkEnd w:id="10"/>
    </w:p>
    <w:p>
      <w:r>
        <w:t>根据2020年国土变更调查数据，镇域国土空间总用地面积14512.24公顷，其中耕地面积</w:t>
      </w:r>
      <w:r>
        <w:rPr>
          <w:rFonts w:hint="eastAsia"/>
        </w:rPr>
        <w:t>3550.57</w:t>
      </w:r>
      <w:r>
        <w:t>公顷，占比2</w:t>
      </w:r>
      <w:r>
        <w:rPr>
          <w:rFonts w:hint="eastAsia"/>
        </w:rPr>
        <w:t>4.47</w:t>
      </w:r>
      <w:r>
        <w:t>%，其中永久基本农田面积2950.1</w:t>
      </w:r>
      <w:r>
        <w:rPr>
          <w:rFonts w:hint="eastAsia"/>
        </w:rPr>
        <w:t>7</w:t>
      </w:r>
      <w:r>
        <w:t>公顷；园地面积349</w:t>
      </w:r>
      <w:r>
        <w:rPr>
          <w:rFonts w:hint="eastAsia"/>
        </w:rPr>
        <w:t>3.55</w:t>
      </w:r>
      <w:r>
        <w:t>公顷，占比24.0</w:t>
      </w:r>
      <w:r>
        <w:rPr>
          <w:rFonts w:hint="eastAsia"/>
        </w:rPr>
        <w:t>7</w:t>
      </w:r>
      <w:r>
        <w:t>%；林地面积5</w:t>
      </w:r>
      <w:r>
        <w:rPr>
          <w:rFonts w:hint="eastAsia"/>
        </w:rPr>
        <w:t>312.19</w:t>
      </w:r>
      <w:r>
        <w:t>公顷，占比3</w:t>
      </w:r>
      <w:r>
        <w:rPr>
          <w:rFonts w:hint="eastAsia"/>
        </w:rPr>
        <w:t>6.60</w:t>
      </w:r>
      <w:r>
        <w:t>%；草地面积为</w:t>
      </w:r>
      <w:r>
        <w:rPr>
          <w:rFonts w:hint="eastAsia"/>
        </w:rPr>
        <w:t>84.86</w:t>
      </w:r>
      <w:r>
        <w:t>公顷，占比0.</w:t>
      </w:r>
      <w:r>
        <w:rPr>
          <w:rFonts w:hint="eastAsia"/>
        </w:rPr>
        <w:t>58</w:t>
      </w:r>
      <w:r>
        <w:t>%；湿地面积为63.49公顷，占比0.44%；</w:t>
      </w:r>
      <w:r>
        <w:rPr>
          <w:rFonts w:hint="eastAsia"/>
        </w:rPr>
        <w:t>农业设施建设用地面积为209.08公顷，占比1.44%；</w:t>
      </w:r>
      <w:r>
        <w:t>城乡建设用地面积73</w:t>
      </w:r>
      <w:r>
        <w:rPr>
          <w:rFonts w:hint="eastAsia"/>
        </w:rPr>
        <w:t>3.61</w:t>
      </w:r>
      <w:r>
        <w:t>公顷，占比5.</w:t>
      </w:r>
      <w:r>
        <w:rPr>
          <w:rFonts w:hint="eastAsia"/>
        </w:rPr>
        <w:t>06</w:t>
      </w:r>
      <w:r>
        <w:t>%，其中城镇建设用地10</w:t>
      </w:r>
      <w:r>
        <w:rPr>
          <w:rFonts w:hint="eastAsia"/>
        </w:rPr>
        <w:t>8.35</w:t>
      </w:r>
      <w:r>
        <w:t>公顷，占比0.7</w:t>
      </w:r>
      <w:r>
        <w:rPr>
          <w:rFonts w:hint="eastAsia"/>
        </w:rPr>
        <w:t>5</w:t>
      </w:r>
      <w:r>
        <w:t>%，村庄建设用地面积625.</w:t>
      </w:r>
      <w:r>
        <w:rPr>
          <w:rFonts w:hint="eastAsia"/>
        </w:rPr>
        <w:t>26</w:t>
      </w:r>
      <w:r>
        <w:t>公顷，占比4.31%；区域基础设施用地面积</w:t>
      </w:r>
      <w:r>
        <w:rPr>
          <w:rFonts w:hint="eastAsia"/>
        </w:rPr>
        <w:t>58.35</w:t>
      </w:r>
      <w:r>
        <w:t>公顷，占比0.4</w:t>
      </w:r>
      <w:r>
        <w:rPr>
          <w:rFonts w:hint="eastAsia"/>
        </w:rPr>
        <w:t>0</w:t>
      </w:r>
      <w:r>
        <w:t>%；其</w:t>
      </w:r>
      <w:r>
        <w:rPr>
          <w:rFonts w:hint="eastAsia"/>
        </w:rPr>
        <w:t>他</w:t>
      </w:r>
      <w:r>
        <w:t>建设用地面积3</w:t>
      </w:r>
      <w:r>
        <w:rPr>
          <w:rFonts w:hint="eastAsia"/>
        </w:rPr>
        <w:t>9.08</w:t>
      </w:r>
      <w:r>
        <w:t>公顷，占比0.27%；陆地水域面积637</w:t>
      </w:r>
      <w:r>
        <w:rPr>
          <w:rFonts w:hint="eastAsia"/>
        </w:rPr>
        <w:t>.78</w:t>
      </w:r>
      <w:r>
        <w:t>公顷，占比4.</w:t>
      </w:r>
      <w:r>
        <w:rPr>
          <w:rFonts w:hint="eastAsia"/>
        </w:rPr>
        <w:t>39</w:t>
      </w:r>
      <w:r>
        <w:t>%；其它土地面积3</w:t>
      </w:r>
      <w:r>
        <w:rPr>
          <w:rFonts w:hint="eastAsia"/>
        </w:rPr>
        <w:t>29.89</w:t>
      </w:r>
      <w:r>
        <w:t>公顷，占比2.</w:t>
      </w:r>
      <w:r>
        <w:rPr>
          <w:rFonts w:hint="eastAsia"/>
        </w:rPr>
        <w:t>27</w:t>
      </w:r>
      <w:r>
        <w:t>%。</w:t>
      </w:r>
    </w:p>
    <w:p>
      <w:pPr>
        <w:pStyle w:val="3"/>
        <w:rPr>
          <w:rFonts w:ascii="Times New Roman" w:hAnsi="Times New Roman"/>
        </w:rPr>
      </w:pPr>
      <w:bookmarkStart w:id="11" w:name="_Toc5009"/>
      <w:r>
        <w:rPr>
          <w:rFonts w:ascii="Times New Roman" w:hAnsi="Times New Roman"/>
        </w:rPr>
        <w:t>发展现状与发展成效</w:t>
      </w:r>
      <w:bookmarkEnd w:id="11"/>
    </w:p>
    <w:p>
      <w:pPr>
        <w:pStyle w:val="4"/>
        <w:rPr>
          <w:rFonts w:ascii="Times New Roman" w:hAnsi="Times New Roman"/>
        </w:rPr>
      </w:pPr>
      <w:r>
        <w:rPr>
          <w:rFonts w:ascii="Times New Roman" w:hAnsi="Times New Roman"/>
        </w:rPr>
        <w:t>发展现状与成效</w:t>
      </w:r>
    </w:p>
    <w:p>
      <w:r>
        <w:rPr>
          <w:rFonts w:hint="eastAsia"/>
        </w:rPr>
        <w:t>按照“因地制宜、适地适树”的原则，积极培育发展林果支柱产业，以“三品”建设为核心，打造精品示范园，拉长产业链条。通过聚爱优选等电商网货上行，增加品牌溢价，实现果农增收。目前，全镇有以油桃、黑李、樱桃、猕猴桃为主的林果面积近10万亩，总产值超亿元。今年，受新冠肺炎疫情影响，丰收的赤眉油桃面临销售难问题，县长杨曙光高瞻远瞩，提前谋划赤眉油桃直播销售活动，以政府信用为赤眉油桃背书，更是亲临直播现场为赤眉油桃代言，依托牧原公司聚爱优选团队和网红直播，直播当天累计销售额达98万余元，有效拓展了赤眉油桃销售渠道，提高了赤眉油桃市场竞争力。茶产业：依托琴溪湖高效农业开发公司和华慧茶业公司两家农业公司，打造“琴溪”茶业品牌，建设琴溪湖茶产业基地。探索创新多元发展之路，挖掘茶文化，开发茶产品，形成“种茶、制茶、赏茶、品茶、卖茶”产业链条，结合琴溪湖优美的自然风光走出农游一体新路子。</w:t>
      </w:r>
    </w:p>
    <w:p>
      <w:pPr>
        <w:pStyle w:val="3"/>
        <w:rPr>
          <w:rFonts w:ascii="Times New Roman" w:hAnsi="Times New Roman"/>
        </w:rPr>
      </w:pPr>
      <w:bookmarkStart w:id="12" w:name="_Toc1187"/>
      <w:r>
        <w:rPr>
          <w:rFonts w:ascii="Times New Roman" w:hAnsi="Times New Roman"/>
        </w:rPr>
        <w:t>主要问题和风险挑战</w:t>
      </w:r>
      <w:bookmarkEnd w:id="12"/>
    </w:p>
    <w:p>
      <w:pPr>
        <w:pStyle w:val="4"/>
        <w:rPr>
          <w:rFonts w:ascii="Times New Roman" w:hAnsi="Times New Roman"/>
        </w:rPr>
      </w:pPr>
      <w:r>
        <w:rPr>
          <w:rFonts w:ascii="Times New Roman" w:hAnsi="Times New Roman"/>
        </w:rPr>
        <w:t>主要问题</w:t>
      </w:r>
    </w:p>
    <w:p>
      <w:pPr>
        <w:ind w:firstLine="643"/>
      </w:pPr>
      <w:r>
        <w:rPr>
          <w:b/>
          <w:bCs/>
        </w:rPr>
        <w:t>支撑体系存在明显短板、城乡供给不平衡。</w:t>
      </w:r>
      <w:r>
        <w:t>镇区强、乡村弱，镇区各类服务设施集中分布在城镇，城乡供给不平衡。镇区生活圈级设施数量不足，公共设施建设速度严重滞后于居住区和建成区的拓展速度，乡村文体配置不够，服务均等化程度低。</w:t>
      </w:r>
    </w:p>
    <w:p>
      <w:pPr>
        <w:pStyle w:val="4"/>
        <w:rPr>
          <w:rFonts w:ascii="Times New Roman" w:hAnsi="Times New Roman"/>
        </w:rPr>
      </w:pPr>
      <w:r>
        <w:rPr>
          <w:rFonts w:ascii="Times New Roman" w:hAnsi="Times New Roman"/>
        </w:rPr>
        <w:t>风险挑战</w:t>
      </w:r>
    </w:p>
    <w:p>
      <w:pPr>
        <w:ind w:firstLine="643"/>
      </w:pPr>
      <w:r>
        <w:rPr>
          <w:b/>
          <w:bCs/>
        </w:rPr>
        <w:t>要素约束趋紧，城市能级提升面临挑战。</w:t>
      </w:r>
      <w:r>
        <w:t>在生态环境保护要求不断提高，水资源、土地资源等要素约束趋紧的背景下，城市产业升级、城镇化推进、城市空间结构优化、公共服务和市政公用设施完善等方面都将面临一定的制约。</w:t>
      </w:r>
    </w:p>
    <w:p>
      <w:pPr>
        <w:ind w:firstLine="643"/>
        <w:rPr>
          <w:lang w:bidi="ar"/>
        </w:rPr>
      </w:pPr>
      <w:r>
        <w:rPr>
          <w:b/>
          <w:bCs/>
        </w:rPr>
        <w:t>国土空间治理面临挑战。</w:t>
      </w:r>
      <w:r>
        <w:t>耕地保护、规划管理、监督执法等方面管理要求的加强对城乡治理水平有了更高的要求，在土地管理和城乡建设中存在一定的管理挑战。人居环境整治、乡村建设行动和国土综合整治与生态修复等项目的实施中，系统性的组织管理存在着一定的挑战。</w:t>
      </w:r>
    </w:p>
    <w:p>
      <w:pPr>
        <w:pStyle w:val="3"/>
        <w:rPr>
          <w:rFonts w:ascii="Times New Roman" w:hAnsi="Times New Roman"/>
        </w:rPr>
      </w:pPr>
      <w:bookmarkStart w:id="13" w:name="_Toc13598"/>
      <w:r>
        <w:rPr>
          <w:rFonts w:ascii="Times New Roman" w:hAnsi="Times New Roman"/>
        </w:rPr>
        <w:t>区域重大战略、上位规划</w:t>
      </w:r>
      <w:bookmarkEnd w:id="13"/>
    </w:p>
    <w:p>
      <w:pPr>
        <w:pStyle w:val="4"/>
        <w:rPr>
          <w:rFonts w:ascii="Times New Roman" w:hAnsi="Times New Roman"/>
        </w:rPr>
      </w:pPr>
      <w:r>
        <w:rPr>
          <w:rFonts w:ascii="Times New Roman" w:hAnsi="Times New Roman"/>
        </w:rPr>
        <w:t>区域重大战略</w:t>
      </w:r>
    </w:p>
    <w:p>
      <w:r>
        <w:t>1.主体功能区战略</w:t>
      </w:r>
    </w:p>
    <w:p>
      <w:r>
        <w:t>南阳市国土空间总体规划中确定，赤眉镇主体功能为重点生态功能区、历史文化资源富集区。</w:t>
      </w:r>
    </w:p>
    <w:p>
      <w:r>
        <w:t>2.新型城镇化战略</w:t>
      </w:r>
    </w:p>
    <w:p>
      <w:r>
        <w:t>河南省新型城镇化战略提出构建大中小城市协调发展的城镇化新格局，加快县域经济高质量发展，推动农业转移人口全面融入城市，建设宜居韧性智慧现代化城市，促进城乡深度融合发展，推进城市治理体系和治理能力现代化。在促进城乡深度融合发展中提出充分发挥试验区带动效应，合理配置城乡发展要素，深入开展乡村建设行动，扎实推动城乡共同富裕。</w:t>
      </w:r>
    </w:p>
    <w:p>
      <w:r>
        <w:t>3.乡村振兴战略</w:t>
      </w:r>
    </w:p>
    <w:p>
      <w:r>
        <w:t>河南省“十四五”乡村振兴和农业农村现代化规划提出，提升粮食等重要农产品核心竞争力，推进农业供给侧结构性改革，构建乡村产业体系，推进创新驱动发展，推进农业农村绿色发展，巩固拓展脱贫攻坚成果同乡村振兴有效衔接，实施乡村建设行动，夯实乡村治理根基，推进城乡融合发展。</w:t>
      </w:r>
    </w:p>
    <w:p>
      <w:pPr>
        <w:pStyle w:val="4"/>
        <w:rPr>
          <w:rFonts w:ascii="Times New Roman" w:hAnsi="Times New Roman"/>
        </w:rPr>
      </w:pPr>
      <w:r>
        <w:rPr>
          <w:rFonts w:ascii="Times New Roman" w:hAnsi="Times New Roman"/>
        </w:rPr>
        <w:t>上位规划</w:t>
      </w:r>
    </w:p>
    <w:p>
      <w:r>
        <w:t>1.内乡县国民经济和社会发展第十四个五年规划和二</w:t>
      </w:r>
      <w:r>
        <w:rPr>
          <w:rFonts w:eastAsia="微软雅黑"/>
        </w:rPr>
        <w:t>〇</w:t>
      </w:r>
      <w:r>
        <w:t>三五年远景目标纲要</w:t>
      </w:r>
    </w:p>
    <w:p>
      <w:r>
        <w:t>发展定位：“十四五”时期，全面开启内乡现代化建设新征程，推动经济社会高质量发展，必须坚持实施“两县一中心”的战略定位——全国现代猪产业第一县；县域治理“三起来”示范县；区域性物流中心。</w:t>
      </w:r>
    </w:p>
    <w:p>
      <w:r>
        <w:t>2035年远景目标：全国经济强县、全国乡村振兴先进县、全国县域社会治理现代化先进县。</w:t>
      </w:r>
    </w:p>
    <w:p>
      <w:r>
        <w:t>2.内乡县国土空间总体规划（2021-2035年）</w:t>
      </w:r>
    </w:p>
    <w:p>
      <w:r>
        <w:t>（1）县级发展定位与城市性质</w:t>
      </w:r>
    </w:p>
    <w:p>
      <w:r>
        <w:t>发展定位：华夏生猪产业第一县、农牧装备之都、工业强县、农牧大县和文旅名县。</w:t>
      </w:r>
    </w:p>
    <w:p>
      <w:r>
        <w:t>城市性质：豫陕鄂省际重要的交通枢纽、物流基地，装备制造、农牧和特色农产品加工基地；国家衙署文化（廉政文化、官德文化）标识地，宜居宜业宜游的现代化城市。</w:t>
      </w:r>
    </w:p>
    <w:p>
      <w:r>
        <w:t>（2）对赤眉镇指引</w:t>
      </w:r>
    </w:p>
    <w:p>
      <w:r>
        <w:t>内乡县国土空间总体规划中确定赤眉镇为重点镇，人口规模基本为1—3万人，城镇职能为综合型城镇，以绿色农产品种植及深加工、商贸服务为主。</w:t>
      </w:r>
    </w:p>
    <w:p>
      <w:pPr>
        <w:rPr>
          <w:rFonts w:eastAsia="方正小标宋简体"/>
          <w:kern w:val="44"/>
          <w:sz w:val="36"/>
          <w:szCs w:val="44"/>
        </w:rPr>
      </w:pPr>
      <w:r>
        <w:br w:type="page"/>
      </w:r>
    </w:p>
    <w:p/>
    <w:p>
      <w:pPr>
        <w:pStyle w:val="2"/>
      </w:pPr>
      <w:bookmarkStart w:id="14" w:name="_Toc31430"/>
      <w:bookmarkStart w:id="15" w:name="_Toc2450"/>
      <w:r>
        <w:t>发展定位与目标</w:t>
      </w:r>
      <w:bookmarkEnd w:id="14"/>
      <w:bookmarkEnd w:id="15"/>
    </w:p>
    <w:p>
      <w:pPr>
        <w:pStyle w:val="3"/>
        <w:rPr>
          <w:rFonts w:ascii="Times New Roman" w:hAnsi="Times New Roman"/>
        </w:rPr>
      </w:pPr>
      <w:bookmarkStart w:id="16" w:name="_Toc15861"/>
      <w:r>
        <w:rPr>
          <w:rFonts w:ascii="Times New Roman" w:hAnsi="Times New Roman"/>
        </w:rPr>
        <w:t>发展定位</w:t>
      </w:r>
      <w:bookmarkEnd w:id="16"/>
    </w:p>
    <w:p>
      <w:pPr>
        <w:pStyle w:val="4"/>
        <w:rPr>
          <w:rFonts w:ascii="Times New Roman" w:hAnsi="Times New Roman"/>
        </w:rPr>
      </w:pPr>
      <w:r>
        <w:rPr>
          <w:rFonts w:hint="eastAsia" w:ascii="Times New Roman" w:hAnsi="Times New Roman"/>
        </w:rPr>
        <w:t>落实乡镇主体功能</w:t>
      </w:r>
    </w:p>
    <w:p>
      <w:pPr>
        <w:rPr>
          <w:u w:val="single"/>
        </w:rPr>
      </w:pPr>
      <w:r>
        <w:rPr>
          <w:rFonts w:hint="eastAsia"/>
          <w:u w:val="single"/>
        </w:rPr>
        <w:t>重点生态功能区、历史文化资源富集区。</w:t>
      </w:r>
    </w:p>
    <w:p>
      <w:pPr>
        <w:pStyle w:val="4"/>
        <w:rPr>
          <w:rFonts w:ascii="Times New Roman" w:hAnsi="Times New Roman"/>
        </w:rPr>
      </w:pPr>
      <w:r>
        <w:rPr>
          <w:rFonts w:ascii="Times New Roman" w:hAnsi="Times New Roman"/>
        </w:rPr>
        <w:t>发展定位</w:t>
      </w:r>
    </w:p>
    <w:p>
      <w:r>
        <w:t>伏牛山近山生态发展区</w:t>
      </w:r>
      <w:r>
        <w:rPr>
          <w:rFonts w:hint="eastAsia"/>
        </w:rPr>
        <w:t>，</w:t>
      </w:r>
      <w:r>
        <w:t>内乡县西北部区域服务中心</w:t>
      </w:r>
      <w:r>
        <w:rPr>
          <w:rFonts w:hint="eastAsia"/>
        </w:rPr>
        <w:t>，</w:t>
      </w:r>
      <w:r>
        <w:t>伏牛山生态宜居小镇，伏牛山特色林果产业基地。</w:t>
      </w:r>
    </w:p>
    <w:p>
      <w:pPr>
        <w:pStyle w:val="3"/>
        <w:rPr>
          <w:rFonts w:ascii="Times New Roman" w:hAnsi="Times New Roman"/>
        </w:rPr>
      </w:pPr>
      <w:bookmarkStart w:id="17" w:name="_Toc11165"/>
      <w:r>
        <w:rPr>
          <w:rFonts w:ascii="Times New Roman" w:hAnsi="Times New Roman"/>
        </w:rPr>
        <w:t>发展目标</w:t>
      </w:r>
      <w:bookmarkEnd w:id="17"/>
    </w:p>
    <w:p>
      <w:pPr>
        <w:pStyle w:val="4"/>
        <w:rPr>
          <w:rFonts w:ascii="Times New Roman" w:hAnsi="Times New Roman"/>
        </w:rPr>
      </w:pPr>
      <w:r>
        <w:rPr>
          <w:rFonts w:ascii="Times New Roman" w:hAnsi="Times New Roman"/>
        </w:rPr>
        <w:t>发展目标</w:t>
      </w:r>
    </w:p>
    <w:p>
      <w:r>
        <w:t>1.2025年发展目标</w:t>
      </w:r>
    </w:p>
    <w:p>
      <w:bookmarkStart w:id="18" w:name="_Hlk143791640"/>
      <w:r>
        <w:t>三条空间管制控制线全面落地，优化国土空间，完善基础设施，拓展茶果产业链，提升乡村旅游品质，打造油桃田园综合发展示范区。</w:t>
      </w:r>
      <w:bookmarkEnd w:id="18"/>
    </w:p>
    <w:p>
      <w:r>
        <w:t>2.2035年发展目标</w:t>
      </w:r>
    </w:p>
    <w:p>
      <w:r>
        <w:t>基本实现国土空间治理体系和治理能力现代化，以伏牛山生态保护与发展为指引，保障生态与粮食安全，优化国土空间与产业布局，整合茶果种植、乡村旅游、商贸服务等产业，打造内乡县西北部区域综合服务中心，建设成为国内知名的伏牛山林果产业基地。</w:t>
      </w:r>
    </w:p>
    <w:p>
      <w:pPr>
        <w:pStyle w:val="3"/>
        <w:rPr>
          <w:rFonts w:ascii="Times New Roman" w:hAnsi="Times New Roman"/>
        </w:rPr>
      </w:pPr>
      <w:bookmarkStart w:id="19" w:name="_Toc8696"/>
      <w:r>
        <w:rPr>
          <w:rFonts w:ascii="Times New Roman" w:hAnsi="Times New Roman"/>
        </w:rPr>
        <w:t>规划指标体系</w:t>
      </w:r>
      <w:bookmarkEnd w:id="19"/>
    </w:p>
    <w:p>
      <w:pPr>
        <w:pStyle w:val="4"/>
        <w:rPr>
          <w:rFonts w:ascii="Times New Roman" w:hAnsi="Times New Roman"/>
        </w:rPr>
      </w:pPr>
      <w:r>
        <w:rPr>
          <w:rFonts w:ascii="Times New Roman" w:hAnsi="Times New Roman"/>
        </w:rPr>
        <w:t>规划指标体系</w:t>
      </w:r>
    </w:p>
    <w:p>
      <w:bookmarkStart w:id="20" w:name="_Hlk152769328"/>
      <w:r>
        <w:t>全镇国土空间规划指标体系涉及空间底线、空间结构与效率以及空间品质，共三大类17项，其中约束性指标7项，预期性指标</w:t>
      </w:r>
      <w:r>
        <w:rPr>
          <w:rFonts w:hint="eastAsia"/>
        </w:rPr>
        <w:t>10</w:t>
      </w:r>
      <w:r>
        <w:t>项。指标体系基于2020年为基期值，提出2025年和2035年目标值。详见附表</w:t>
      </w:r>
      <w:r>
        <w:rPr>
          <w:rFonts w:hint="eastAsia"/>
        </w:rPr>
        <w:t>1</w:t>
      </w:r>
      <w:r>
        <w:t>。</w:t>
      </w:r>
    </w:p>
    <w:bookmarkEnd w:id="20"/>
    <w:p/>
    <w:p>
      <w:pPr>
        <w:rPr>
          <w:rFonts w:eastAsia="方正小标宋简体"/>
          <w:kern w:val="44"/>
          <w:sz w:val="36"/>
          <w:szCs w:val="44"/>
        </w:rPr>
      </w:pPr>
      <w:bookmarkStart w:id="21" w:name="_Hlk150329632"/>
      <w:r>
        <w:br w:type="page"/>
      </w:r>
    </w:p>
    <w:p/>
    <w:bookmarkEnd w:id="21"/>
    <w:p>
      <w:pPr>
        <w:pStyle w:val="2"/>
      </w:pPr>
      <w:bookmarkStart w:id="22" w:name="_Toc14386"/>
      <w:bookmarkStart w:id="23" w:name="_Toc834"/>
      <w:r>
        <w:rPr>
          <w:rFonts w:hint="eastAsia"/>
        </w:rPr>
        <w:t>底线约束</w:t>
      </w:r>
      <w:bookmarkEnd w:id="22"/>
      <w:bookmarkEnd w:id="23"/>
    </w:p>
    <w:p>
      <w:pPr>
        <w:pStyle w:val="3"/>
        <w:rPr>
          <w:rFonts w:ascii="Times New Roman" w:hAnsi="Times New Roman"/>
        </w:rPr>
      </w:pPr>
      <w:bookmarkStart w:id="24" w:name="_Toc28626"/>
      <w:bookmarkStart w:id="25" w:name="_Hlk142658448"/>
      <w:r>
        <w:rPr>
          <w:rFonts w:ascii="Times New Roman" w:hAnsi="Times New Roman"/>
        </w:rPr>
        <w:t>严格落实“三区三线”</w:t>
      </w:r>
      <w:bookmarkEnd w:id="24"/>
    </w:p>
    <w:bookmarkEnd w:id="25"/>
    <w:p>
      <w:pPr>
        <w:pStyle w:val="4"/>
        <w:rPr>
          <w:rFonts w:ascii="Times New Roman" w:hAnsi="Times New Roman"/>
        </w:rPr>
      </w:pPr>
      <w:r>
        <w:rPr>
          <w:rFonts w:ascii="Times New Roman" w:hAnsi="Times New Roman"/>
        </w:rPr>
        <w:t>严格落实耕地和永久基本农田</w:t>
      </w:r>
    </w:p>
    <w:p>
      <w:r>
        <w:t>1.耕地保护红线</w:t>
      </w:r>
    </w:p>
    <w:p>
      <w:pPr>
        <w:rPr>
          <w:u w:val="single"/>
        </w:rPr>
      </w:pPr>
      <w:r>
        <w:t>根据上位规划传导，</w:t>
      </w:r>
      <w:r>
        <w:rPr>
          <w:u w:val="single"/>
        </w:rPr>
        <w:t>全镇共划定耕地保护目标</w:t>
      </w:r>
      <w:r>
        <w:rPr>
          <w:rFonts w:hint="eastAsia"/>
          <w:u w:val="single"/>
        </w:rPr>
        <w:t>3510.36</w:t>
      </w:r>
      <w:r>
        <w:rPr>
          <w:u w:val="single"/>
        </w:rPr>
        <w:t>公顷。</w:t>
      </w:r>
    </w:p>
    <w:p>
      <w:r>
        <w:t>2.永久基本农田</w:t>
      </w:r>
    </w:p>
    <w:p>
      <w:pPr>
        <w:rPr>
          <w:u w:val="single"/>
        </w:rPr>
      </w:pPr>
      <w:r>
        <w:t>根据上位规划传导，</w:t>
      </w:r>
      <w:r>
        <w:rPr>
          <w:u w:val="single"/>
        </w:rPr>
        <w:t>全镇共划定永久基本农田保护红线3312.31公顷</w:t>
      </w:r>
      <w:r>
        <w:rPr>
          <w:rFonts w:hint="eastAsia"/>
          <w:u w:val="single"/>
        </w:rPr>
        <w:t>，实际落实永久基本农田保护红线3416.89公顷</w:t>
      </w:r>
      <w:r>
        <w:rPr>
          <w:u w:val="single"/>
        </w:rPr>
        <w:t>。</w:t>
      </w:r>
    </w:p>
    <w:p>
      <w:r>
        <w:t>3.管控规则</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3" w:type="dxa"/>
            <w:shd w:val="clear" w:color="auto" w:fill="auto"/>
            <w:vAlign w:val="center"/>
          </w:tcPr>
          <w:p>
            <w:pPr>
              <w:rPr>
                <w:lang w:bidi="ar"/>
              </w:rPr>
            </w:pPr>
            <w:r>
              <w:rPr>
                <w:lang w:bidi="ar"/>
              </w:rPr>
              <w:t>专栏4-1：耕地和永久基本农田保护红线管理规则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3" w:type="dxa"/>
            <w:shd w:val="clear" w:color="auto" w:fill="auto"/>
          </w:tcPr>
          <w:p>
            <w:pPr>
              <w:pStyle w:val="106"/>
              <w:ind w:firstLine="480"/>
              <w:rPr>
                <w:sz w:val="24"/>
                <w:szCs w:val="24"/>
              </w:rPr>
            </w:pPr>
            <w:bookmarkStart w:id="26" w:name="OLE_LINK21"/>
            <w:bookmarkStart w:id="27" w:name="_Hlk206769652"/>
            <w:r>
              <w:rPr>
                <w:sz w:val="24"/>
                <w:szCs w:val="24"/>
              </w:rPr>
              <w:t>（1）耕地</w:t>
            </w:r>
          </w:p>
          <w:p>
            <w:pPr>
              <w:pStyle w:val="106"/>
              <w:ind w:firstLine="480"/>
              <w:rPr>
                <w:sz w:val="24"/>
                <w:szCs w:val="24"/>
              </w:rPr>
            </w:pPr>
            <w:r>
              <w:rPr>
                <w:sz w:val="24"/>
                <w:szCs w:val="24"/>
              </w:rPr>
              <w:t>对耕地实行特殊保护，严守耕地保护红线，严格耕地用途管制，严禁违规占用耕地绿化造林；严禁超标准建设绿色通道；严禁违规占用耕地挖湖造景；严禁违规占用耕地从事非农建设；严禁违法违规批地用地。</w:t>
            </w:r>
          </w:p>
          <w:p>
            <w:pPr>
              <w:pStyle w:val="106"/>
              <w:ind w:firstLine="480"/>
              <w:rPr>
                <w:sz w:val="24"/>
                <w:szCs w:val="24"/>
              </w:rPr>
            </w:pPr>
            <w:r>
              <w:rPr>
                <w:sz w:val="24"/>
                <w:szCs w:val="24"/>
              </w:rPr>
              <w:t>坚决遏制农村乱占耕地建房行为,不准强占多占耕地建房；不准买卖、流转耕地违法建房；不准在承包耕地上违法建房；不准巧立名目违法占用耕地建房；不准违反“一户一宅”规定占用耕地建房；不准违法审批占用耕地建房。</w:t>
            </w:r>
          </w:p>
          <w:p>
            <w:pPr>
              <w:pStyle w:val="106"/>
              <w:ind w:firstLine="480"/>
              <w:rPr>
                <w:sz w:val="24"/>
                <w:szCs w:val="24"/>
              </w:rPr>
            </w:pPr>
            <w:r>
              <w:rPr>
                <w:sz w:val="24"/>
                <w:szCs w:val="24"/>
              </w:rPr>
              <w:t>（2）永久基本农田</w:t>
            </w:r>
          </w:p>
          <w:p>
            <w:pPr>
              <w:pStyle w:val="106"/>
              <w:ind w:firstLine="480"/>
              <w:rPr>
                <w:sz w:val="24"/>
                <w:szCs w:val="24"/>
              </w:rPr>
            </w:pPr>
            <w:r>
              <w:rPr>
                <w:sz w:val="24"/>
                <w:szCs w:val="24"/>
              </w:rPr>
              <w:t>严格落实永久基本农田特殊保护制度。永久基本农田现状种植粮食作物的，继续保持不变；按照《土地管理法》第三十三条明确的永久基本农田划定范围，现状种植棉、油、糖、蔬菜等非粮食作物的，可以维持不变，也可以结合国家和地方种粮补贴有关政策引导向种植粮食作物调整。种植粮食作物的情形包括在耕地上每年至少种植一季粮食作物和符合国土调查的耕地认定标准,采取粮食与非粮食作物间作、轮作、套种的土地利用方式。</w:t>
            </w:r>
          </w:p>
          <w:p>
            <w:pPr>
              <w:pStyle w:val="106"/>
              <w:ind w:firstLine="480"/>
              <w:rPr>
                <w:sz w:val="24"/>
                <w:szCs w:val="24"/>
              </w:rPr>
            </w:pPr>
            <w:r>
              <w:rPr>
                <w:sz w:val="24"/>
                <w:szCs w:val="24"/>
              </w:rPr>
              <w:t>永久基本农田不得转为林地、草地、园地等其他农用地及农业设施建设用地。严禁占用永久基本农田发展林果业和挖塘养鱼；严禁占用永久基本农田种植苗木、草皮等用于绿化装饰以及其他破坏耕作层的植物；严禁占用永久基本农田挖湖造景、建设绿化带；严禁新增占用永久基本农田建设畜禽养殖设施、水产养殖设施和破坏耕作层的种植业设施。</w:t>
            </w:r>
          </w:p>
          <w:p>
            <w:pPr>
              <w:pStyle w:val="106"/>
              <w:ind w:firstLine="480"/>
              <w:rPr>
                <w:sz w:val="24"/>
                <w:szCs w:val="24"/>
              </w:rPr>
            </w:pPr>
            <w:r>
              <w:rPr>
                <w:sz w:val="24"/>
                <w:szCs w:val="24"/>
              </w:rPr>
              <w:t>严格永久基本农田占用与补划。已划定的永久基本农田,任何单位和个人不得擅自占用或者改变用途。非农业建设不得“未批先建”。能源、交通、水利、军事设施等重大建设项目选址确实难以避让永久基本农田的，经依法批准,应在落实耕地占补平衡基础上，按照数量不减、质量不降原则，在可以长期稳定利用的耕地上落实永久基本农田补划任务。</w:t>
            </w:r>
          </w:p>
          <w:p>
            <w:pPr>
              <w:pStyle w:val="106"/>
              <w:ind w:firstLine="480"/>
              <w:rPr>
                <w:sz w:val="24"/>
                <w:szCs w:val="24"/>
              </w:rPr>
            </w:pPr>
            <w:r>
              <w:rPr>
                <w:sz w:val="24"/>
                <w:szCs w:val="24"/>
              </w:rPr>
              <w:t>建立健全永久基本农田储备区制度。在永久基本农田之外的优质耕地中，划定永久基本农田储备区并上图入库。土地整理复垦开发和新建高标准农田增加的优质耕地应当优先划入永久基本农田储备区。</w:t>
            </w:r>
          </w:p>
          <w:p>
            <w:pPr>
              <w:pStyle w:val="106"/>
              <w:ind w:firstLine="480"/>
              <w:rPr>
                <w:sz w:val="24"/>
                <w:szCs w:val="24"/>
              </w:rPr>
            </w:pPr>
            <w:r>
              <w:rPr>
                <w:sz w:val="24"/>
                <w:szCs w:val="24"/>
              </w:rPr>
              <w:t>建设项目经依法批准占用永久基本农田的，应当从永久基本农田储备区耕地中补划，储备区中难以补足的，在县域范围内其他优质耕地中补划。</w:t>
            </w:r>
          </w:p>
          <w:p>
            <w:pPr>
              <w:pStyle w:val="102"/>
              <w:rPr>
                <w:lang w:bidi="ar"/>
              </w:rPr>
            </w:pPr>
            <w:r>
              <w:rPr>
                <w:szCs w:val="24"/>
              </w:rPr>
              <w:t>在土地整理复垦开发和高标准农田建设中，开展必要的灌溉及排水设施、田间道路、农田防护林等配套建设涉及少量占用或优化永久基本农田布局的，要在项目区内予以补足。</w:t>
            </w:r>
            <w:bookmarkEnd w:id="26"/>
            <w:bookmarkEnd w:id="27"/>
          </w:p>
        </w:tc>
      </w:tr>
    </w:tbl>
    <w:p>
      <w:pPr>
        <w:pStyle w:val="4"/>
        <w:rPr>
          <w:rFonts w:ascii="Times New Roman" w:hAnsi="Times New Roman"/>
        </w:rPr>
      </w:pPr>
      <w:r>
        <w:rPr>
          <w:rFonts w:ascii="Times New Roman" w:hAnsi="Times New Roman"/>
        </w:rPr>
        <w:t>严格落实生态保护红线</w:t>
      </w:r>
    </w:p>
    <w:p>
      <w:r>
        <w:t>1.生态保护红线划定</w:t>
      </w:r>
    </w:p>
    <w:p>
      <w:bookmarkStart w:id="28" w:name="_Hlk150442329"/>
      <w:r>
        <w:t>根据上位规划传导，</w:t>
      </w:r>
      <w:r>
        <w:rPr>
          <w:u w:val="single"/>
        </w:rPr>
        <w:t>全镇共划定生态保护红线1075.73公顷。</w:t>
      </w:r>
    </w:p>
    <w:bookmarkEnd w:id="28"/>
    <w:p>
      <w:r>
        <w:t>2.管控规则</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3" w:type="dxa"/>
            <w:shd w:val="clear" w:color="auto" w:fill="auto"/>
          </w:tcPr>
          <w:p>
            <w:pPr>
              <w:pStyle w:val="102"/>
              <w:ind w:firstLine="0" w:firstLineChars="0"/>
              <w:jc w:val="center"/>
              <w:rPr>
                <w:rFonts w:ascii="Times New Roman"/>
                <w:sz w:val="28"/>
              </w:rPr>
            </w:pPr>
            <w:bookmarkStart w:id="29" w:name="_Hlk139564117"/>
            <w:r>
              <w:rPr>
                <w:rFonts w:ascii="Times New Roman"/>
                <w:sz w:val="28"/>
                <w:lang w:bidi="ar"/>
              </w:rPr>
              <w:t>专栏4-2：生态保护红线管理规则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3" w:type="dxa"/>
            <w:shd w:val="clear" w:color="auto" w:fill="auto"/>
          </w:tcPr>
          <w:p>
            <w:pPr>
              <w:pStyle w:val="102"/>
              <w:rPr>
                <w:rFonts w:ascii="Times New Roman"/>
                <w:lang w:bidi="ar"/>
              </w:rPr>
            </w:pPr>
            <w:r>
              <w:rPr>
                <w:rFonts w:ascii="Times New Roman"/>
                <w:lang w:bidi="ar"/>
              </w:rPr>
              <w:t>生态保护红线内自然保护地核心保护区原则上禁止人为活动，其他区域禁止开发性、生产性建设活动，在符合法律法规及相关文件的前提下，除国家重大战略项目外，仅允许对生态功能不造成破坏的有限人为活动（不视为占用生态保护红线），具体活动类型依照国家有关部门关于生态保护红线的管理规定确定。生态保护红线内自然保护区、饮用水水源保护区等区域管控，依照相关法律法规执行。</w:t>
            </w:r>
          </w:p>
        </w:tc>
      </w:tr>
      <w:bookmarkEnd w:id="29"/>
    </w:tbl>
    <w:p>
      <w:pPr>
        <w:pStyle w:val="4"/>
        <w:rPr>
          <w:rFonts w:ascii="Times New Roman" w:hAnsi="Times New Roman"/>
        </w:rPr>
      </w:pPr>
      <w:r>
        <w:rPr>
          <w:rFonts w:ascii="Times New Roman" w:hAnsi="Times New Roman"/>
        </w:rPr>
        <w:t>严格落实城镇开发边界</w:t>
      </w:r>
    </w:p>
    <w:p>
      <w:r>
        <w:t>1.城镇开发边界划定</w:t>
      </w:r>
    </w:p>
    <w:p>
      <w:r>
        <w:t>推动城镇紧凑发展和集约节约用地，强化反向约束，守住安全底线，新增城镇用地避让地质灾害极高和高风险区。</w:t>
      </w:r>
    </w:p>
    <w:p>
      <w:pPr>
        <w:rPr>
          <w:u w:val="single"/>
        </w:rPr>
      </w:pPr>
      <w:r>
        <w:rPr>
          <w:u w:val="single"/>
        </w:rPr>
        <w:t>赤眉镇城镇开发边界面积为104.17公顷。</w:t>
      </w:r>
    </w:p>
    <w:p>
      <w:r>
        <w:t>2.管控规则</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3" w:type="dxa"/>
            <w:shd w:val="clear" w:color="auto" w:fill="auto"/>
          </w:tcPr>
          <w:p>
            <w:pPr>
              <w:pStyle w:val="102"/>
              <w:ind w:firstLine="0" w:firstLineChars="0"/>
              <w:jc w:val="center"/>
              <w:rPr>
                <w:rFonts w:ascii="Times New Roman"/>
              </w:rPr>
            </w:pPr>
            <w:r>
              <w:rPr>
                <w:rFonts w:ascii="Times New Roman"/>
                <w:lang w:bidi="ar"/>
              </w:rPr>
              <w:t>专栏4-3：城镇开发边界管理规则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3" w:type="dxa"/>
            <w:shd w:val="clear" w:color="auto" w:fill="auto"/>
          </w:tcPr>
          <w:p>
            <w:pPr>
              <w:pStyle w:val="107"/>
              <w:ind w:firstLine="480"/>
              <w:rPr>
                <w:sz w:val="24"/>
                <w:szCs w:val="22"/>
                <w:lang w:bidi="ar"/>
              </w:rPr>
            </w:pPr>
            <w:r>
              <w:rPr>
                <w:sz w:val="24"/>
                <w:szCs w:val="22"/>
                <w:lang w:bidi="ar"/>
              </w:rPr>
              <w:t>1.城镇开发边界内，各类建设活动严格实行用途管制，按照规划用途依法办理有关手续，并加强与水体保护线、绿地系统线、基础设施建设控制线、历史文化保护线等协同管控。严格城镇开发边界外的空间准入，原则上除特殊用地外，只能用于农业生产、乡村振兴、生态保护和交通等基础设施建设，以及有特殊选址要求的零星城镇建设用地，不得进行城镇集中建设，不得设立各类开发区。</w:t>
            </w:r>
          </w:p>
          <w:p>
            <w:pPr>
              <w:pStyle w:val="107"/>
              <w:ind w:firstLine="480"/>
              <w:rPr>
                <w:sz w:val="24"/>
                <w:szCs w:val="22"/>
                <w:lang w:bidi="ar"/>
              </w:rPr>
            </w:pPr>
            <w:r>
              <w:rPr>
                <w:sz w:val="24"/>
                <w:szCs w:val="22"/>
                <w:lang w:bidi="ar"/>
              </w:rPr>
              <w:t>2.集中连片建设的居住、教育、商业、工业、物流仓储等用地和各类园区原则上要在城镇开发边界内布局。</w:t>
            </w:r>
          </w:p>
          <w:p>
            <w:pPr>
              <w:pStyle w:val="102"/>
              <w:rPr>
                <w:rFonts w:ascii="Times New Roman"/>
                <w:lang w:bidi="ar"/>
              </w:rPr>
            </w:pPr>
            <w:r>
              <w:rPr>
                <w:szCs w:val="22"/>
                <w:lang w:bidi="ar"/>
              </w:rPr>
              <w:t>3.城镇开发边界一经划定，原则上不得调整。确需优化或调整的， 按照国家和省有关规定执行。</w:t>
            </w:r>
          </w:p>
        </w:tc>
      </w:tr>
    </w:tbl>
    <w:p>
      <w:pPr>
        <w:pStyle w:val="3"/>
        <w:rPr>
          <w:rFonts w:ascii="Times New Roman" w:hAnsi="Times New Roman"/>
        </w:rPr>
      </w:pPr>
      <w:bookmarkStart w:id="30" w:name="_Toc26259"/>
      <w:bookmarkStart w:id="31" w:name="_Hlk142575005"/>
      <w:r>
        <w:rPr>
          <w:rFonts w:ascii="Times New Roman" w:hAnsi="Times New Roman"/>
        </w:rPr>
        <w:t>核准落实其他控制线</w:t>
      </w:r>
      <w:bookmarkEnd w:id="30"/>
    </w:p>
    <w:p>
      <w:pPr>
        <w:pStyle w:val="4"/>
        <w:rPr>
          <w:rFonts w:ascii="Times New Roman" w:hAnsi="Times New Roman"/>
        </w:rPr>
      </w:pPr>
      <w:r>
        <w:rPr>
          <w:rFonts w:ascii="Times New Roman" w:hAnsi="Times New Roman"/>
        </w:rPr>
        <w:t>历史文化保护线</w:t>
      </w:r>
    </w:p>
    <w:p>
      <w:pPr>
        <w:rPr>
          <w:u w:val="single"/>
        </w:rPr>
      </w:pPr>
      <w:bookmarkStart w:id="32" w:name="_Hlk152257056"/>
      <w:r>
        <w:rPr>
          <w:u w:val="single"/>
        </w:rPr>
        <w:t>规划划定13处历史文物保护控制线，均为保护范围线，分别为中共地下党活动旧址（原金花庙）、中共内乡县委旧址（中共地下党兰田支部旧址）、赤眉古寨门、巨型长形恐龙蛋化石出土点、小寨遗址、杨营遗址、小河遗址、温家宝总理视察内乡纪念地、湍河渡槽、陈谢指挥所、鱼贯口堰规碑、别廷芳德政碑、白果树。</w:t>
      </w:r>
    </w:p>
    <w:bookmarkEnd w:id="32"/>
    <w:p>
      <w:pPr>
        <w:pStyle w:val="4"/>
        <w:rPr>
          <w:rFonts w:ascii="Times New Roman" w:hAnsi="Times New Roman"/>
        </w:rPr>
      </w:pPr>
      <w:r>
        <w:rPr>
          <w:rFonts w:ascii="Times New Roman" w:hAnsi="Times New Roman"/>
        </w:rPr>
        <w:t>洪涝风险控制线</w:t>
      </w:r>
    </w:p>
    <w:p>
      <w:bookmarkStart w:id="33" w:name="_Hlk152257166"/>
      <w:r>
        <w:t>按照河道管理范围，落实洪涝风险控制线，待相关专项规划编制完成后，更新落实洪涝灾害风险控制线。</w:t>
      </w:r>
      <w:r>
        <w:rPr>
          <w:u w:val="single"/>
        </w:rPr>
        <w:t>划定河道管理控制线总面积893.00公顷，分别为丹水河、红雁沟、王沟水、弹琴河、火神庙河、庙山水、斩龙岗水库、弹琴河、东北川河、湍河。</w:t>
      </w:r>
      <w:r>
        <w:t>洪涝风险控制线内禁止新增城乡建设用地，确需新增的，需经得水利部门的意见后落实。</w:t>
      </w:r>
    </w:p>
    <w:bookmarkEnd w:id="33"/>
    <w:p>
      <w:pPr>
        <w:pStyle w:val="4"/>
        <w:rPr>
          <w:rFonts w:ascii="Times New Roman" w:hAnsi="Times New Roman"/>
        </w:rPr>
      </w:pPr>
      <w:r>
        <w:rPr>
          <w:rFonts w:ascii="Times New Roman" w:hAnsi="Times New Roman"/>
        </w:rPr>
        <w:t>廊道控制线</w:t>
      </w:r>
    </w:p>
    <w:p>
      <w:pPr>
        <w:rPr>
          <w:u w:val="single"/>
        </w:rPr>
      </w:pPr>
      <w:bookmarkStart w:id="34" w:name="_Hlk152257192"/>
      <w:r>
        <w:rPr>
          <w:u w:val="single"/>
        </w:rPr>
        <w:t>全镇交通控制廊道涉及国道G312，省道S330、S243；县道：X002；乡道：Y007、Y009、Y013、Y035、Y002、Y019，根据《公路安全保护条例》，在公路两侧修建永久性工程设施，其建筑物边缘与公路边沟外缘的间距为：国道不少于二十米；省道不少于15米；县道不少于10米；乡道不少于5米。高速公路的，公路建筑控制区的范围从公路用地外缘起向外的距离标准不少于30米。</w:t>
      </w:r>
      <w:bookmarkEnd w:id="34"/>
    </w:p>
    <w:p>
      <w:pPr>
        <w:pStyle w:val="3"/>
        <w:rPr>
          <w:rFonts w:ascii="Times New Roman" w:hAnsi="Times New Roman"/>
        </w:rPr>
      </w:pPr>
      <w:bookmarkStart w:id="35" w:name="_Toc6117"/>
      <w:r>
        <w:rPr>
          <w:rFonts w:ascii="Times New Roman" w:hAnsi="Times New Roman"/>
        </w:rPr>
        <w:t>划定村庄建设边界</w:t>
      </w:r>
      <w:bookmarkEnd w:id="35"/>
    </w:p>
    <w:p>
      <w:pPr>
        <w:pStyle w:val="4"/>
        <w:rPr>
          <w:rFonts w:ascii="Times New Roman" w:hAnsi="Times New Roman"/>
        </w:rPr>
      </w:pPr>
      <w:r>
        <w:rPr>
          <w:rFonts w:ascii="Times New Roman" w:hAnsi="Times New Roman"/>
        </w:rPr>
        <w:t>村庄建设边界划定</w:t>
      </w:r>
    </w:p>
    <w:p>
      <w:pPr>
        <w:rPr>
          <w:u w:val="single"/>
        </w:rPr>
      </w:pPr>
      <w:bookmarkStart w:id="36" w:name="_Hlk175646380"/>
      <w:r>
        <w:rPr>
          <w:u w:val="single"/>
        </w:rPr>
        <w:t>全镇划定村庄建设边界77</w:t>
      </w:r>
      <w:r>
        <w:rPr>
          <w:rFonts w:hint="eastAsia"/>
          <w:u w:val="single"/>
        </w:rPr>
        <w:t>2.09</w:t>
      </w:r>
      <w:r>
        <w:rPr>
          <w:u w:val="single"/>
        </w:rPr>
        <w:t>公顷。</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7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7" w:type="dxa"/>
            <w:gridSpan w:val="2"/>
          </w:tcPr>
          <w:p>
            <w:pPr>
              <w:pStyle w:val="108"/>
              <w:ind w:firstLine="640"/>
              <w:rPr>
                <w:sz w:val="24"/>
                <w:szCs w:val="24"/>
              </w:rPr>
            </w:pPr>
            <w:r>
              <w:rPr>
                <w:rFonts w:hint="eastAsia"/>
                <w:szCs w:val="28"/>
                <w:lang w:bidi="ar"/>
              </w:rPr>
              <w:t>专栏</w:t>
            </w:r>
            <w:r>
              <w:rPr>
                <w:szCs w:val="28"/>
                <w:lang w:bidi="ar"/>
              </w:rPr>
              <w:t xml:space="preserve"> 4-</w:t>
            </w:r>
            <w:r>
              <w:rPr>
                <w:rFonts w:hint="eastAsia"/>
                <w:szCs w:val="28"/>
                <w:lang w:bidi="ar"/>
              </w:rPr>
              <w:t>4</w:t>
            </w:r>
            <w:r>
              <w:rPr>
                <w:szCs w:val="28"/>
                <w:lang w:bidi="ar"/>
              </w:rPr>
              <w:t>：</w:t>
            </w:r>
            <w:r>
              <w:rPr>
                <w:rFonts w:hint="eastAsia"/>
                <w:szCs w:val="28"/>
                <w:lang w:bidi="ar"/>
              </w:rPr>
              <w:t>村庄建设边界划定和管理规则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107"/>
              <w:ind w:firstLine="0" w:firstLineChars="0"/>
              <w:rPr>
                <w:sz w:val="24"/>
                <w:szCs w:val="24"/>
                <w:lang w:bidi="ar"/>
              </w:rPr>
            </w:pPr>
            <w:r>
              <w:rPr>
                <w:rFonts w:hint="eastAsia"/>
                <w:sz w:val="24"/>
                <w:szCs w:val="24"/>
                <w:lang w:bidi="ar"/>
              </w:rPr>
              <w:t>村庄建设边界划定规则</w:t>
            </w:r>
          </w:p>
        </w:tc>
        <w:tc>
          <w:tcPr>
            <w:tcW w:w="7593" w:type="dxa"/>
            <w:shd w:val="clear" w:color="auto" w:fill="auto"/>
            <w:vAlign w:val="center"/>
          </w:tcPr>
          <w:p>
            <w:pPr>
              <w:pStyle w:val="107"/>
              <w:ind w:firstLine="480"/>
              <w:rPr>
                <w:sz w:val="24"/>
                <w:szCs w:val="22"/>
                <w:lang w:bidi="ar"/>
              </w:rPr>
            </w:pPr>
            <w:bookmarkStart w:id="37" w:name="_Hlk207121515"/>
            <w:r>
              <w:rPr>
                <w:sz w:val="24"/>
                <w:szCs w:val="22"/>
                <w:lang w:bidi="ar"/>
              </w:rPr>
              <w:t>1.对集聚提升类、特色保护类和城郊融合类等确有发展需求的村庄，可适当增加村庄建设用地规模；其他类型的村庄，建设用地规模原则上不超过现状规模。</w:t>
            </w:r>
          </w:p>
          <w:p>
            <w:pPr>
              <w:pStyle w:val="107"/>
              <w:ind w:firstLine="480"/>
              <w:rPr>
                <w:sz w:val="24"/>
                <w:szCs w:val="22"/>
                <w:lang w:bidi="ar"/>
              </w:rPr>
            </w:pPr>
            <w:r>
              <w:rPr>
                <w:sz w:val="24"/>
                <w:szCs w:val="22"/>
                <w:lang w:bidi="ar"/>
              </w:rPr>
              <w:t>2.现状相对集中的村庄建设用地应划入村庄建设边界，对不划入村庄建设边界的现状零星建设用地，规划中不再按村庄建设用地管理，可通过土地综合整治、城乡建设用地增减挂钩、宅基地置换等方式逐渐向村庄建设边界内集中。</w:t>
            </w:r>
          </w:p>
          <w:p>
            <w:pPr>
              <w:pStyle w:val="107"/>
              <w:ind w:firstLine="480"/>
              <w:rPr>
                <w:sz w:val="24"/>
                <w:szCs w:val="22"/>
                <w:lang w:bidi="ar"/>
              </w:rPr>
            </w:pPr>
            <w:r>
              <w:rPr>
                <w:sz w:val="24"/>
                <w:szCs w:val="22"/>
                <w:lang w:bidi="ar"/>
              </w:rPr>
              <w:t>3.划入村庄建设边界的新增村庄建设用地应不占或尽量少占耕地，不得占用集中连片优质耕地、生态公益林、饮用水源保护区、重要河流湖泊、湿地、天然林草场等区域。</w:t>
            </w:r>
          </w:p>
          <w:p>
            <w:pPr>
              <w:pStyle w:val="107"/>
              <w:ind w:firstLine="480"/>
              <w:rPr>
                <w:sz w:val="24"/>
                <w:szCs w:val="22"/>
                <w:lang w:bidi="ar"/>
              </w:rPr>
            </w:pPr>
            <w:r>
              <w:rPr>
                <w:sz w:val="24"/>
                <w:szCs w:val="22"/>
                <w:lang w:bidi="ar"/>
              </w:rPr>
              <w:t>4.村庄建设边界不得占压永久基本农田、城镇开发边界，生态保护</w:t>
            </w:r>
            <w:r>
              <w:rPr>
                <w:rFonts w:hint="eastAsia"/>
                <w:sz w:val="24"/>
                <w:szCs w:val="22"/>
                <w:lang w:bidi="ar"/>
              </w:rPr>
              <w:t>红线内不得新增村庄建设用地，应避让地质灾害极高和高风险区、蓄滞洪区、洪涝风险易发区及地下文物埋藏区等乡村建设不适宜区。</w:t>
            </w:r>
          </w:p>
          <w:p>
            <w:pPr>
              <w:pStyle w:val="107"/>
              <w:ind w:firstLine="480"/>
              <w:rPr>
                <w:sz w:val="24"/>
                <w:szCs w:val="22"/>
                <w:lang w:bidi="ar"/>
              </w:rPr>
            </w:pPr>
            <w:r>
              <w:rPr>
                <w:sz w:val="24"/>
                <w:szCs w:val="22"/>
                <w:lang w:bidi="ar"/>
              </w:rPr>
              <w:t>5.位于乡村建设不适宜区的村庄建设用地原则上不纳入村庄建设边界，确需保留的，维持现状建设用地边界，不得新增村庄建设用地。无法避让的应当充分论证并说明理由，明确减缓不良影响的措施。</w:t>
            </w:r>
          </w:p>
          <w:p>
            <w:pPr>
              <w:pStyle w:val="107"/>
              <w:ind w:firstLine="480"/>
              <w:rPr>
                <w:sz w:val="24"/>
                <w:szCs w:val="22"/>
                <w:lang w:bidi="ar"/>
              </w:rPr>
            </w:pPr>
            <w:r>
              <w:rPr>
                <w:sz w:val="24"/>
                <w:szCs w:val="22"/>
                <w:lang w:bidi="ar"/>
              </w:rPr>
              <w:t>6.村庄建设边界原则上不得紧邻城镇开发边界布局，确需布局的，应有充分理由，符合实际。城镇开发边界内以“开天窗”保留的空间原则上不得入村庄建设边界，不得补缝补边。</w:t>
            </w:r>
          </w:p>
          <w:p>
            <w:pPr>
              <w:pStyle w:val="107"/>
              <w:ind w:firstLine="480"/>
              <w:rPr>
                <w:sz w:val="24"/>
                <w:szCs w:val="24"/>
                <w:lang w:bidi="ar"/>
              </w:rPr>
            </w:pPr>
            <w:r>
              <w:rPr>
                <w:sz w:val="24"/>
                <w:szCs w:val="22"/>
                <w:lang w:bidi="ar"/>
              </w:rPr>
              <w:t>7.充分利用河流、现状道路、田间路、围村林等明显自然地理地物界线，形态尽可能完整，边界清晰延续、容易识别，便于管理。</w:t>
            </w:r>
            <w:bookmarkEnd w:id="3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107"/>
              <w:ind w:firstLine="0" w:firstLineChars="0"/>
              <w:rPr>
                <w:sz w:val="24"/>
                <w:szCs w:val="24"/>
                <w:lang w:bidi="ar"/>
              </w:rPr>
            </w:pPr>
            <w:r>
              <w:rPr>
                <w:rFonts w:hint="eastAsia"/>
                <w:sz w:val="24"/>
                <w:szCs w:val="24"/>
                <w:lang w:bidi="ar"/>
              </w:rPr>
              <w:t>村庄建设边界管理规则</w:t>
            </w:r>
          </w:p>
        </w:tc>
        <w:tc>
          <w:tcPr>
            <w:tcW w:w="7593" w:type="dxa"/>
            <w:vAlign w:val="center"/>
          </w:tcPr>
          <w:p>
            <w:pPr>
              <w:pStyle w:val="107"/>
              <w:ind w:firstLine="480"/>
              <w:rPr>
                <w:sz w:val="24"/>
                <w:szCs w:val="24"/>
                <w:lang w:bidi="ar"/>
              </w:rPr>
            </w:pPr>
            <w:r>
              <w:rPr>
                <w:sz w:val="24"/>
                <w:szCs w:val="24"/>
                <w:lang w:bidi="ar"/>
              </w:rPr>
              <w:t>村庄建设所需的宅基地、集体经营性建设用地、公用公共基础设施、公共服务设施、农村一、二、三产业融合和乡村文旅等建设用地均需在村庄建设边界内安排。</w:t>
            </w:r>
          </w:p>
          <w:p>
            <w:pPr>
              <w:pStyle w:val="107"/>
              <w:ind w:firstLine="480"/>
              <w:rPr>
                <w:sz w:val="24"/>
                <w:szCs w:val="24"/>
                <w:lang w:bidi="ar"/>
              </w:rPr>
            </w:pPr>
            <w:r>
              <w:rPr>
                <w:sz w:val="24"/>
                <w:szCs w:val="24"/>
                <w:lang w:bidi="ar"/>
              </w:rPr>
              <w:t>各类乡村建设行为原则上应在村庄建设边界内开展，优先使用存量村庄建设用地，不得擅自突破已批准的村庄建设边界。严禁违反法律法规开展用地审批和规划许可。</w:t>
            </w:r>
          </w:p>
          <w:p>
            <w:pPr>
              <w:pStyle w:val="107"/>
              <w:ind w:firstLine="480"/>
              <w:rPr>
                <w:sz w:val="24"/>
                <w:szCs w:val="24"/>
                <w:lang w:bidi="ar"/>
              </w:rPr>
            </w:pPr>
            <w:r>
              <w:rPr>
                <w:sz w:val="24"/>
                <w:szCs w:val="24"/>
                <w:lang w:bidi="ar"/>
              </w:rPr>
              <w:t>对空间区位有特殊要求，确需在村庄建设边界外选址的零星文化旅游 设施、农业设施等项目，在符合耕地保护等政策要求各项底线约束的基础上，可使用规划机动指标予以保障。</w:t>
            </w:r>
          </w:p>
        </w:tc>
      </w:tr>
      <w:bookmarkEnd w:id="36"/>
    </w:tbl>
    <w:p>
      <w:bookmarkStart w:id="38" w:name="_Toc12958"/>
      <w:r>
        <w:rPr>
          <w:rFonts w:hint="eastAsia"/>
        </w:rPr>
        <w:br w:type="page"/>
      </w:r>
    </w:p>
    <w:p>
      <w:pPr>
        <w:pStyle w:val="2"/>
      </w:pPr>
      <w:bookmarkStart w:id="39" w:name="_Toc24053"/>
      <w:r>
        <w:rPr>
          <w:rFonts w:hint="eastAsia"/>
        </w:rPr>
        <w:t>规划分区</w:t>
      </w:r>
      <w:bookmarkEnd w:id="39"/>
    </w:p>
    <w:p>
      <w:pPr>
        <w:pStyle w:val="3"/>
        <w:rPr>
          <w:rFonts w:ascii="Times New Roman" w:hAnsi="Times New Roman"/>
        </w:rPr>
      </w:pPr>
      <w:r>
        <w:rPr>
          <w:rFonts w:ascii="Times New Roman" w:hAnsi="Times New Roman"/>
        </w:rPr>
        <w:t>国土空间开发保护总体格局</w:t>
      </w:r>
      <w:bookmarkEnd w:id="38"/>
    </w:p>
    <w:p>
      <w:pPr>
        <w:pStyle w:val="4"/>
        <w:rPr>
          <w:rFonts w:ascii="Times New Roman" w:hAnsi="Times New Roman"/>
        </w:rPr>
      </w:pPr>
      <w:r>
        <w:rPr>
          <w:rFonts w:ascii="Times New Roman" w:hAnsi="Times New Roman"/>
        </w:rPr>
        <w:t>国土空间开发保护总体格局</w:t>
      </w:r>
    </w:p>
    <w:p>
      <w:r>
        <w:t>融合三生空间，兼顾保护与发展，构建“两轴一心，四廊五区”的生态化集约化的国土空间开发保护总体格局。</w:t>
      </w:r>
    </w:p>
    <w:p>
      <w:r>
        <w:t>两轴：指2条全域镇村发展轴，分别为G241南北向两条发展轴和S329东西向2条发展轴，其中G241轴线为主要发展轴。</w:t>
      </w:r>
    </w:p>
    <w:p>
      <w:r>
        <w:t>一心：指在G241、S329在镇区交汇处，形成以公共服务为主的综合服务中心。</w:t>
      </w:r>
    </w:p>
    <w:p>
      <w:r>
        <w:t>四廊：指湍河及东北川、弹琴河、丹水河3条支流形成的一主三支生态廊道。</w:t>
      </w:r>
    </w:p>
    <w:p>
      <w:r>
        <w:t>六区：以生态保护功能为主，形成北部山地生态功能区；以烟叶种植为特色，形成西部特色农作物种植区；在湍河以西的中北部，以林果种植为特色，形成中北部特色林果种植区；在东北部，以茶果种植为特色，形成东北部特色茶果种植区；中部以镇区及周边村庄为范围，形成中部综合服务功能区；南部平原地区形成南部传统粮食作物种植区。</w:t>
      </w:r>
    </w:p>
    <w:p>
      <w:pPr>
        <w:pStyle w:val="3"/>
        <w:rPr>
          <w:rFonts w:ascii="Times New Roman" w:hAnsi="Times New Roman"/>
        </w:rPr>
      </w:pPr>
      <w:bookmarkStart w:id="40" w:name="_Toc18451"/>
      <w:r>
        <w:rPr>
          <w:rFonts w:ascii="Times New Roman" w:hAnsi="Times New Roman"/>
        </w:rPr>
        <w:t>规划分区与用途管制</w:t>
      </w:r>
      <w:bookmarkEnd w:id="40"/>
    </w:p>
    <w:p>
      <w:pPr>
        <w:pStyle w:val="4"/>
        <w:rPr>
          <w:rFonts w:ascii="Times New Roman" w:hAnsi="Times New Roman"/>
        </w:rPr>
      </w:pPr>
      <w:r>
        <w:rPr>
          <w:rFonts w:ascii="Times New Roman" w:hAnsi="Times New Roman"/>
        </w:rPr>
        <w:t>生态保护区</w:t>
      </w:r>
    </w:p>
    <w:p>
      <w:r>
        <w:t>1.生态保护区划定</w:t>
      </w:r>
    </w:p>
    <w:p>
      <w:r>
        <w:rPr>
          <w:lang w:bidi="ar"/>
        </w:rPr>
        <w:t>落实上位规划传导，全镇划定生态保护区面积1075.74公顷，生态保护区主要包括</w:t>
      </w:r>
      <w:r>
        <w:t>生态</w:t>
      </w:r>
      <w:r>
        <w:rPr>
          <w:lang w:bidi="ar"/>
        </w:rPr>
        <w:t>保护红线内限制开发建设的区域。赤眉镇域范围内主要为天然林等</w:t>
      </w:r>
      <w:r>
        <w:t>。</w:t>
      </w:r>
    </w:p>
    <w:p>
      <w:r>
        <w:t>2.管控规则</w:t>
      </w:r>
    </w:p>
    <w:p>
      <w:r>
        <w:t>生态保护区内国土空间用途准入、退出按照《中共中央办公厅国务院办公厅关于划定并严守生态保护红线的若干意见》、《自然资源部生态环境部 国家林业和草原局关于加强生态保护红线管理的通知（试行）》、《河南省生态保护红线管理办法》、《河南省生态保护红线实施细则》以及生态保护红线相关法律法规进行管控。</w:t>
      </w:r>
    </w:p>
    <w:p>
      <w:r>
        <w:t>生态保护红线内，自然保护地核心保护区原则上禁止人为活动，其他区域严格禁止不符合主体功能定位的开发性、生产性建设活动。生态保护红线内各类自然保护地，饮用水水源地保护区等禁止开发区域的管理，同时执行相关法律法规规定。</w:t>
      </w:r>
    </w:p>
    <w:p>
      <w:pPr>
        <w:pStyle w:val="4"/>
        <w:rPr>
          <w:rFonts w:ascii="Times New Roman" w:hAnsi="Times New Roman"/>
        </w:rPr>
      </w:pPr>
      <w:r>
        <w:rPr>
          <w:rFonts w:ascii="Times New Roman" w:hAnsi="Times New Roman"/>
        </w:rPr>
        <w:t>生态控制区</w:t>
      </w:r>
    </w:p>
    <w:p>
      <w:r>
        <w:t>1.生态控制区划定</w:t>
      </w:r>
    </w:p>
    <w:p>
      <w:r>
        <w:rPr>
          <w:lang w:bidi="ar"/>
        </w:rPr>
        <w:t>依据上位规划传导，并结合赤眉镇实际情况，局部进行优化，全镇划定生态控制区面积4580.48公顷。</w:t>
      </w:r>
      <w:bookmarkStart w:id="41" w:name="_Hlk152319665"/>
    </w:p>
    <w:bookmarkEnd w:id="41"/>
    <w:p>
      <w:r>
        <w:t>2.管控规则</w:t>
      </w:r>
    </w:p>
    <w:p>
      <w:r>
        <w:rPr>
          <w:lang w:bidi="ar"/>
        </w:rPr>
        <w:t>（1）用途准入</w:t>
      </w:r>
    </w:p>
    <w:p>
      <w:r>
        <w:rPr>
          <w:lang w:bidi="ar"/>
        </w:rPr>
        <w:t>鼓励依据国土空间规划及其他相关规划，按照自然恢复为主、人工修复为辅的原则，实施生态修复工程，提升生态功能。严格限制农业开发占用生态控制区，在不涉及天然林、公益林、水域的前提下，经评估有利于提升生态功能的，可依据国土空间规划或其他相关规划开展土地整治新增耕地。</w:t>
      </w:r>
    </w:p>
    <w:p>
      <w:r>
        <w:rPr>
          <w:lang w:bidi="ar"/>
        </w:rPr>
        <w:t>严控新增建设占用生态控制区，建设用途准入应符合国土空间规划和其他相关规划。各类风景名胜区等必要的配套设施建设、符合区域功能定位的旅游服务设施、道路交通基础设施、水利市政基础设施、公益性设施以及其他必要的特殊设施建设必须占用的，需做好选址论证，严格控制建筑规模与开发强度。</w:t>
      </w:r>
    </w:p>
    <w:p>
      <w:r>
        <w:rPr>
          <w:lang w:bidi="ar"/>
        </w:rPr>
        <w:t>（2）用途退出</w:t>
      </w:r>
    </w:p>
    <w:p>
      <w:r>
        <w:rPr>
          <w:lang w:bidi="ar"/>
        </w:rPr>
        <w:t>生态控制区内原有的各种不符合生态保护要求、防洪安全的生产、开发活动应当逐步退出，并进行生态修复，退出不应对生态环境造成重大影响；对区内主要保护对象及其栖息地环境造成的负面影响轻微或可控制；符合国土空间规划和其他相关规划。对国有林场和坡度25度以上已经开垦种植的林地要逐步还林。对于现状建设，应当进行评估后制定分类处置方案：对于违法建设和经评估对生态保护存在不利影响的，应当逐步退出；对于历史形成的合法现状建设用地，经评估对生态环境无影响的，可予以保留，但不得随意改变用途或进行改扩建。</w:t>
      </w:r>
    </w:p>
    <w:p>
      <w:pPr>
        <w:pStyle w:val="4"/>
        <w:rPr>
          <w:rFonts w:ascii="Times New Roman" w:hAnsi="Times New Roman"/>
        </w:rPr>
      </w:pPr>
      <w:r>
        <w:rPr>
          <w:rFonts w:ascii="Times New Roman" w:hAnsi="Times New Roman"/>
        </w:rPr>
        <w:t>农田保护区</w:t>
      </w:r>
    </w:p>
    <w:p>
      <w:r>
        <w:t>1.农田保护区划定</w:t>
      </w:r>
    </w:p>
    <w:p>
      <w:bookmarkStart w:id="42" w:name="_Hlk152319961"/>
      <w:r>
        <w:rPr>
          <w:lang w:bidi="ar"/>
        </w:rPr>
        <w:t>全镇划定农田保护区面积</w:t>
      </w:r>
      <w:r>
        <w:rPr>
          <w:rFonts w:hint="eastAsia"/>
          <w:lang w:bidi="ar"/>
        </w:rPr>
        <w:t>3312.31</w:t>
      </w:r>
      <w:r>
        <w:rPr>
          <w:lang w:bidi="ar"/>
        </w:rPr>
        <w:t>公顷</w:t>
      </w:r>
      <w:r>
        <w:rPr>
          <w:rFonts w:hint="eastAsia"/>
          <w:lang w:bidi="ar"/>
        </w:rPr>
        <w:t>，实际落实永久基本农田保护红线3416.89公顷</w:t>
      </w:r>
      <w:r>
        <w:rPr>
          <w:lang w:bidi="ar"/>
        </w:rPr>
        <w:t>。</w:t>
      </w:r>
    </w:p>
    <w:bookmarkEnd w:id="42"/>
    <w:p>
      <w:r>
        <w:t>2.管控规则</w:t>
      </w:r>
    </w:p>
    <w:p>
      <w:r>
        <w:rPr>
          <w:lang w:bidi="ar"/>
        </w:rPr>
        <w:t>（1）用途准入</w:t>
      </w:r>
    </w:p>
    <w:p>
      <w:r>
        <w:t>农田保护区应重点用于粮食生产，按照《自然资源部 农业农村部关于加强和改进永久基本农田保护工作的通知》第（六）款的规定严格规范永久基本农田上的农业生产活动。</w:t>
      </w:r>
    </w:p>
    <w:p>
      <w:r>
        <w:t>农田保护区内鼓励依据国土空间规划、土地整治规划等相关规划开展高标准农田建设、永久基本农田集中连片整治、即可恢复属性地类耕地功能恢复等整治活动，提高永久基本农田质量，引导区内废弃建设用地、其他农用地整治为耕地，区内符合条件的一般耕地应优先划入永久基本农田储备区。</w:t>
      </w:r>
    </w:p>
    <w:p>
      <w:r>
        <w:t>农田保护区内限制准入农业设施建设用地，农业设施建设用地不再使用的，必须恢复原用途。</w:t>
      </w:r>
    </w:p>
    <w:p>
      <w:r>
        <w:t>农田保护区限制转变为林地、湿地、水域等用途，按照《自然资源部 农业农村部关于加强和改进永久基本农田保护工作的通知》第（九）款的规定协调安排生态建设项目。</w:t>
      </w:r>
    </w:p>
    <w:p>
      <w:r>
        <w:t>农田保护区内的永久基本农田实行正面清单准入，在符合国土空间规划和其他相关规划的前提下，允许占用永久基本农田的重大项目、临时用地和矿业权按照《自然资源部关于做好占用永久基本农田重大建设项目用地预审的通知》第一款以及《自然资源部 农业农村部关于加强和改进永久基本农田保护工作的通知》第（七）款、第（八）款执行。</w:t>
      </w:r>
    </w:p>
    <w:p>
      <w:r>
        <w:rPr>
          <w:lang w:bidi="ar"/>
        </w:rPr>
        <w:t>（2）用途退出</w:t>
      </w:r>
    </w:p>
    <w:p>
      <w:r>
        <w:rPr>
          <w:lang w:bidi="ar"/>
        </w:rPr>
        <w:t>不符合农田保护区准入规则、违法违规占用永久基本农田的用途，应按照国土空间规划、土地整治规划等相关规划有序退出，并限期恢复种植条件，规划期间确实不能恢复种植条件的，经多部门联合论证，允许保留现状用途，但不得扩大面积，并补划相同数量、相当质量的永久基本农田。</w:t>
      </w:r>
    </w:p>
    <w:p>
      <w:pPr>
        <w:pStyle w:val="4"/>
        <w:rPr>
          <w:rFonts w:ascii="Times New Roman" w:hAnsi="Times New Roman"/>
        </w:rPr>
      </w:pPr>
      <w:r>
        <w:rPr>
          <w:rFonts w:ascii="Times New Roman" w:hAnsi="Times New Roman"/>
        </w:rPr>
        <w:t>城镇发展区</w:t>
      </w:r>
    </w:p>
    <w:p>
      <w:r>
        <w:t>1.城镇发展区划定</w:t>
      </w:r>
    </w:p>
    <w:p>
      <w:bookmarkStart w:id="43" w:name="_Hlk152319991"/>
      <w:r>
        <w:t>全镇划定城镇发展区面积104.17公顷，全部为集中建设区。</w:t>
      </w:r>
    </w:p>
    <w:bookmarkEnd w:id="43"/>
    <w:p>
      <w:r>
        <w:t>2.管控规则</w:t>
      </w:r>
    </w:p>
    <w:p>
      <w:r>
        <w:t>城镇发展区主要用于城镇建设，是允许开展城镇开发建设行为的核心区域，应实现详细规划全覆盖，按照详细规划进行精细化管理，限制农业生产、土地整治和村庄建设。</w:t>
      </w:r>
    </w:p>
    <w:p>
      <w:r>
        <w:rPr>
          <w:lang w:bidi="ar"/>
        </w:rPr>
        <w:t>（1）用途准入</w:t>
      </w:r>
    </w:p>
    <w:p>
      <w:r>
        <w:rPr>
          <w:lang w:bidi="ar"/>
        </w:rPr>
        <w:t>城镇集中建设区各类城镇建设用途的准入应符合国土空间规划和其他相关规划，优先使用存量建设用地，引导城镇低效用地再开发，提高建设用地使用效率，落实建设用地标准控制制度，开展节约集约用地评价，推广应用节地技术和节地模式。</w:t>
      </w:r>
    </w:p>
    <w:p>
      <w:r>
        <w:rPr>
          <w:lang w:bidi="ar"/>
        </w:rPr>
        <w:t>鼓励建设用地的复合性开发，按照用途相近、功能兼容、互无干扰、基础设施共享的原则，研究制定有助于生活便利、各类用途相互促进的兼容性地类和相关控制指标。</w:t>
      </w:r>
    </w:p>
    <w:p>
      <w:r>
        <w:rPr>
          <w:lang w:bidi="ar"/>
        </w:rPr>
        <w:t>城镇集中建设区内的战略预留区宜维持现状用途为主，在用途明确前应控制区内新建扩建各项建设，按照原用途使用。</w:t>
      </w:r>
    </w:p>
    <w:p>
      <w:r>
        <w:rPr>
          <w:lang w:bidi="ar"/>
        </w:rPr>
        <w:t>（2）用途退出</w:t>
      </w:r>
    </w:p>
    <w:p>
      <w:r>
        <w:rPr>
          <w:lang w:bidi="ar"/>
        </w:rPr>
        <w:t>对用途分区主导功能产生负面影响的用途应通过国土空间规划的编制和实施逐步退出。</w:t>
      </w:r>
    </w:p>
    <w:p>
      <w:pPr>
        <w:pStyle w:val="4"/>
        <w:rPr>
          <w:rFonts w:ascii="Times New Roman" w:hAnsi="Times New Roman"/>
        </w:rPr>
      </w:pPr>
      <w:r>
        <w:rPr>
          <w:rFonts w:ascii="Times New Roman" w:hAnsi="Times New Roman"/>
        </w:rPr>
        <w:t>乡村发展区</w:t>
      </w:r>
    </w:p>
    <w:p>
      <w:bookmarkStart w:id="44" w:name="_Hlk152837370"/>
      <w:r>
        <w:rPr>
          <w:lang w:bidi="ar"/>
        </w:rPr>
        <w:t>全镇划定乡村发展区面积875.76公顷，乡村发展区包含村庄建设区、一般农业区、林业发展区等二级规划分区。</w:t>
      </w:r>
    </w:p>
    <w:bookmarkEnd w:id="44"/>
    <w:p>
      <w:r>
        <w:t>1.村庄建设区</w:t>
      </w:r>
    </w:p>
    <w:p>
      <w:r>
        <w:t>全镇划定村庄建设区面积772.09公顷。</w:t>
      </w:r>
    </w:p>
    <w:p>
      <w:r>
        <w:rPr>
          <w:lang w:bidi="ar"/>
        </w:rPr>
        <w:t>（1）用途准入</w:t>
      </w:r>
    </w:p>
    <w:p>
      <w:r>
        <w:rPr>
          <w:lang w:bidi="ar"/>
        </w:rPr>
        <w:t>村庄建设区的准入应符合国土空间规划和其他相关规划。在符合国土空间规划和其他相关规划的前提下，村庄建设区准入宅基地、农村公共服务设施、交通市政基础设施、农产品加工仓储、农家乐、民宿、创意办公、休闲农业、乡村旅游配套设施等农村生产、生活相关的用途。</w:t>
      </w:r>
    </w:p>
    <w:p>
      <w:r>
        <w:rPr>
          <w:lang w:bidi="ar"/>
        </w:rPr>
        <w:t>已批准村庄规划覆盖的区域，村庄建设区的准入应符合村庄规划的要求，优先保障农村宅基地和公共服务设施用地的建设需求，宅基地建设应依法落实“一户一宅”要求，遵守地方宅基地建设标准；公共服务设施应严格按照国土空间规划明确的公共服务设施建设标准和布局要求进行建设。</w:t>
      </w:r>
    </w:p>
    <w:p>
      <w:r>
        <w:rPr>
          <w:lang w:bidi="ar"/>
        </w:rPr>
        <w:t>（2）用途退出</w:t>
      </w:r>
    </w:p>
    <w:p>
      <w:r>
        <w:rPr>
          <w:lang w:bidi="ar"/>
        </w:rPr>
        <w:t>对村民生产、生活有负面影响的生产、开发活动应当通过国土空间规划的编制和实施逐步退出。</w:t>
      </w:r>
    </w:p>
    <w:p>
      <w:r>
        <w:t>2.一般农业区</w:t>
      </w:r>
    </w:p>
    <w:p>
      <w:r>
        <w:rPr>
          <w:lang w:bidi="ar"/>
        </w:rPr>
        <w:t>全镇划定一般农业区面积5127.94公顷。</w:t>
      </w:r>
    </w:p>
    <w:p>
      <w:r>
        <w:rPr>
          <w:lang w:bidi="ar"/>
        </w:rPr>
        <w:t>（1）用途准入</w:t>
      </w:r>
    </w:p>
    <w:p>
      <w:pPr>
        <w:rPr>
          <w:lang w:bidi="ar"/>
        </w:rPr>
      </w:pPr>
      <w:r>
        <w:rPr>
          <w:lang w:bidi="ar"/>
        </w:rPr>
        <w:t>一般农业区中的耕地按照《土地管理法》、《土地管理法实施条例》、《关于坚决制止耕地“非农化”防止耕地“非粮化”稳定发展粮食生产的意见》等法律法规、文件的要求进行管控。</w:t>
      </w:r>
    </w:p>
    <w:p>
      <w:r>
        <w:rPr>
          <w:lang w:bidi="ar"/>
        </w:rPr>
        <w:t>一般农业区内的耕地优先用于粮食和棉、油、糖、蔬菜等农产品生产。一般农业区内鼓励依据国土空间规划、全域土地综合整治规划等相关规划开展土地整治，提升耕地质量，促进区内建设用地、其他农用地整治为耕地。一般农业区中。</w:t>
      </w:r>
    </w:p>
    <w:p>
      <w:r>
        <w:rPr>
          <w:lang w:bidi="ar"/>
        </w:rPr>
        <w:t>在符合国土空间规划和其他相关规划的前提下，一般农业区允许农业设施建设用地准入，不需落实占补平衡，需要落实进出平衡，使用后必须恢复原用途。严格控制农业设施建设用地转化为非农建设用地。</w:t>
      </w:r>
    </w:p>
    <w:p>
      <w:r>
        <w:rPr>
          <w:lang w:bidi="ar"/>
        </w:rPr>
        <w:t>在符合国土空间规划和其他相关规划的前提下，一般农业区允许准入利用农村本地资源开展农产品初加工、发展休闲观光旅游而必须的配套设施建设。已批准详细规划覆盖区域，上述建设项目的选址和建设应符合详细规划的各项规定；已批准详细规划未覆盖区域，在不占用永久基本农田和生态保护红线、不突破国土空间规划建设用地指标等约束条件、符合用途管制要求、不破坏生态环境和乡村风貌的前提下，安排少量建设用地，可视作符合国土空间规划。已批准详细规划未覆盖区域建设项目，按照自然资源主管部门确定的用途准入、规模控制、建设高度、建设强度和风貌的管控规则。</w:t>
      </w:r>
    </w:p>
    <w:p>
      <w:r>
        <w:rPr>
          <w:lang w:bidi="ar"/>
        </w:rPr>
        <w:t>一般农业区中的永久基本农田储备耕地在补划为永久基本农田前，按照一般耕地管理和使用，并及时进行补充更新。重大建设项目或整改补划永久基本农田的，可直接在永久基本农田储备耕地中进行补划。</w:t>
      </w:r>
    </w:p>
    <w:p>
      <w:r>
        <w:rPr>
          <w:lang w:bidi="ar"/>
        </w:rPr>
        <w:t>（2）用途退出</w:t>
      </w:r>
    </w:p>
    <w:p>
      <w:r>
        <w:rPr>
          <w:lang w:bidi="ar"/>
        </w:rPr>
        <w:t>下列用途应通过国土空间规划的编制和实施有序退出，并限期恢复种植条件，规划期间确实不能恢复种植条件的，允许保留现状用途，但不得扩大面积。包括：一般农业区内破坏、污染耕地的开发生产活动；违法违规占用耕地的用途；零星的建设用地等用途。</w:t>
      </w:r>
    </w:p>
    <w:p>
      <w:pPr>
        <w:pStyle w:val="4"/>
        <w:rPr>
          <w:rFonts w:ascii="Times New Roman" w:hAnsi="Times New Roman"/>
        </w:rPr>
      </w:pPr>
      <w:r>
        <w:rPr>
          <w:rFonts w:ascii="Times New Roman" w:hAnsi="Times New Roman"/>
        </w:rPr>
        <w:t>矿产能源发展区</w:t>
      </w:r>
    </w:p>
    <w:p>
      <w:r>
        <w:t>1.矿产能源发展区划定</w:t>
      </w:r>
    </w:p>
    <w:p>
      <w:r>
        <w:rPr>
          <w:lang w:bidi="ar"/>
        </w:rPr>
        <w:t>全镇划定矿产能源发展区面积1.55公顷。</w:t>
      </w:r>
    </w:p>
    <w:p>
      <w:r>
        <w:t>2.管控规则</w:t>
      </w:r>
    </w:p>
    <w:p>
      <w:r>
        <w:rPr>
          <w:lang w:bidi="ar"/>
        </w:rPr>
        <w:t>（1）用途准入</w:t>
      </w:r>
    </w:p>
    <w:p>
      <w:r>
        <w:rPr>
          <w:lang w:bidi="ar"/>
        </w:rPr>
        <w:t>在符合国土空间规划和其他相关规划的前提下，矿产能源发展区允许矿产资源的勘探、开采、初加工以及相关的配套设施建设，禁止大规模的城镇建设。</w:t>
      </w:r>
    </w:p>
    <w:p>
      <w:r>
        <w:rPr>
          <w:lang w:bidi="ar"/>
        </w:rPr>
        <w:t>在符合国土空间规划和其他相关规划的前提下，矿产能源发展区允许开展农用地整理和其他土地整治工程的实施，鼓励生态修复和生态建设工程。</w:t>
      </w:r>
    </w:p>
    <w:p>
      <w:r>
        <w:rPr>
          <w:lang w:bidi="ar"/>
        </w:rPr>
        <w:t>（2）用途退出</w:t>
      </w:r>
    </w:p>
    <w:p>
      <w:pPr>
        <w:rPr>
          <w:lang w:bidi="ar"/>
        </w:rPr>
      </w:pPr>
      <w:r>
        <w:rPr>
          <w:lang w:bidi="ar"/>
        </w:rPr>
        <w:t>在符合国土空间规划和其他相关规划的前提下，不符合准入规则、影响矿产能源勘探和开采的用途应有序退出。</w:t>
      </w:r>
    </w:p>
    <w:p>
      <w:pPr>
        <w:rPr>
          <w:lang w:bidi="ar"/>
        </w:rPr>
      </w:pPr>
      <w:r>
        <w:rPr>
          <w:lang w:bidi="ar"/>
        </w:rPr>
        <w:t>规划分区详见附表3。</w:t>
      </w:r>
    </w:p>
    <w:p>
      <w:bookmarkStart w:id="45" w:name="_Toc16843"/>
      <w:r>
        <w:br w:type="page"/>
      </w:r>
    </w:p>
    <w:p>
      <w:pPr>
        <w:pStyle w:val="2"/>
      </w:pPr>
      <w:bookmarkStart w:id="46" w:name="_Toc10486"/>
      <w:r>
        <w:t>国土空间功能结构调整</w:t>
      </w:r>
      <w:bookmarkEnd w:id="45"/>
      <w:bookmarkEnd w:id="46"/>
    </w:p>
    <w:p>
      <w:pPr>
        <w:pStyle w:val="3"/>
        <w:rPr>
          <w:rFonts w:ascii="Times New Roman" w:hAnsi="Times New Roman"/>
        </w:rPr>
      </w:pPr>
      <w:r>
        <w:rPr>
          <w:rFonts w:hint="eastAsia" w:ascii="Times New Roman" w:hAnsi="Times New Roman"/>
        </w:rPr>
        <w:t>国土空间功能结构调整</w:t>
      </w:r>
    </w:p>
    <w:bookmarkEnd w:id="31"/>
    <w:p>
      <w:pPr>
        <w:pStyle w:val="4"/>
        <w:rPr>
          <w:rFonts w:ascii="Times New Roman" w:hAnsi="Times New Roman"/>
        </w:rPr>
      </w:pPr>
      <w:r>
        <w:rPr>
          <w:rFonts w:ascii="Times New Roman" w:hAnsi="Times New Roman"/>
        </w:rPr>
        <w:t>优化国土空间功能结构调整</w:t>
      </w:r>
    </w:p>
    <w:p>
      <w:pPr>
        <w:rPr>
          <w:lang w:bidi="ar"/>
        </w:rPr>
      </w:pPr>
      <w:r>
        <w:rPr>
          <w:lang w:bidi="ar"/>
        </w:rPr>
        <w:t>规划期内，耕地面积不低于3</w:t>
      </w:r>
      <w:r>
        <w:rPr>
          <w:rFonts w:hint="eastAsia"/>
          <w:lang w:bidi="ar"/>
        </w:rPr>
        <w:t>510.36</w:t>
      </w:r>
      <w:r>
        <w:rPr>
          <w:lang w:bidi="ar"/>
        </w:rPr>
        <w:t>公顷（耕地保有量）；园地面积</w:t>
      </w:r>
      <w:r>
        <w:rPr>
          <w:rFonts w:hint="eastAsia"/>
          <w:lang w:bidi="ar"/>
        </w:rPr>
        <w:t>适量减少；</w:t>
      </w:r>
      <w:r>
        <w:rPr>
          <w:lang w:bidi="ar"/>
        </w:rPr>
        <w:t>林地面积不小于上级下达林地保护目标；草地面积适</w:t>
      </w:r>
      <w:r>
        <w:rPr>
          <w:rFonts w:hint="eastAsia"/>
          <w:lang w:bidi="ar"/>
        </w:rPr>
        <w:t>量</w:t>
      </w:r>
      <w:r>
        <w:rPr>
          <w:lang w:bidi="ar"/>
        </w:rPr>
        <w:t>减少；湿地保持稳定（生态保护红线、自然保护地、河湖蓝线内的湿地地类面积）；城镇用地面积小于等于10</w:t>
      </w:r>
      <w:r>
        <w:rPr>
          <w:rFonts w:hint="eastAsia"/>
          <w:lang w:bidi="ar"/>
        </w:rPr>
        <w:t>8.36</w:t>
      </w:r>
      <w:r>
        <w:rPr>
          <w:lang w:bidi="ar"/>
        </w:rPr>
        <w:t>公顷；村庄用地面积</w:t>
      </w:r>
      <w:r>
        <w:rPr>
          <w:rFonts w:hint="eastAsia"/>
          <w:lang w:bidi="ar"/>
        </w:rPr>
        <w:t>控制在772.09公顷</w:t>
      </w:r>
      <w:r>
        <w:rPr>
          <w:lang w:bidi="ar"/>
        </w:rPr>
        <w:t>；区域基础设施用地面积持续增加；其他建设用地面积适度增加；陆地水域</w:t>
      </w:r>
      <w:r>
        <w:rPr>
          <w:rFonts w:hint="eastAsia"/>
          <w:lang w:bidi="ar"/>
        </w:rPr>
        <w:t>保持稳定</w:t>
      </w:r>
      <w:r>
        <w:rPr>
          <w:lang w:bidi="ar"/>
        </w:rPr>
        <w:t>。</w:t>
      </w:r>
    </w:p>
    <w:p>
      <w:pPr>
        <w:pStyle w:val="3"/>
        <w:rPr>
          <w:rFonts w:ascii="Times New Roman" w:hAnsi="Times New Roman"/>
        </w:rPr>
      </w:pPr>
      <w:bookmarkStart w:id="47" w:name="_Toc9616"/>
      <w:r>
        <w:rPr>
          <w:rFonts w:ascii="Times New Roman" w:hAnsi="Times New Roman"/>
        </w:rPr>
        <w:t>留白用地</w:t>
      </w:r>
      <w:bookmarkEnd w:id="47"/>
    </w:p>
    <w:p>
      <w:r>
        <w:t>按照现状村庄建设用地的5%作为规划留白，用于暂时无法确定用途或位置的乡镇域内农村公益设施、乡村文旅设施、农村一二三产融合发展用地等。规划留白不得占用永久基本农田、生态保护红线。</w:t>
      </w:r>
    </w:p>
    <w:p>
      <w:pPr>
        <w:rPr>
          <w:rFonts w:eastAsia="方正小标宋简体"/>
          <w:kern w:val="44"/>
          <w:sz w:val="36"/>
          <w:szCs w:val="44"/>
        </w:rPr>
      </w:pPr>
      <w:r>
        <w:br w:type="page"/>
      </w:r>
    </w:p>
    <w:p/>
    <w:p>
      <w:pPr>
        <w:pStyle w:val="2"/>
      </w:pPr>
      <w:bookmarkStart w:id="48" w:name="_Toc24457"/>
      <w:bookmarkStart w:id="49" w:name="_Toc18919"/>
      <w:r>
        <w:t>自然资源保护利用</w:t>
      </w:r>
      <w:bookmarkEnd w:id="48"/>
      <w:bookmarkEnd w:id="49"/>
    </w:p>
    <w:p>
      <w:pPr>
        <w:pStyle w:val="3"/>
        <w:rPr>
          <w:rFonts w:ascii="Times New Roman" w:hAnsi="Times New Roman"/>
        </w:rPr>
      </w:pPr>
      <w:bookmarkStart w:id="50" w:name="_Toc26270"/>
      <w:r>
        <w:rPr>
          <w:rFonts w:ascii="Times New Roman" w:hAnsi="Times New Roman"/>
        </w:rPr>
        <w:t>耕地资源保护与利用</w:t>
      </w:r>
      <w:bookmarkEnd w:id="50"/>
    </w:p>
    <w:p>
      <w:pPr>
        <w:pStyle w:val="4"/>
        <w:rPr>
          <w:rFonts w:ascii="Times New Roman" w:hAnsi="Times New Roman"/>
        </w:rPr>
      </w:pPr>
      <w:r>
        <w:rPr>
          <w:rFonts w:ascii="Times New Roman" w:hAnsi="Times New Roman"/>
        </w:rPr>
        <w:t>严格落实耕地保护责任</w:t>
      </w:r>
    </w:p>
    <w:p>
      <w:pPr>
        <w:rPr>
          <w:lang w:bidi="ar"/>
        </w:rPr>
      </w:pPr>
      <w:r>
        <w:rPr>
          <w:lang w:bidi="ar"/>
        </w:rPr>
        <w:t>落实“合理利用土地、切实保护耕地”的基本国策，落实耕地保护目标，严守耕地保护红线，保证面积不减少、质量有提升、生态有改善。</w:t>
      </w:r>
      <w:r>
        <w:rPr>
          <w:u w:val="single"/>
          <w:lang w:bidi="ar"/>
        </w:rPr>
        <w:t>规划至2035年，全镇耕地保有量不低于</w:t>
      </w:r>
      <w:r>
        <w:rPr>
          <w:rFonts w:hint="eastAsia"/>
          <w:u w:val="single"/>
          <w:lang w:bidi="ar"/>
        </w:rPr>
        <w:t xml:space="preserve">3510.36 </w:t>
      </w:r>
      <w:r>
        <w:rPr>
          <w:u w:val="single"/>
          <w:lang w:bidi="ar"/>
        </w:rPr>
        <w:t>公顷，</w:t>
      </w:r>
      <w:r>
        <w:rPr>
          <w:u w:val="single"/>
        </w:rPr>
        <w:t>永久基本农田保护目标不低于</w:t>
      </w:r>
      <w:r>
        <w:rPr>
          <w:rFonts w:hint="eastAsia"/>
          <w:u w:val="single"/>
        </w:rPr>
        <w:t>3312.31</w:t>
      </w:r>
      <w:r>
        <w:rPr>
          <w:u w:val="single"/>
        </w:rPr>
        <w:t>公顷</w:t>
      </w:r>
      <w:r>
        <w:rPr>
          <w:lang w:bidi="ar"/>
        </w:rPr>
        <w:t>。严格落实划定的耕地保护图斑，</w:t>
      </w:r>
      <w:r>
        <w:t>足额带位置落实到村庄、到地块，上图入库、建档立卡，守住耕地保护和粮食安全底线。</w:t>
      </w:r>
      <w:r>
        <w:rPr>
          <w:lang w:bidi="ar"/>
        </w:rPr>
        <w:t>落实“长牙齿”的耕地保护措施，落实耕地保护责任目标考核机制，落实耕地保护党政同责、终生追责。严格落实推进“非农化”问题排查整治，严格控制耕地转为林地、草地、园地等其他农用地。</w:t>
      </w:r>
    </w:p>
    <w:p>
      <w:pPr>
        <w:pStyle w:val="4"/>
        <w:rPr>
          <w:rFonts w:ascii="Times New Roman" w:hAnsi="Times New Roman"/>
        </w:rPr>
      </w:pPr>
      <w:r>
        <w:rPr>
          <w:rFonts w:ascii="Times New Roman" w:hAnsi="Times New Roman"/>
        </w:rPr>
        <w:t>严格落实耕地种植用途管控</w:t>
      </w:r>
    </w:p>
    <w:p>
      <w:pPr>
        <w:rPr>
          <w:lang w:bidi="ar"/>
        </w:rPr>
      </w:pPr>
      <w:r>
        <w:rPr>
          <w:rFonts w:hint="eastAsia"/>
          <w:lang w:bidi="ar"/>
        </w:rPr>
        <w:t>落实耕地种植制度，耕地主要用于粮食和棉、油、糖、蔬菜等农产品生产以及饲草饲料生产，永久基本农田重点用于粮食生产，高标准农田原则上全部用于粮食生产。严守永久基本农田保护红线，严禁擅自占用和改变用途。全面落实田长制，建立多层级网格化管理的耕地保护监督机制，加强耕地执法监督,坚决遏制耕地“非农化”、防止“非粮化”</w:t>
      </w:r>
      <w:r>
        <w:rPr>
          <w:lang w:bidi="ar"/>
        </w:rPr>
        <w:t>。</w:t>
      </w:r>
    </w:p>
    <w:p>
      <w:pPr>
        <w:pStyle w:val="4"/>
        <w:rPr>
          <w:rFonts w:ascii="Times New Roman" w:hAnsi="Times New Roman"/>
        </w:rPr>
      </w:pPr>
      <w:r>
        <w:rPr>
          <w:rFonts w:ascii="Times New Roman" w:hAnsi="Times New Roman"/>
        </w:rPr>
        <w:t>严格落实占补平衡</w:t>
      </w:r>
    </w:p>
    <w:p>
      <w:r>
        <w:rPr>
          <w:rFonts w:hint="eastAsia"/>
        </w:rPr>
        <w:t>严格实行“以补定占”，在实现耕地总量动态平衡前提下，将镇域内稳定利用耕地净增加量作为下年度非农建设允许占用耕地规模上限控制，对违法建设占用耕地相应冻结补充耕地指标。将非农建设、造林种树、种果种茶等各类占用耕地行为统一纳入耕地占补平衡管理；补充耕地坚持以恢复优质耕地为主、新开垦耕地为辅的原则，在符合国土空间规划和生态环境保护要求的前提下，优先将适宜恢复为优质耕地的园地、林地、草地等其他农用地以及低效闲置建设用地统筹作为补充耕地来源。各类实施主体将非耕地垦造、恢复为耕地的，符合规定的可作为补充耕地。</w:t>
      </w:r>
    </w:p>
    <w:p>
      <w:r>
        <w:rPr>
          <w:rFonts w:hint="eastAsia"/>
        </w:rPr>
        <w:t>拓宽补充耕地来源，规划期内积极稳妥有序开展农村建设用地整治，稳妥有序推进农村低效建设用地整治，盘活存量资源。通过综合整治耕地及其间的低效林地和园地、低效设施农用地以及田坎、农村道路、沟渠、坑塘等。</w:t>
      </w:r>
    </w:p>
    <w:p>
      <w:pPr>
        <w:pStyle w:val="4"/>
        <w:rPr>
          <w:rFonts w:ascii="Times New Roman" w:hAnsi="Times New Roman"/>
        </w:rPr>
      </w:pPr>
      <w:r>
        <w:rPr>
          <w:rFonts w:hint="eastAsia" w:ascii="Times New Roman" w:hAnsi="Times New Roman"/>
        </w:rPr>
        <w:t>加强耕地质量建设</w:t>
      </w:r>
    </w:p>
    <w:p>
      <w:r>
        <w:rPr>
          <w:rFonts w:hint="eastAsia"/>
        </w:rPr>
        <w:t>积极开展土地整治项目，推进耕地质量保护与提升，落实“藏粮于地、藏粮于技”战略，加快农业生产配套田网、渠网、路网、电网等建设，提高农田抗灾减灾能力、农田排灌能力和农机作业能力，大力推进高标准农田建设，通过实施土地平整、土壤改良、地力培肥等措施，逐步把永久基本农田全部建成高标准农田。规划期内，确保集中连片的永久基本农田全部建成为高标准农田。</w:t>
      </w:r>
    </w:p>
    <w:p>
      <w:pPr>
        <w:pStyle w:val="4"/>
        <w:rPr>
          <w:rFonts w:ascii="Times New Roman" w:hAnsi="Times New Roman"/>
        </w:rPr>
      </w:pPr>
      <w:r>
        <w:rPr>
          <w:rFonts w:hint="eastAsia" w:ascii="Times New Roman" w:hAnsi="Times New Roman"/>
        </w:rPr>
        <w:t>强化耕地生态保护</w:t>
      </w:r>
    </w:p>
    <w:p>
      <w:r>
        <w:rPr>
          <w:rFonts w:hint="eastAsia"/>
        </w:rPr>
        <w:t>合理利用水土资源，持续改善耕地生态环境，实现耕地数量、质量、生态的协调统一。大力发展绿色农业，持续推进测土配方施肥，实现化肥农药减量增效，促进农村地区畜禽粪污、地膜和农作物秸秆资源化利用，防治土壤退化。</w:t>
      </w:r>
    </w:p>
    <w:p>
      <w:r>
        <w:rPr>
          <w:rFonts w:hint="eastAsia"/>
        </w:rPr>
        <w:t>加大农业节水力度，扩大低耗水、高耐旱作物种植比例，开展大中型灌区高效节水灌溉配套建设，提高灌溉水利用效率。加强农田水利基础设施建设，提高耕地防灾减灾能力，及时整治复垦灾毁耕地，保障农业生产秩序。强化耕地与周边生态系统协同保护，修复完善农田防护林网和耕地生态功能，恢复田间生物群落和生态链，建设健康稳定田园生态系统。</w:t>
      </w:r>
    </w:p>
    <w:p>
      <w:pPr>
        <w:pStyle w:val="3"/>
        <w:rPr>
          <w:rFonts w:ascii="Times New Roman" w:hAnsi="Times New Roman"/>
        </w:rPr>
      </w:pPr>
      <w:bookmarkStart w:id="51" w:name="_Toc18740"/>
      <w:r>
        <w:rPr>
          <w:rFonts w:ascii="Times New Roman" w:hAnsi="Times New Roman"/>
        </w:rPr>
        <w:t>森林资源保护与利用</w:t>
      </w:r>
      <w:bookmarkEnd w:id="51"/>
    </w:p>
    <w:p>
      <w:pPr>
        <w:pStyle w:val="4"/>
        <w:rPr>
          <w:rFonts w:ascii="Times New Roman" w:hAnsi="Times New Roman"/>
        </w:rPr>
      </w:pPr>
      <w:r>
        <w:rPr>
          <w:rFonts w:ascii="Times New Roman" w:hAnsi="Times New Roman"/>
        </w:rPr>
        <w:t>落实森林资源保护任务</w:t>
      </w:r>
    </w:p>
    <w:p>
      <w:r>
        <w:t>以水源涵养和生物多样性功能提升为目标，不断提高森林覆盖率，巩固和扩大生态空间。优化林业生产布局，针对镇域北部山</w:t>
      </w:r>
      <w:r>
        <w:rPr>
          <w:rFonts w:hint="eastAsia"/>
        </w:rPr>
        <w:t>体</w:t>
      </w:r>
      <w:r>
        <w:t>和</w:t>
      </w:r>
      <w:r>
        <w:rPr>
          <w:rFonts w:hint="eastAsia"/>
        </w:rPr>
        <w:t>尖岗</w:t>
      </w:r>
      <w:r>
        <w:t>水库周边等重点区域，精准落实绿化空间、科学开展国土绿化。至2035年，落实造林绿化空间169.28公顷。</w:t>
      </w:r>
    </w:p>
    <w:p>
      <w:pPr>
        <w:pStyle w:val="4"/>
        <w:rPr>
          <w:rFonts w:ascii="Times New Roman" w:hAnsi="Times New Roman"/>
        </w:rPr>
      </w:pPr>
      <w:r>
        <w:rPr>
          <w:rFonts w:ascii="Times New Roman" w:hAnsi="Times New Roman"/>
        </w:rPr>
        <w:t>落实完善林地分类保护机制</w:t>
      </w:r>
    </w:p>
    <w:p>
      <w:r>
        <w:t>科学合理进行森林经营，严格遵守限额采伐和凭证采伐的管理制度，全面停止天然林商业性采伐，不得将天然林改造为人工林，不得擅自将公益林改为商品林。巩固提升生态系统碳汇能力，加强重大林业有害生物防治，保护古树名木及其自然环境，助推内乡县森林城市建设。</w:t>
      </w:r>
    </w:p>
    <w:p>
      <w:pPr>
        <w:pStyle w:val="4"/>
        <w:rPr>
          <w:rFonts w:ascii="Times New Roman" w:hAnsi="Times New Roman"/>
        </w:rPr>
      </w:pPr>
      <w:r>
        <w:rPr>
          <w:rFonts w:ascii="Times New Roman" w:hAnsi="Times New Roman"/>
        </w:rPr>
        <w:t>促进森林资源生态产品价值实现</w:t>
      </w:r>
    </w:p>
    <w:p>
      <w:r>
        <w:t>依托赤眉镇丰富的森林资源，重点在镇域北部推进特色经济林、林下经济、森林旅游等产业化集群建设。以赤眉镇传统林果特色产业为依托，推动传统产业优化升级。努力推进布局区域化、经营规模化、生产标准化、发展产业化，整合优势资源，以基地建设为载体，围绕“绿色、有机”特色，发展</w:t>
      </w:r>
      <w:r>
        <w:rPr>
          <w:rFonts w:hint="eastAsia"/>
        </w:rPr>
        <w:t>特色林果产业</w:t>
      </w:r>
      <w:r>
        <w:t>。构建以</w:t>
      </w:r>
      <w:r>
        <w:rPr>
          <w:rFonts w:hint="eastAsia"/>
        </w:rPr>
        <w:t>林果</w:t>
      </w:r>
      <w:r>
        <w:t>为主体的森林旅游体系，重点打造观光旅游体验，建设和完善接待、餐饮、消防、环卫等设施，提高服务保障能力，加快森林旅游产业发展。推进林业一二三产业融合发展，加快林业产业绿色化、优质化、特色化、品牌化建设。</w:t>
      </w:r>
    </w:p>
    <w:p>
      <w:pPr>
        <w:pStyle w:val="3"/>
      </w:pPr>
      <w:bookmarkStart w:id="52" w:name="_Toc13683"/>
      <w:bookmarkStart w:id="53" w:name="_Toc200550527"/>
      <w:bookmarkStart w:id="54" w:name="_Toc200611598"/>
      <w:bookmarkStart w:id="55" w:name="_Hlk200562617"/>
      <w:r>
        <w:rPr>
          <w:rFonts w:hint="eastAsia"/>
        </w:rPr>
        <w:t>落实自然保护地体系</w:t>
      </w:r>
      <w:bookmarkEnd w:id="52"/>
      <w:bookmarkEnd w:id="53"/>
      <w:bookmarkEnd w:id="54"/>
    </w:p>
    <w:p>
      <w:pPr>
        <w:pStyle w:val="4"/>
      </w:pPr>
      <w:r>
        <w:rPr>
          <w:rFonts w:hint="eastAsia"/>
        </w:rPr>
        <w:t>落实自然保护地体系</w:t>
      </w:r>
    </w:p>
    <w:p>
      <w:pPr>
        <w:spacing w:before="65"/>
      </w:pPr>
      <w:r>
        <w:rPr>
          <w:rFonts w:hint="eastAsia"/>
        </w:rPr>
        <w:t>落实分类科学、布局合理、保护有力、管理有效的以国家公园为主体的自然保护地体系，确保重要自然生态系统、自然遗迹、自然景观和生物多样性及其演化过程得到系统性保护，提升生态产品供给能力。充分发挥自然保护地在生态文明建设中的重大作用，推进自然保护地体系构建工作。</w:t>
      </w:r>
    </w:p>
    <w:p>
      <w:pPr>
        <w:spacing w:before="65"/>
      </w:pPr>
      <w:r>
        <w:rPr>
          <w:rFonts w:hint="eastAsia"/>
        </w:rPr>
        <w:t>落实上位规划，镇域自然保护地共两处，分别为河南南阳恐龙蛋化石群国家级自然保护区、河南内乡湍河湿地省级自然保护区，</w:t>
      </w:r>
      <w:r>
        <w:t>其中，</w:t>
      </w:r>
      <w:r>
        <w:rPr>
          <w:rFonts w:hint="eastAsia"/>
        </w:rPr>
        <w:t>河南内乡湍河湿地省级自然保护区</w:t>
      </w:r>
      <w:r>
        <w:t>面积</w:t>
      </w:r>
      <w:r>
        <w:rPr>
          <w:rFonts w:hint="eastAsia"/>
        </w:rPr>
        <w:t>1075.73</w:t>
      </w:r>
      <w:r>
        <w:t>公顷，分布于</w:t>
      </w:r>
      <w:r>
        <w:rPr>
          <w:rFonts w:hint="eastAsia"/>
        </w:rPr>
        <w:t>镇域中部和北部，</w:t>
      </w:r>
      <w:r>
        <w:t>河南南阳恐龙蛋化石群国家级自然保护区面积</w:t>
      </w:r>
      <w:r>
        <w:rPr>
          <w:rFonts w:hint="eastAsia"/>
        </w:rPr>
        <w:t>2674.45</w:t>
      </w:r>
      <w:r>
        <w:t>公顷，分布于</w:t>
      </w:r>
      <w:r>
        <w:rPr>
          <w:rFonts w:hint="eastAsia"/>
        </w:rPr>
        <w:t>镇域西部</w:t>
      </w:r>
      <w:r>
        <w:t>。详见附表5。</w:t>
      </w:r>
    </w:p>
    <w:p>
      <w:pPr>
        <w:pStyle w:val="4"/>
      </w:pPr>
      <w:r>
        <w:t>加强自然保护地管控</w:t>
      </w:r>
    </w:p>
    <w:p>
      <w:pPr>
        <w:spacing w:before="65"/>
      </w:pPr>
      <w:r>
        <w:rPr>
          <w:rFonts w:hint="eastAsia"/>
        </w:rPr>
        <w:t>以加强自然生态系统原真性、完整性、系统性保护为原则，有序化解自然保护地各类矛盾冲突，大力推进山水林田湖草沙一体化保护和系统治理，强化水源涵养和生物多样性保护，维护自然生态系统健康稳定。以自然恢复为主，分区分类开展受损自然生态系统修复。基于各类自然保护地功能分区，制定建设项目负面清单与人为活动的限制要求，对自然保护地核心保护区和一般控制区实行差别化管控。</w:t>
      </w:r>
    </w:p>
    <w:p>
      <w:pPr>
        <w:spacing w:before="65"/>
      </w:pPr>
      <w:r>
        <w:rPr>
          <w:rFonts w:hint="eastAsia"/>
        </w:rPr>
        <w:t>位于河南南阳恐龙蛋化石群国家级自然保护区、河南内乡湍河湿地省级自然保护区等自然保护区内的人类活动，在自然保护地整合优化方案批复前，须严格执行《自然保护区条例》规定，符合自然保护区管理的相关要求。</w:t>
      </w:r>
    </w:p>
    <w:bookmarkEnd w:id="55"/>
    <w:p>
      <w:pPr>
        <w:pStyle w:val="3"/>
        <w:rPr>
          <w:rFonts w:ascii="Times New Roman" w:hAnsi="Times New Roman"/>
        </w:rPr>
      </w:pPr>
      <w:bookmarkStart w:id="56" w:name="_Toc14878"/>
      <w:r>
        <w:rPr>
          <w:rFonts w:ascii="Times New Roman" w:hAnsi="Times New Roman"/>
        </w:rPr>
        <w:t>湿地资源保护与利用</w:t>
      </w:r>
      <w:bookmarkEnd w:id="56"/>
    </w:p>
    <w:p>
      <w:pPr>
        <w:pStyle w:val="4"/>
        <w:rPr>
          <w:rFonts w:ascii="Times New Roman" w:hAnsi="Times New Roman"/>
        </w:rPr>
      </w:pPr>
      <w:r>
        <w:rPr>
          <w:rFonts w:ascii="Times New Roman" w:hAnsi="Times New Roman"/>
        </w:rPr>
        <w:t>落实湿地资源保护责任</w:t>
      </w:r>
    </w:p>
    <w:p>
      <w:r>
        <w:t>加强镇域湿地资源保护，严格保障湿地生态空间，落实湿地资源保护责任。全镇湿地面积</w:t>
      </w:r>
      <w:r>
        <w:rPr>
          <w:rFonts w:hint="eastAsia"/>
        </w:rPr>
        <w:t>63.49</w:t>
      </w:r>
      <w:r>
        <w:t>公顷，主要分布于湍河、东北川河、弹琴河、郑岔沟河、洗眉河、火神庙河、庙山水库、庙沟水库、王沟水库等河湖水库周边。</w:t>
      </w:r>
    </w:p>
    <w:p>
      <w:pPr>
        <w:pStyle w:val="4"/>
        <w:rPr>
          <w:rFonts w:ascii="Times New Roman" w:hAnsi="Times New Roman"/>
        </w:rPr>
      </w:pPr>
      <w:r>
        <w:rPr>
          <w:rFonts w:ascii="Times New Roman" w:hAnsi="Times New Roman"/>
        </w:rPr>
        <w:t>加强湿地保护管理</w:t>
      </w:r>
    </w:p>
    <w:p>
      <w:r>
        <w:t>加强湿地管理、监测和科普宣教，着力保护与恢复，提升湿地生态系统多样性、稳定性、持续性，层层落实湿地管理保护责任。严格控制默河、花北河、打磨岗水库、庵山水库等河湖湿地周边农业面源污染、工业污染和城镇生活生产污染，定期对湿地周边区域的废弃物进行清理和集中处理，合理有序开展湿地资源生态化利用，全面保护湿地资源和实现可持续发展。</w:t>
      </w:r>
    </w:p>
    <w:p>
      <w:pPr>
        <w:pStyle w:val="3"/>
        <w:rPr>
          <w:rFonts w:ascii="Times New Roman" w:hAnsi="Times New Roman"/>
        </w:rPr>
      </w:pPr>
      <w:bookmarkStart w:id="57" w:name="_Toc32660"/>
      <w:r>
        <w:rPr>
          <w:rFonts w:ascii="Times New Roman" w:hAnsi="Times New Roman"/>
        </w:rPr>
        <w:t>建设用地节约集约利用</w:t>
      </w:r>
      <w:bookmarkEnd w:id="57"/>
    </w:p>
    <w:p>
      <w:pPr>
        <w:pStyle w:val="4"/>
        <w:rPr>
          <w:rFonts w:ascii="Times New Roman" w:hAnsi="Times New Roman"/>
        </w:rPr>
      </w:pPr>
      <w:r>
        <w:rPr>
          <w:rFonts w:ascii="Times New Roman" w:hAnsi="Times New Roman"/>
        </w:rPr>
        <w:t>实行总量控制，保障建设用地需求。</w:t>
      </w:r>
    </w:p>
    <w:p>
      <w:r>
        <w:t>全面实行建设用地总量和强度双控，实行新增建设用地与内涵挖潜相结合的用地保障方式，推进节约集约利用水平。</w:t>
      </w:r>
    </w:p>
    <w:p>
      <w:pPr>
        <w:rPr>
          <w:lang w:bidi="ar"/>
        </w:rPr>
      </w:pPr>
      <w:r>
        <w:rPr>
          <w:lang w:bidi="ar"/>
        </w:rPr>
        <w:t>严控新增城镇规模。严格按照城镇开发边界范围开展集中建设，凡不符合国土空间规划、国家区域政策、产业政策和供地政策的建设项目，不得开展城镇建设利用活动。精准有效配置新增指标，实现“优地优用”，加大存量挖掘潜力，推进城镇建设用地混合开发和空间复合利用。</w:t>
      </w:r>
    </w:p>
    <w:p>
      <w:pPr>
        <w:rPr>
          <w:lang w:bidi="ar"/>
        </w:rPr>
      </w:pPr>
      <w:r>
        <w:rPr>
          <w:lang w:bidi="ar"/>
        </w:rPr>
        <w:t>规范利用，盘活村庄建设用地。有序引导、稳妥推进村庄建设用地节约集约利用，完善鼓励机制，鼓励农村闲置宅基地有偿退出和村庄低效建设用地再利用。鼓励对依法登记的村庄建设用地进行复合利用，发展乡村振兴产业，提高经济收益。</w:t>
      </w:r>
    </w:p>
    <w:p>
      <w:pPr>
        <w:rPr>
          <w:kern w:val="0"/>
          <w:lang w:bidi="ar"/>
        </w:rPr>
      </w:pPr>
      <w:r>
        <w:rPr>
          <w:lang w:bidi="ar"/>
        </w:rPr>
        <w:t>保障其他建设用地需求。强化保障交通、水利、能源等基础设施用地需求，全力提升自然资源要素保障能力；协调加强军事设施保护，加强各类军事用地需求保障；加强公安项目的用地需求保障，满足看守所、拘留所、派出所及其他公安项目的用地需求；加强殡葬用地保障力度，镇域范围内预留不少于3.33公顷（50亩）的公益性公墓用地，鼓励与其他乡镇联合建立公墓。</w:t>
      </w:r>
    </w:p>
    <w:p>
      <w:pPr>
        <w:pStyle w:val="4"/>
        <w:rPr>
          <w:rFonts w:ascii="Times New Roman" w:hAnsi="Times New Roman"/>
        </w:rPr>
      </w:pPr>
      <w:r>
        <w:rPr>
          <w:rFonts w:ascii="Times New Roman" w:hAnsi="Times New Roman"/>
        </w:rPr>
        <w:t>盘活存量用地，推动城镇开发建设内涵提升</w:t>
      </w:r>
    </w:p>
    <w:p>
      <w:pPr>
        <w:rPr>
          <w:kern w:val="0"/>
        </w:rPr>
      </w:pPr>
      <w:r>
        <w:rPr>
          <w:lang w:bidi="ar"/>
        </w:rPr>
        <w:t>镇区以盘活存量用地为主，推动城镇开发建设内涵提升。完善产业转型升级用地支持政策，鼓励混合开发，促进城镇开发建设由外延扩张向内涵提升转变。积极利用存量低效闲置用地，对短期内无法实施供应的批而未供土地，针对其他原因的闲置土地，采取延长动工开发期限、收回或置换土地使用权等措施。积极推进城市更新，鼓励开展旧居住、旧厂房、旧市场、外迁基础设施、闲置未利用地和已批未用地的更新整治，促进结构优化、发展转型。</w:t>
      </w:r>
    </w:p>
    <w:p>
      <w:pPr>
        <w:pStyle w:val="4"/>
        <w:rPr>
          <w:rFonts w:ascii="Times New Roman" w:hAnsi="Times New Roman"/>
        </w:rPr>
      </w:pPr>
      <w:r>
        <w:rPr>
          <w:rFonts w:ascii="Times New Roman" w:hAnsi="Times New Roman"/>
        </w:rPr>
        <w:t>提高用地效率，强化节约集约用地</w:t>
      </w:r>
    </w:p>
    <w:p>
      <w:r>
        <w:rPr>
          <w:lang w:bidi="ar"/>
        </w:rPr>
        <w:t>按照人均城镇建设用地逐步降低，人均村庄用地稳定为前提，提高用地标准。规划期内，镇区人均城镇建设用地不高于现状规模，各村人均农村居民点面积保持稳定，适当降低。</w:t>
      </w:r>
    </w:p>
    <w:p>
      <w:pPr>
        <w:pStyle w:val="3"/>
        <w:rPr>
          <w:rFonts w:ascii="Times New Roman" w:hAnsi="Times New Roman"/>
        </w:rPr>
      </w:pPr>
      <w:bookmarkStart w:id="58" w:name="_Toc26044"/>
      <w:r>
        <w:rPr>
          <w:rFonts w:ascii="Times New Roman" w:hAnsi="Times New Roman"/>
        </w:rPr>
        <w:t>水资源保护与利用</w:t>
      </w:r>
      <w:bookmarkEnd w:id="58"/>
    </w:p>
    <w:p>
      <w:pPr>
        <w:pStyle w:val="4"/>
        <w:rPr>
          <w:rFonts w:ascii="Times New Roman" w:hAnsi="Times New Roman"/>
        </w:rPr>
      </w:pPr>
      <w:r>
        <w:rPr>
          <w:rFonts w:ascii="Times New Roman" w:hAnsi="Times New Roman"/>
        </w:rPr>
        <w:t>落实水资源保护范围</w:t>
      </w:r>
    </w:p>
    <w:p>
      <w:r>
        <w:t>落实河湖水系范围，包括湍河、东北川河、弹琴河、郑岔沟河、洗眉河、火神庙河、庙山水库、庙沟水库、王沟水库，管理范围面积9.25平方千米，水库保护范围面积3.14平方千米。</w:t>
      </w:r>
    </w:p>
    <w:p>
      <w:pPr>
        <w:pStyle w:val="4"/>
        <w:rPr>
          <w:rFonts w:ascii="Times New Roman" w:hAnsi="Times New Roman"/>
        </w:rPr>
      </w:pPr>
      <w:r>
        <w:rPr>
          <w:rFonts w:ascii="Times New Roman" w:hAnsi="Times New Roman"/>
        </w:rPr>
        <w:t>加强水资源管控保护</w:t>
      </w:r>
    </w:p>
    <w:p>
      <w:r>
        <w:t>按照《中华人民共和国河道管理规定》、《水利部关于加强河湖水域岸线空间管控的指导意见》等，加强河道管理保护，严格管控各类水域岸线利用行为。河湖管理范围内的岸线整治修复、生态廊道建设、滩地生态治理、公共体育设施、渔业养殖设施、航运设施、航道整治工程、造（修、拆）船项目、文体活动等，依法按照洪水影响评价类审批或河道管理范围内特定活动审批事项办理许可手续。严禁以风雨廊桥等名义在河湖管理范围内开发建设房屋。城市建设和发展不得占用河道滩地。光伏电站、风力发电等项目不得在河道、湖泊、水库内建设。在湖泊周边、水库库汊建设光伏、风电项目的，要科学论证，严格管控，不得布设在具有防洪、供水功能和水生态、水环境保护需求的区域，不得妨碍行洪通畅，不得危害水库大坝和堤防等水利工程设施安全，不得影响河势稳定和航运安全。</w:t>
      </w:r>
    </w:p>
    <w:p>
      <w:pPr>
        <w:pStyle w:val="4"/>
        <w:rPr>
          <w:rFonts w:ascii="Times New Roman" w:hAnsi="Times New Roman"/>
        </w:rPr>
      </w:pPr>
      <w:r>
        <w:rPr>
          <w:rFonts w:ascii="Times New Roman" w:hAnsi="Times New Roman"/>
        </w:rPr>
        <w:t>加强水资源节约利用</w:t>
      </w:r>
    </w:p>
    <w:p>
      <w:r>
        <w:t>优先保障城乡居民生活用水，合理安排工业和农业用水，建立多种水源联合调配机制，优先利地表水，在保证乡镇生活用水的前提下，严格控制地下水开采程度，加大再生水和雨水资源化利用。加快城镇供水管网节水改造，减低供水管网漏损率。全面开展节水型单位、居民小区创建活动，持续推广普及生活节水器具，加强学校、医院、宾馆、餐饮、洗浴等重点行业节水技术改造。</w:t>
      </w:r>
    </w:p>
    <w:p>
      <w:r>
        <w:t>坚持节水优先，推进节水型社会建设。优化调整产业结构与布局，按照清洁生产和循环经济的标准，凡是生产规模、工艺不符合国家产业政策要求的企业，应坚决予以关停。加强农业节水建设，大力发展高效节水灌溉农业。加强供水管网维护管理，大力推广普及节水器具和产品，提高水资源利用效率。重点做好灌区提升工程、生态水系工程等重点项目，创建一批节水型示范企业。加快灌溉工程的配套、挖潜与改造，推广管道输水灌溉、喷灌、微灌等高效节水灌溉技术。</w:t>
      </w:r>
    </w:p>
    <w:p>
      <w:pPr>
        <w:pStyle w:val="4"/>
        <w:rPr>
          <w:rFonts w:ascii="Times New Roman" w:hAnsi="Times New Roman"/>
        </w:rPr>
      </w:pPr>
      <w:r>
        <w:rPr>
          <w:rFonts w:ascii="Times New Roman" w:hAnsi="Times New Roman"/>
        </w:rPr>
        <w:t>加强水污染防治</w:t>
      </w:r>
    </w:p>
    <w:p>
      <w:r>
        <w:t>强化水污染治理。推进农村生活污水处理设施和管网建设。持续推进化肥、农药的减量化，积极开展试点地块实施化肥农药利用率测算。严控涉水工业项目，加强企业监管。</w:t>
      </w:r>
    </w:p>
    <w:p>
      <w:r>
        <w:t>保障饮用水水源水质安全。强化饮用水水源风险防控，完善饮用水水源污染事故应急预案，确保镇集中式饮用水源地取水、供水厂、用水水龙头水质达标率100%，集中式饮用水源地水质优良比例100%，农村饮用水达标人口覆盖率100%。</w:t>
      </w:r>
    </w:p>
    <w:p>
      <w:r>
        <w:t>控制工业水污染物排放。切实执行排污许可证制度。强化工业企业水污染深度治理和工艺技术改造力度，配合完善先进制造业开发区污水处理管网，大力开展污水深度处理。</w:t>
      </w:r>
    </w:p>
    <w:p>
      <w:r>
        <w:t>强化河流综合整治力度。以“河长制”落实“河常治”，对于纳入河长制管理范围的河流、水库，保持巡河力度，强化日常监管。持续开展河湖库塘清淤，加强淤泥检测、清理、排放、运输、处置的全过程管理，探索建立清淤轮疏长效机制。</w:t>
      </w:r>
    </w:p>
    <w:p>
      <w:r>
        <w:t>开展农村黑臭水体排查与整治。积极开展农村黑臭水体综合整治专项行动，对镇域内黑臭水体进行梳理盘点、实地勘查，通过集体研究、分类施策。切实加强对黑臭水体的日常管理和巡查管控，严管向黑臭水体倾倒垃圾、污水、废弃物等不文明行为，并通过村级公示栏、村民微信群进行曝光，增强群众爱护环境的思想意识和行为自觉，确保黑臭水体有人清、有人管，实现水环境的长期干净、整洁。到2025年，实现全镇农村黑臭水体得到治理；规划期，确保农村黑臭水体动态清零。</w:t>
      </w:r>
    </w:p>
    <w:p>
      <w:r>
        <w:t>提高农村无害化厕所普及率。科学选择改厕技术模式，积极引进适合本地实际的改厕技术和产品。持续开展农村厕所革命“回头看”，改造提升未按标准规范建设的卫生厕所。加强粪污处理利用，鼓励联村、联户、村镇一体处理；鼓励因户制宜推进农户黑灰水就地处理利用。推进农村厕所粪污资源化利用。加强集中污水处理设施及厕所粪后段集中处理设施建设，委托第三方进行后期管护，增设公益岗位，持续完成上级目标任务。</w:t>
      </w:r>
    </w:p>
    <w:p>
      <w:r>
        <w:t>加强水生态建设，维护水系健康。加强河湖水域岸线管理，对河道、水库、湖泊等水域空间及其防护空间进行重点保护，严格建设管控。开展滨水带、重点湖库及小流域水土流失综合治理，保护水生态安全。落实矿产资源保护利用布局</w:t>
      </w:r>
    </w:p>
    <w:p>
      <w:pPr>
        <w:rPr>
          <w:rFonts w:eastAsia="方正小标宋简体"/>
          <w:kern w:val="44"/>
          <w:sz w:val="36"/>
          <w:szCs w:val="44"/>
        </w:rPr>
      </w:pPr>
      <w:r>
        <w:br w:type="page"/>
      </w:r>
    </w:p>
    <w:p/>
    <w:p>
      <w:pPr>
        <w:pStyle w:val="2"/>
      </w:pPr>
      <w:bookmarkStart w:id="59" w:name="_Toc15577"/>
      <w:bookmarkStart w:id="60" w:name="_Toc20411"/>
      <w:r>
        <w:t>产业规划</w:t>
      </w:r>
      <w:bookmarkEnd w:id="59"/>
      <w:bookmarkEnd w:id="60"/>
    </w:p>
    <w:p>
      <w:pPr>
        <w:pStyle w:val="4"/>
        <w:rPr>
          <w:rFonts w:ascii="Times New Roman" w:hAnsi="Times New Roman"/>
        </w:rPr>
      </w:pPr>
      <w:r>
        <w:rPr>
          <w:rFonts w:ascii="Times New Roman" w:hAnsi="Times New Roman"/>
        </w:rPr>
        <w:t>产业发展策略</w:t>
      </w:r>
    </w:p>
    <w:p>
      <w:pPr>
        <w:rPr>
          <w:lang w:bidi="ar"/>
        </w:rPr>
      </w:pPr>
      <w:r>
        <w:rPr>
          <w:lang w:bidi="ar"/>
        </w:rPr>
        <w:t>第一产业：突出农业特色，发展优质果茶等特色种植业，并融合发展乡村旅游康养。</w:t>
      </w:r>
    </w:p>
    <w:p>
      <w:pPr>
        <w:rPr>
          <w:lang w:bidi="ar"/>
        </w:rPr>
      </w:pPr>
      <w:r>
        <w:rPr>
          <w:lang w:bidi="ar"/>
        </w:rPr>
        <w:t>第二产业：衔接特色种植业，延伸相关农副产品加工，壮大油桃等特色农作物加工。</w:t>
      </w:r>
    </w:p>
    <w:p>
      <w:r>
        <w:rPr>
          <w:lang w:bidi="ar"/>
        </w:rPr>
        <w:t>第三产业：提档升级现代服务业，发展现代商贸服务等产业，做好农副产品销售流通服务。</w:t>
      </w:r>
    </w:p>
    <w:p>
      <w:pPr>
        <w:pStyle w:val="4"/>
        <w:rPr>
          <w:rFonts w:ascii="Times New Roman" w:hAnsi="Times New Roman"/>
        </w:rPr>
      </w:pPr>
      <w:r>
        <w:rPr>
          <w:rFonts w:ascii="Times New Roman" w:hAnsi="Times New Roman"/>
        </w:rPr>
        <w:t>优化产业布局</w:t>
      </w:r>
    </w:p>
    <w:p>
      <w:r>
        <w:t>规划形成五大产业区，中部以镇区为范围，形成中部综合服务功能区，主要发展商贸服务、流通服务、公共服务；以烟叶种植为特色，形成西部特色农作物种植区；在湍河以西的中北部，以林果种植为特色，形成中北部特色林果种植区；在东北部，以茶果种植为特色，形成东北部特色茶果种植区；南部平原地区形成南部传统粮食作物种植区。</w:t>
      </w:r>
    </w:p>
    <w:p>
      <w:pPr>
        <w:rPr>
          <w:rFonts w:eastAsia="方正小标宋简体"/>
          <w:kern w:val="44"/>
          <w:sz w:val="36"/>
          <w:szCs w:val="44"/>
        </w:rPr>
      </w:pPr>
      <w:r>
        <w:br w:type="page"/>
      </w:r>
    </w:p>
    <w:p/>
    <w:p>
      <w:pPr>
        <w:pStyle w:val="2"/>
      </w:pPr>
      <w:bookmarkStart w:id="61" w:name="_Toc21302"/>
      <w:bookmarkStart w:id="62" w:name="_Toc29524"/>
      <w:r>
        <w:t>村庄布局</w:t>
      </w:r>
      <w:bookmarkEnd w:id="61"/>
      <w:bookmarkEnd w:id="62"/>
    </w:p>
    <w:p>
      <w:pPr>
        <w:pStyle w:val="3"/>
        <w:rPr>
          <w:rFonts w:ascii="Times New Roman" w:hAnsi="Times New Roman"/>
        </w:rPr>
      </w:pPr>
      <w:bookmarkStart w:id="63" w:name="_Toc21422"/>
      <w:r>
        <w:rPr>
          <w:rFonts w:ascii="Times New Roman" w:hAnsi="Times New Roman"/>
        </w:rPr>
        <w:t>人口与城镇化水平预测</w:t>
      </w:r>
      <w:bookmarkEnd w:id="63"/>
    </w:p>
    <w:p>
      <w:pPr>
        <w:pStyle w:val="4"/>
        <w:rPr>
          <w:rFonts w:ascii="Times New Roman" w:hAnsi="Times New Roman"/>
          <w:lang w:val="zh-CN"/>
        </w:rPr>
      </w:pPr>
      <w:r>
        <w:rPr>
          <w:rFonts w:ascii="Times New Roman" w:hAnsi="Times New Roman"/>
          <w:lang w:val="zh-CN"/>
        </w:rPr>
        <w:t>人口规模预测</w:t>
      </w:r>
    </w:p>
    <w:p>
      <w:r>
        <w:t>规划基期年，镇域常住总人口33502人。至2025年，镇域常住总人口2.80万人；至2035年，镇域常住总人口2.06万人。</w:t>
      </w:r>
    </w:p>
    <w:p>
      <w:pPr>
        <w:pStyle w:val="4"/>
        <w:rPr>
          <w:rFonts w:ascii="Times New Roman" w:hAnsi="Times New Roman"/>
          <w:lang w:val="zh-CN"/>
        </w:rPr>
      </w:pPr>
      <w:r>
        <w:rPr>
          <w:rFonts w:ascii="Times New Roman" w:hAnsi="Times New Roman"/>
          <w:lang w:val="zh-CN"/>
        </w:rPr>
        <w:t>城镇化水平预测</w:t>
      </w:r>
    </w:p>
    <w:p>
      <w:r>
        <w:t>基期年，镇域城镇人口8893人，城镇化水平26.54%。至2025年，镇域城镇人口0.93人，城镇化水平达到33.04%，；至2035年，镇域城镇人口0.99人，城镇化水平达到48.04%左右。</w:t>
      </w:r>
    </w:p>
    <w:p>
      <w:pPr>
        <w:pStyle w:val="3"/>
        <w:rPr>
          <w:rFonts w:ascii="Times New Roman" w:hAnsi="Times New Roman"/>
        </w:rPr>
      </w:pPr>
      <w:bookmarkStart w:id="64" w:name="_Toc907"/>
      <w:r>
        <w:rPr>
          <w:rFonts w:ascii="Times New Roman" w:hAnsi="Times New Roman"/>
        </w:rPr>
        <w:t>村庄分类布局</w:t>
      </w:r>
      <w:bookmarkEnd w:id="64"/>
    </w:p>
    <w:p>
      <w:pPr>
        <w:pStyle w:val="4"/>
        <w:rPr>
          <w:rFonts w:ascii="Times New Roman" w:hAnsi="Times New Roman"/>
        </w:rPr>
      </w:pPr>
      <w:r>
        <w:rPr>
          <w:rFonts w:ascii="Times New Roman" w:hAnsi="Times New Roman"/>
        </w:rPr>
        <w:t>村庄分类</w:t>
      </w:r>
    </w:p>
    <w:p>
      <w:r>
        <w:t>本次规划对赤眉镇21个村庄进行分类，其中城郊融合类村庄为赤眉村、马营村、黄岗村，集聚提升类村庄为东北川村、杨店村、邵家岭村、陈湾村、齐营村、鱼贯口村、夹道村、朱陈村，整治改善类村庄为韩岗村、庙沟村、四坪村、王堂村、福山村、王庄村、张堂村、琴溪村、庙北村、庙山村。</w:t>
      </w:r>
    </w:p>
    <w:p>
      <w:pPr>
        <w:pStyle w:val="4"/>
        <w:rPr>
          <w:rFonts w:ascii="Times New Roman" w:hAnsi="Times New Roman"/>
        </w:rPr>
      </w:pPr>
      <w:r>
        <w:rPr>
          <w:rFonts w:ascii="Times New Roman" w:hAnsi="Times New Roman"/>
        </w:rPr>
        <w:t>村庄发展引导</w:t>
      </w:r>
    </w:p>
    <w:p>
      <w:r>
        <w:t>城郊融合类村庄应综合考虑工业化、城镇化和村庄自身发展需要，加快城乡产业融合发展、基础设施互联互通、公共服务共建共享，在形态上保留乡村风貌，在治理上体现城市水平，逐步强化服务城镇发展、承接城镇功能外溢的作用。</w:t>
      </w:r>
    </w:p>
    <w:p>
      <w:r>
        <w:t>集聚提升类村庄重点完善乡村基本服务单元功能，提升村庄公共设施和基础设施服务能力和水平。做强特色优势产业，延伸主导产业链条，推进一二三产业融合发展，提供就业岗位，增加村民和村集体收入。</w:t>
      </w:r>
    </w:p>
    <w:p>
      <w:r>
        <w:t xml:space="preserve">特色保护类村庄应以保护优先，活化利用，重点完善旅游配套、提升服务产业，统筹保护、利用与发展的关系，努力保持村庄的完整性、真实性和延续性。子育村以美丽乡村建设为基础、梁坪村与麦山村以发展特色产业为基础，加快改善村庄基础设施和公共环境，合理利用村庄特色资源，发展乡村旅游和特色产业； </w:t>
      </w:r>
    </w:p>
    <w:p>
      <w:r>
        <w:t>整治改善类村庄应着重于村庄危房改造、人居环境整治、基础设施与公共服务设施提升、土地整治、生态保护与修复等，满足建设需要。</w:t>
      </w:r>
    </w:p>
    <w:p>
      <w:r>
        <w:t>拆迁撤并类村庄根据村民意愿，通过市场化运作和配套政策相结合的方式，采用土地置换等多种方式和措施，逐步引导村民向城镇或保留并重点发展的村庄集聚。</w:t>
      </w:r>
    </w:p>
    <w:p>
      <w:pPr>
        <w:rPr>
          <w:rFonts w:eastAsia="方正小标宋简体"/>
          <w:kern w:val="44"/>
          <w:sz w:val="36"/>
          <w:szCs w:val="44"/>
        </w:rPr>
      </w:pPr>
      <w:r>
        <w:br w:type="page"/>
      </w:r>
    </w:p>
    <w:p/>
    <w:p>
      <w:pPr>
        <w:pStyle w:val="2"/>
      </w:pPr>
      <w:bookmarkStart w:id="65" w:name="_Toc11348"/>
      <w:bookmarkStart w:id="66" w:name="_Toc23598"/>
      <w:r>
        <w:t>支撑</w:t>
      </w:r>
      <w:r>
        <w:rPr>
          <w:rFonts w:hint="eastAsia"/>
        </w:rPr>
        <w:t>保障</w:t>
      </w:r>
      <w:r>
        <w:t>体系</w:t>
      </w:r>
      <w:bookmarkEnd w:id="65"/>
      <w:bookmarkEnd w:id="66"/>
    </w:p>
    <w:p>
      <w:pPr>
        <w:pStyle w:val="3"/>
        <w:rPr>
          <w:rFonts w:ascii="Times New Roman" w:hAnsi="Times New Roman"/>
        </w:rPr>
      </w:pPr>
      <w:bookmarkStart w:id="67" w:name="_Toc25673"/>
      <w:bookmarkStart w:id="68" w:name="_Toc129799047"/>
      <w:bookmarkStart w:id="69" w:name="_Hlk142657734"/>
      <w:r>
        <w:rPr>
          <w:rFonts w:ascii="Times New Roman" w:hAnsi="Times New Roman"/>
        </w:rPr>
        <w:t>道路交通规划</w:t>
      </w:r>
      <w:bookmarkEnd w:id="67"/>
    </w:p>
    <w:p>
      <w:pPr>
        <w:pStyle w:val="4"/>
        <w:rPr>
          <w:rFonts w:ascii="Times New Roman" w:hAnsi="Times New Roman"/>
        </w:rPr>
      </w:pPr>
      <w:bookmarkStart w:id="70" w:name="_Hlk150185677"/>
      <w:r>
        <w:rPr>
          <w:rFonts w:ascii="Times New Roman" w:hAnsi="Times New Roman"/>
        </w:rPr>
        <w:t>发展目标与策略</w:t>
      </w:r>
    </w:p>
    <w:p>
      <w:r>
        <w:t>发展目标：落实干线公路建设，加强县、乡公路与区域性道路的有机衔接；强化赤眉镇在全县道路交通体系中的作用、支撑内乡县交通枢纽地位。</w:t>
      </w:r>
    </w:p>
    <w:p>
      <w:pPr>
        <w:rPr>
          <w:b/>
          <w:bCs/>
        </w:rPr>
      </w:pPr>
      <w:r>
        <w:t>发展策略：构建骨架运输网络，推进全域交通一体化发展，加强镇区、中心村、特色村与区域交通干线的衔接，构建“结构清晰、节点突出、互联互通、便捷高效”的交通网络。</w:t>
      </w:r>
    </w:p>
    <w:p>
      <w:pPr>
        <w:pStyle w:val="4"/>
        <w:rPr>
          <w:rFonts w:ascii="Times New Roman" w:hAnsi="Times New Roman"/>
        </w:rPr>
      </w:pPr>
      <w:r>
        <w:rPr>
          <w:rFonts w:ascii="Times New Roman" w:hAnsi="Times New Roman"/>
        </w:rPr>
        <w:t>区域交通基础设施</w:t>
      </w:r>
    </w:p>
    <w:p>
      <w:r>
        <w:t>规划近期对镇域内道路进行升级改造和新建乡道，形成北部山区联通道路；同步实施内城畅通工程、外城骨干路网工程，实现内城交通优化，外城交通拓展。</w:t>
      </w:r>
    </w:p>
    <w:p>
      <w:pPr>
        <w:pStyle w:val="4"/>
        <w:rPr>
          <w:rFonts w:ascii="Times New Roman" w:hAnsi="Times New Roman"/>
        </w:rPr>
      </w:pPr>
      <w:r>
        <w:rPr>
          <w:rFonts w:ascii="Times New Roman" w:hAnsi="Times New Roman"/>
        </w:rPr>
        <w:t>乡镇道路网布局规划</w:t>
      </w:r>
    </w:p>
    <w:p>
      <w:r>
        <w:t>规划形成“四横四纵”的公路体系，东西向公路分别为Y009-007、S330-Y013、Y035、G312，南北向公路分别为Y002、X002-S330、Y019、S243。</w:t>
      </w:r>
    </w:p>
    <w:p>
      <w:pPr>
        <w:pStyle w:val="4"/>
        <w:rPr>
          <w:rFonts w:ascii="Times New Roman" w:hAnsi="Times New Roman"/>
        </w:rPr>
      </w:pPr>
      <w:r>
        <w:rPr>
          <w:rFonts w:ascii="Times New Roman" w:hAnsi="Times New Roman"/>
        </w:rPr>
        <w:t>城乡公交站场</w:t>
      </w:r>
    </w:p>
    <w:bookmarkEnd w:id="70"/>
    <w:p>
      <w:r>
        <w:t>保留镇区现状汽车客运站。完善城乡公共交通体系建设，到2035年实现村村通公交车，在镇区和大型新型农村社区设置城乡公交首末站。</w:t>
      </w:r>
    </w:p>
    <w:p>
      <w:pPr>
        <w:pStyle w:val="3"/>
        <w:rPr>
          <w:rFonts w:ascii="Times New Roman" w:hAnsi="Times New Roman"/>
        </w:rPr>
      </w:pPr>
      <w:bookmarkStart w:id="71" w:name="_Toc21292"/>
      <w:r>
        <w:rPr>
          <w:rFonts w:ascii="Times New Roman" w:hAnsi="Times New Roman"/>
        </w:rPr>
        <w:t>市政公用设施规划</w:t>
      </w:r>
      <w:bookmarkEnd w:id="71"/>
    </w:p>
    <w:p>
      <w:pPr>
        <w:pStyle w:val="4"/>
        <w:rPr>
          <w:rFonts w:ascii="Times New Roman" w:hAnsi="Times New Roman"/>
        </w:rPr>
      </w:pPr>
      <w:r>
        <w:rPr>
          <w:rFonts w:ascii="Times New Roman" w:hAnsi="Times New Roman"/>
        </w:rPr>
        <w:t>给水工程规划</w:t>
      </w:r>
    </w:p>
    <w:p>
      <w:bookmarkStart w:id="72" w:name="_Hlk147758533"/>
      <w:r>
        <w:t>预测镇域最高日总用水量为0.41万立方米/日。</w:t>
      </w:r>
    </w:p>
    <w:bookmarkEnd w:id="72"/>
    <w:p>
      <w:r>
        <w:t>规划新建赤眉镇给水厂，规模为0.4万立方米/日，水源为斩龙岗水库；规划镇建设区周边的村庄纳入镇区集中供水范围，将镇区给水管网向各村庄延伸；规划保留庙沟村、韩岗村、齐营村、王堂村、庙山村、庙北村、陈湾村、邵家岭村、杨店村、鱼贯口村、王庄村、东北川村和福山村现状供水站；规划赤眉镇给水厂、福山、韩岗等供水站进行跨村供水，实现全镇多水源统一供水。</w:t>
      </w:r>
    </w:p>
    <w:p>
      <w:pPr>
        <w:pStyle w:val="4"/>
        <w:rPr>
          <w:rFonts w:ascii="Times New Roman" w:hAnsi="Times New Roman"/>
        </w:rPr>
      </w:pPr>
      <w:r>
        <w:rPr>
          <w:rFonts w:ascii="Times New Roman" w:hAnsi="Times New Roman"/>
        </w:rPr>
        <w:t>排水工程规划</w:t>
      </w:r>
    </w:p>
    <w:p>
      <w:r>
        <w:t>规划镇区采用雨污分流制排水系统，村庄一般采用合流制，有条件时采用分流制。</w:t>
      </w:r>
    </w:p>
    <w:p>
      <w:r>
        <w:t>预测镇域最高日总污水量为0.28万立方米/日。</w:t>
      </w:r>
    </w:p>
    <w:p>
      <w:r>
        <w:t>规划新建赤眉污水处理厂，规模为0.25万立方米/日，位于镇区东南角；污水处理厂出水水质要求达到《城镇污水处理厂污染物排放标准》（GB 18918-2002）中规定的一级A标准，处理达标后排入湍河。谢寨村、报事滩村等集中连片的村庄单独建设小型污水处理设施集中处理生活污水；梁坪村、麦西村等村民居住分散的村庄利用小型污水处理罐进行分户处理。</w:t>
      </w:r>
    </w:p>
    <w:p>
      <w:pPr>
        <w:pStyle w:val="4"/>
        <w:rPr>
          <w:rFonts w:ascii="Times New Roman" w:hAnsi="Times New Roman"/>
        </w:rPr>
      </w:pPr>
      <w:r>
        <w:rPr>
          <w:rFonts w:ascii="Times New Roman" w:hAnsi="Times New Roman"/>
        </w:rPr>
        <w:t>电力工程规划</w:t>
      </w:r>
    </w:p>
    <w:p>
      <w:r>
        <w:t>预测镇域年总用电负荷为2472万千瓦时。</w:t>
      </w:r>
      <w:bookmarkStart w:id="73" w:name="_Hlk140846865"/>
    </w:p>
    <w:p>
      <w:r>
        <w:t>规划发展风能、光伏等新能源发电，规划镇域电源来自现状110千伏默河变。</w:t>
      </w:r>
      <w:bookmarkEnd w:id="73"/>
    </w:p>
    <w:p>
      <w:r>
        <w:t>规划保留现状35千伏赤眉变，供电容量为2×10兆伏安。依据《城市电力规划规范》（GB/T 50293-2014），110千伏高压线设置25-30米宽的高压走廊；35千伏高压线设置20-25米宽的高压走廊；高压走廊控制区内严禁各种开发建设活动。</w:t>
      </w:r>
    </w:p>
    <w:p>
      <w:pPr>
        <w:pStyle w:val="4"/>
        <w:rPr>
          <w:rFonts w:ascii="Times New Roman" w:hAnsi="Times New Roman"/>
        </w:rPr>
      </w:pPr>
      <w:r>
        <w:rPr>
          <w:rFonts w:ascii="Times New Roman" w:hAnsi="Times New Roman"/>
        </w:rPr>
        <w:t>通信工程规划</w:t>
      </w:r>
    </w:p>
    <w:p>
      <w:r>
        <w:t>预测镇域固定电话总量为0.8万线。</w:t>
      </w:r>
    </w:p>
    <w:p>
      <w:r>
        <w:t>积极采用高科技、新技术、新设备，建设完善大容量、高速率、广覆盖的集电信网、数据网及有线广播电视网三网合一的综合通信系统，并且数据传输光缆及电信管道统一规划、建设，适应城镇发展要求。</w:t>
      </w:r>
    </w:p>
    <w:p>
      <w:r>
        <w:t>升级完善和合理布局广电设施，提升广电网络功能，推广电视、广播的数字化、高清化和网络化，筹建大功率广播电视发射中心，继续推进“村村通”工程，到2035年实现全镇广播电视人口综合覆盖率100%。</w:t>
      </w:r>
    </w:p>
    <w:p>
      <w:r>
        <w:t>完善邮政服务功能，加速新技术在邮政服务领域的推广和应用。进一步丰富和拓展邮政信息传递、物品运送和资金流通三大功能的内涵，优化邮政局所布局、增加数量、完善功能，更新和完善乡镇的邮政网点服务设施。</w:t>
      </w:r>
    </w:p>
    <w:p>
      <w:pPr>
        <w:pStyle w:val="4"/>
        <w:rPr>
          <w:rFonts w:ascii="Times New Roman" w:hAnsi="Times New Roman"/>
        </w:rPr>
      </w:pPr>
      <w:r>
        <w:rPr>
          <w:rFonts w:ascii="Times New Roman" w:hAnsi="Times New Roman"/>
        </w:rPr>
        <w:t>燃气工程规划</w:t>
      </w:r>
    </w:p>
    <w:p>
      <w:r>
        <w:t>预测镇域天然气总量为118万立方米/年。</w:t>
      </w:r>
    </w:p>
    <w:p>
      <w:r>
        <w:t>优化气源结构，大力发展天然气，形成气源充足、安全可靠的燃气输配系统。规划气源接自商南-西峡互联互通输气管道内乡分输站。规划镇区敷设中压燃气管网，有条件的村庄引入天然气管道。</w:t>
      </w:r>
    </w:p>
    <w:p>
      <w:pPr>
        <w:pStyle w:val="4"/>
        <w:rPr>
          <w:rFonts w:ascii="Times New Roman" w:hAnsi="Times New Roman"/>
        </w:rPr>
      </w:pPr>
      <w:r>
        <w:rPr>
          <w:rFonts w:ascii="Times New Roman" w:hAnsi="Times New Roman"/>
        </w:rPr>
        <w:t>热力工程规划</w:t>
      </w:r>
    </w:p>
    <w:p>
      <w:r>
        <w:t>规划镇区采用分区域集中供热模式，热源为空气源热泵；有条件的村庄可选用天然气等清洁能源分片区集中供热。</w:t>
      </w:r>
    </w:p>
    <w:p>
      <w:pPr>
        <w:pStyle w:val="4"/>
        <w:rPr>
          <w:rFonts w:ascii="Times New Roman" w:hAnsi="Times New Roman"/>
        </w:rPr>
      </w:pPr>
      <w:r>
        <w:rPr>
          <w:rFonts w:ascii="Times New Roman" w:hAnsi="Times New Roman"/>
        </w:rPr>
        <w:t>环卫工程规划</w:t>
      </w:r>
    </w:p>
    <w:p>
      <w:r>
        <w:t>因此至2035年，规划预测全镇产生生活垃圾最高日产量为33.5吨/天。</w:t>
      </w:r>
    </w:p>
    <w:p>
      <w:r>
        <w:t>建立由垃圾收集点——生活垃圾转运站构成的垃圾收集转运系统。在镇区规划生活垃圾转运站，全镇生活垃圾通过垃圾收集点收集，经过垃圾转运站最终送至垃圾处理设施进行统一处理。</w:t>
      </w:r>
    </w:p>
    <w:p>
      <w:pPr>
        <w:pStyle w:val="3"/>
        <w:rPr>
          <w:rFonts w:ascii="Times New Roman" w:hAnsi="Times New Roman"/>
        </w:rPr>
      </w:pPr>
      <w:bookmarkStart w:id="74" w:name="_Toc31022"/>
      <w:r>
        <w:rPr>
          <w:rFonts w:ascii="Times New Roman" w:hAnsi="Times New Roman"/>
        </w:rPr>
        <w:t>公共服务设施规划</w:t>
      </w:r>
      <w:bookmarkEnd w:id="74"/>
    </w:p>
    <w:p>
      <w:pPr>
        <w:pStyle w:val="4"/>
        <w:rPr>
          <w:rFonts w:ascii="Times New Roman" w:hAnsi="Times New Roman"/>
        </w:rPr>
      </w:pPr>
      <w:bookmarkStart w:id="75" w:name="_Hlk150185614"/>
      <w:r>
        <w:rPr>
          <w:rFonts w:ascii="Times New Roman" w:hAnsi="Times New Roman"/>
        </w:rPr>
        <w:t>镇域生活圈构建</w:t>
      </w:r>
    </w:p>
    <w:p>
      <w:r>
        <w:t>结合《社区生活圈规划技术指南》（TD/T1062-2021）和《城市居住区规划设计标准》（GB50180-2018），综合考虑赤眉地形地貌、交通条件、出行距离、出行方式、设施使用频率、人口构成特点等因素，划定社区生活圈为城镇社区生活圈和乡村社区生活圈。</w:t>
      </w:r>
    </w:p>
    <w:p>
      <w:r>
        <w:t>落实上位规划、专项规划对公共服务设施的要求，结合村庄居民点布局以及村民实际需求，按照不同的村庄类型，围绕15分钟和5-10分钟城乡生活圈，合理布置村庄教育、文体科技、医疗卫生、社会福利和商业服务等公共服务设施，明确设施的位置、规模和标准。以赤眉镇镇区为主，构建十五分钟乡集镇层级社区生活圈，以集聚提升类村庄村庄为中心，构建5-10分钟村级社区生活圈，以各个行政村为中心，构建5-10分钟村组社区生活圈。</w:t>
      </w:r>
    </w:p>
    <w:p>
      <w:pPr>
        <w:pStyle w:val="4"/>
        <w:rPr>
          <w:rFonts w:ascii="Times New Roman" w:hAnsi="Times New Roman"/>
        </w:rPr>
      </w:pPr>
      <w:r>
        <w:rPr>
          <w:rFonts w:ascii="Times New Roman" w:hAnsi="Times New Roman"/>
        </w:rPr>
        <w:t>公共服务设施配建标准</w:t>
      </w:r>
    </w:p>
    <w:p>
      <w:r>
        <w:t>15分钟层级社区生活圈和5-10分钟层级社区生活圈配置满足居民日常生活所需的健康管理、为老服务、终身教育、文化活动、体育健身、商业服务、行政管理和旅游服务等方面设施。</w:t>
      </w:r>
    </w:p>
    <w:p>
      <w:r>
        <w:t>乡村社区生活圈完善社区基础设施配置的同时，加强为农服务功能，提升医疗、教育、文化、体育等方面的服务品质，兼顾对村庄的服务延伸。村层级社区生活圈配置满足居民日常生活所需的健康管理、为老服务、终身教育、文化活动、体育健身、商业服务、行政管理和旅游服务等设施。</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3163"/>
        <w:gridCol w:w="1259"/>
        <w:gridCol w:w="1029"/>
        <w:gridCol w:w="857"/>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jc w:val="center"/>
        </w:trPr>
        <w:tc>
          <w:tcPr>
            <w:tcW w:w="5000" w:type="pct"/>
            <w:gridSpan w:val="6"/>
            <w:shd w:val="clear" w:color="auto" w:fill="auto"/>
            <w:vAlign w:val="center"/>
          </w:tcPr>
          <w:p>
            <w:pPr>
              <w:pStyle w:val="102"/>
              <w:ind w:firstLine="0" w:firstLineChars="0"/>
              <w:jc w:val="center"/>
              <w:rPr>
                <w:rFonts w:ascii="Times New Roman"/>
                <w:sz w:val="28"/>
              </w:rPr>
            </w:pPr>
            <w:r>
              <w:rPr>
                <w:rFonts w:ascii="Times New Roman"/>
                <w:sz w:val="28"/>
              </w:rPr>
              <w:t>专栏8-1 社区生活圈公共服务设施配置一览表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jc w:val="center"/>
        </w:trPr>
        <w:tc>
          <w:tcPr>
            <w:tcW w:w="644" w:type="pct"/>
            <w:vMerge w:val="restart"/>
            <w:shd w:val="clear" w:color="auto" w:fill="auto"/>
            <w:vAlign w:val="center"/>
          </w:tcPr>
          <w:p>
            <w:pPr>
              <w:pStyle w:val="102"/>
              <w:spacing w:line="240" w:lineRule="auto"/>
              <w:ind w:firstLine="0" w:firstLineChars="0"/>
              <w:jc w:val="center"/>
              <w:rPr>
                <w:rFonts w:ascii="Times New Roman"/>
              </w:rPr>
            </w:pPr>
            <w:r>
              <w:rPr>
                <w:rFonts w:ascii="Times New Roman"/>
              </w:rPr>
              <w:t>设施类别</w:t>
            </w:r>
          </w:p>
        </w:tc>
        <w:tc>
          <w:tcPr>
            <w:tcW w:w="1712" w:type="pct"/>
            <w:vMerge w:val="restart"/>
            <w:shd w:val="clear" w:color="auto" w:fill="auto"/>
            <w:vAlign w:val="center"/>
          </w:tcPr>
          <w:p>
            <w:pPr>
              <w:pStyle w:val="102"/>
              <w:spacing w:line="240" w:lineRule="auto"/>
              <w:ind w:firstLine="0" w:firstLineChars="0"/>
              <w:jc w:val="center"/>
              <w:rPr>
                <w:rFonts w:ascii="Times New Roman"/>
              </w:rPr>
            </w:pPr>
            <w:r>
              <w:rPr>
                <w:rFonts w:ascii="Times New Roman"/>
              </w:rPr>
              <w:t>设施名称</w:t>
            </w:r>
          </w:p>
        </w:tc>
        <w:tc>
          <w:tcPr>
            <w:tcW w:w="1549" w:type="pct"/>
            <w:gridSpan w:val="2"/>
            <w:shd w:val="clear" w:color="auto" w:fill="auto"/>
            <w:noWrap/>
            <w:vAlign w:val="center"/>
          </w:tcPr>
          <w:p>
            <w:pPr>
              <w:pStyle w:val="102"/>
              <w:spacing w:line="240" w:lineRule="auto"/>
              <w:ind w:firstLine="0" w:firstLineChars="0"/>
              <w:jc w:val="center"/>
              <w:rPr>
                <w:rFonts w:ascii="Times New Roman"/>
              </w:rPr>
            </w:pPr>
            <w:r>
              <w:rPr>
                <w:rFonts w:ascii="Times New Roman"/>
              </w:rPr>
              <w:t>城镇社区生活圈</w:t>
            </w:r>
          </w:p>
        </w:tc>
        <w:tc>
          <w:tcPr>
            <w:tcW w:w="1095" w:type="pct"/>
            <w:gridSpan w:val="2"/>
            <w:shd w:val="clear" w:color="auto" w:fill="auto"/>
            <w:noWrap/>
            <w:vAlign w:val="center"/>
          </w:tcPr>
          <w:p>
            <w:pPr>
              <w:pStyle w:val="102"/>
              <w:spacing w:line="240" w:lineRule="auto"/>
              <w:ind w:firstLine="0" w:firstLineChars="0"/>
              <w:jc w:val="center"/>
              <w:rPr>
                <w:rFonts w:ascii="Times New Roman"/>
              </w:rPr>
            </w:pPr>
            <w:r>
              <w:rPr>
                <w:rFonts w:ascii="Times New Roman"/>
              </w:rPr>
              <w:t>乡村社区生活圈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blHeader/>
          <w:jc w:val="center"/>
        </w:trPr>
        <w:tc>
          <w:tcPr>
            <w:tcW w:w="644" w:type="pct"/>
            <w:vMerge w:val="continue"/>
            <w:shd w:val="clear" w:color="auto" w:fill="auto"/>
            <w:vAlign w:val="center"/>
          </w:tcPr>
          <w:p>
            <w:pPr>
              <w:pStyle w:val="102"/>
              <w:spacing w:line="240" w:lineRule="auto"/>
              <w:ind w:firstLine="0" w:firstLineChars="0"/>
              <w:jc w:val="center"/>
              <w:rPr>
                <w:rFonts w:ascii="Times New Roman"/>
              </w:rPr>
            </w:pPr>
          </w:p>
        </w:tc>
        <w:tc>
          <w:tcPr>
            <w:tcW w:w="1712" w:type="pct"/>
            <w:vMerge w:val="continue"/>
            <w:shd w:val="clear" w:color="auto" w:fill="auto"/>
            <w:vAlign w:val="center"/>
          </w:tcPr>
          <w:p>
            <w:pPr>
              <w:pStyle w:val="102"/>
              <w:spacing w:line="240" w:lineRule="auto"/>
              <w:ind w:firstLine="0" w:firstLineChars="0"/>
              <w:jc w:val="center"/>
              <w:rPr>
                <w:rFonts w:ascii="Times New Roman"/>
              </w:rPr>
            </w:pP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15分钟层级</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5-10分钟层级</w:t>
            </w:r>
          </w:p>
        </w:tc>
        <w:tc>
          <w:tcPr>
            <w:tcW w:w="495" w:type="pct"/>
            <w:shd w:val="clear" w:color="auto" w:fill="auto"/>
            <w:vAlign w:val="center"/>
          </w:tcPr>
          <w:p>
            <w:pPr>
              <w:pStyle w:val="102"/>
              <w:spacing w:line="240" w:lineRule="auto"/>
              <w:ind w:firstLine="0" w:firstLineChars="0"/>
              <w:jc w:val="center"/>
              <w:rPr>
                <w:rFonts w:ascii="Times New Roman"/>
              </w:rPr>
            </w:pPr>
            <w:r>
              <w:rPr>
                <w:rFonts w:ascii="Times New Roman"/>
              </w:rPr>
              <w:t>乡集镇层级</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村层级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restart"/>
            <w:shd w:val="clear" w:color="auto" w:fill="auto"/>
            <w:noWrap/>
            <w:vAlign w:val="center"/>
          </w:tcPr>
          <w:p>
            <w:pPr>
              <w:pStyle w:val="102"/>
              <w:spacing w:line="240" w:lineRule="auto"/>
              <w:ind w:firstLine="0" w:firstLineChars="0"/>
              <w:jc w:val="center"/>
              <w:rPr>
                <w:rFonts w:ascii="Times New Roman"/>
              </w:rPr>
            </w:pPr>
            <w:r>
              <w:rPr>
                <w:rFonts w:ascii="Times New Roman"/>
              </w:rPr>
              <w:t>健康管理</w:t>
            </w: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社区卫生服务中心/卫生院</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社区卫生服务站</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卫生室</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restart"/>
            <w:shd w:val="clear" w:color="auto" w:fill="auto"/>
            <w:noWrap/>
            <w:vAlign w:val="center"/>
          </w:tcPr>
          <w:p>
            <w:pPr>
              <w:pStyle w:val="102"/>
              <w:spacing w:line="240" w:lineRule="auto"/>
              <w:ind w:firstLine="0" w:firstLineChars="0"/>
              <w:jc w:val="center"/>
              <w:rPr>
                <w:rFonts w:ascii="Times New Roman"/>
              </w:rPr>
            </w:pPr>
            <w:r>
              <w:rPr>
                <w:rFonts w:ascii="Times New Roman"/>
              </w:rPr>
              <w:t>为老服务</w:t>
            </w: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养老院</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老年养护院</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老年人日间照料中心</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村级幸福院</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restart"/>
            <w:shd w:val="clear" w:color="auto" w:fill="auto"/>
            <w:noWrap/>
            <w:vAlign w:val="center"/>
          </w:tcPr>
          <w:p>
            <w:pPr>
              <w:pStyle w:val="102"/>
              <w:spacing w:line="240" w:lineRule="auto"/>
              <w:ind w:firstLine="0" w:firstLineChars="0"/>
              <w:jc w:val="center"/>
              <w:rPr>
                <w:rFonts w:ascii="Times New Roman"/>
              </w:rPr>
            </w:pPr>
            <w:r>
              <w:rPr>
                <w:rFonts w:ascii="Times New Roman"/>
              </w:rPr>
              <w:t>终身教育</w:t>
            </w: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高中</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初中</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小学</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幼儿园</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44" w:type="pct"/>
            <w:vMerge w:val="restart"/>
            <w:shd w:val="clear" w:color="auto" w:fill="auto"/>
            <w:noWrap/>
            <w:vAlign w:val="center"/>
          </w:tcPr>
          <w:p>
            <w:pPr>
              <w:pStyle w:val="102"/>
              <w:spacing w:line="240" w:lineRule="auto"/>
              <w:ind w:firstLine="0" w:firstLineChars="0"/>
              <w:jc w:val="center"/>
              <w:rPr>
                <w:rFonts w:ascii="Times New Roman"/>
              </w:rPr>
            </w:pPr>
            <w:r>
              <w:rPr>
                <w:rFonts w:ascii="Times New Roman"/>
              </w:rPr>
              <w:t>文化活动</w:t>
            </w: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文化活动中心</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文化活动站</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文化活动室</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农家书屋</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红白喜事厅</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特色民宿活动点</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restart"/>
            <w:shd w:val="clear" w:color="auto" w:fill="auto"/>
            <w:noWrap/>
            <w:vAlign w:val="center"/>
          </w:tcPr>
          <w:p>
            <w:pPr>
              <w:pStyle w:val="102"/>
              <w:spacing w:line="240" w:lineRule="auto"/>
              <w:ind w:firstLine="0" w:firstLineChars="0"/>
              <w:jc w:val="center"/>
              <w:rPr>
                <w:rFonts w:ascii="Times New Roman"/>
              </w:rPr>
            </w:pPr>
            <w:r>
              <w:rPr>
                <w:rFonts w:ascii="Times New Roman"/>
              </w:rPr>
              <w:t>体育健身</w:t>
            </w: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大型多功能运动场地</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中型多功能运动场地</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小型多功能运动场地</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室外综合健身场地/健身广场</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restart"/>
            <w:shd w:val="clear" w:color="auto" w:fill="auto"/>
            <w:noWrap/>
            <w:vAlign w:val="center"/>
          </w:tcPr>
          <w:p>
            <w:pPr>
              <w:pStyle w:val="102"/>
              <w:spacing w:line="240" w:lineRule="auto"/>
              <w:ind w:firstLine="0" w:firstLineChars="0"/>
              <w:jc w:val="center"/>
              <w:rPr>
                <w:rFonts w:ascii="Times New Roman"/>
              </w:rPr>
            </w:pPr>
            <w:r>
              <w:rPr>
                <w:rFonts w:ascii="Times New Roman"/>
              </w:rPr>
              <w:t>商业服务</w:t>
            </w: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商场</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超市/菜市场</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银行服务网点</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电信营业网点</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邮政营业场所</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社区商业网点/便民农家店</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物流配送点</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restart"/>
            <w:shd w:val="clear" w:color="auto" w:fill="auto"/>
            <w:noWrap/>
            <w:vAlign w:val="center"/>
          </w:tcPr>
          <w:p>
            <w:pPr>
              <w:pStyle w:val="102"/>
              <w:spacing w:line="240" w:lineRule="auto"/>
              <w:ind w:firstLine="0" w:firstLineChars="0"/>
              <w:jc w:val="center"/>
              <w:rPr>
                <w:rFonts w:ascii="Times New Roman"/>
              </w:rPr>
            </w:pPr>
            <w:r>
              <w:rPr>
                <w:rFonts w:ascii="Times New Roman"/>
              </w:rPr>
              <w:t>行政管理</w:t>
            </w: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街道办事处/镇政府/乡政府</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社区服务中心</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社区服务站</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村委会</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restart"/>
            <w:shd w:val="clear" w:color="auto" w:fill="auto"/>
            <w:noWrap/>
            <w:vAlign w:val="center"/>
          </w:tcPr>
          <w:p>
            <w:pPr>
              <w:pStyle w:val="102"/>
              <w:spacing w:line="240" w:lineRule="auto"/>
              <w:ind w:firstLine="0" w:firstLineChars="0"/>
              <w:jc w:val="center"/>
              <w:rPr>
                <w:rFonts w:ascii="Times New Roman"/>
              </w:rPr>
            </w:pPr>
            <w:r>
              <w:rPr>
                <w:rFonts w:ascii="Times New Roman"/>
              </w:rPr>
              <w:t>旅游服务</w:t>
            </w: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游客集散中心</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导览标识系统</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特色住宿（酒店、民宿）</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特色餐饮</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bookmarkEnd w:id="75"/>
    </w:tbl>
    <w:p>
      <w:pPr>
        <w:pStyle w:val="3"/>
        <w:rPr>
          <w:rFonts w:ascii="Times New Roman" w:hAnsi="Times New Roman"/>
        </w:rPr>
      </w:pPr>
      <w:bookmarkStart w:id="76" w:name="_Toc19026"/>
      <w:r>
        <w:rPr>
          <w:rFonts w:ascii="Times New Roman" w:hAnsi="Times New Roman"/>
        </w:rPr>
        <w:t>防灾减灾规划</w:t>
      </w:r>
      <w:bookmarkEnd w:id="76"/>
    </w:p>
    <w:p>
      <w:pPr>
        <w:pStyle w:val="4"/>
        <w:rPr>
          <w:rFonts w:ascii="Times New Roman" w:hAnsi="Times New Roman"/>
        </w:rPr>
      </w:pPr>
      <w:bookmarkStart w:id="77" w:name="_Hlk151384900"/>
      <w:r>
        <w:rPr>
          <w:rFonts w:ascii="Times New Roman" w:hAnsi="Times New Roman"/>
        </w:rPr>
        <w:t>主要灾害防灾标准</w:t>
      </w:r>
    </w:p>
    <w:bookmarkEnd w:id="77"/>
    <w:p>
      <w:r>
        <w:t>1.防洪标准</w:t>
      </w:r>
    </w:p>
    <w:p>
      <w:bookmarkStart w:id="78" w:name="_Hlk151385439"/>
      <w:r>
        <w:t>规划赤眉镇镇区水系设防标准为20年一遇。</w:t>
      </w:r>
    </w:p>
    <w:bookmarkEnd w:id="78"/>
    <w:p>
      <w:r>
        <w:t>2.排涝标准</w:t>
      </w:r>
    </w:p>
    <w:p>
      <w:r>
        <w:t>规划赤眉镇镇区内涝防治设计重现期为20年一遇，对超过内涝防治设计重现期的降雨，按照应急预案要求采取应急措施。</w:t>
      </w:r>
    </w:p>
    <w:p>
      <w:r>
        <w:t>3.抗震规划</w:t>
      </w:r>
    </w:p>
    <w:p>
      <w:r>
        <w:t>赤眉镇镇区地震烈度为7度，新建、扩建、改建建设工程应按7度进行抗震设防，重要建筑和生命线工程应按8度标准加强抗震措施。重大建设工程、可能产生严重次生灾害的建设工程应当进行地震安全性评价，并根据安全性评价报告确定抗震设防措施。学校、医院等人员密集场所应当按照高于7度标准加强抗震措施。</w:t>
      </w:r>
    </w:p>
    <w:p>
      <w:pPr>
        <w:pStyle w:val="4"/>
        <w:rPr>
          <w:rFonts w:ascii="Times New Roman" w:hAnsi="Times New Roman"/>
        </w:rPr>
      </w:pPr>
      <w:r>
        <w:rPr>
          <w:rFonts w:ascii="Times New Roman" w:hAnsi="Times New Roman"/>
        </w:rPr>
        <w:t>构建防灾安全空间格局</w:t>
      </w:r>
    </w:p>
    <w:p>
      <w:r>
        <w:t>结合全镇主要交通干线，网上镇域救灾感到体系，与全县共同构建县-镇（乡）-村三级防灾设施体系。镇域境内，国道G312、省道S243、S239为全县的快速救援通道，疏散主要道路为县道X011、X042、疏散次干道为乡道Y006、Y038、Y014、Y019、Y007、Y013等组成，规划强化救灾干道防灾性能，加强疏散通道沿线地区地质灾害和山洪灾害的工程治理。</w:t>
      </w:r>
    </w:p>
    <w:p>
      <w:pPr>
        <w:pStyle w:val="4"/>
        <w:rPr>
          <w:rFonts w:ascii="Times New Roman" w:hAnsi="Times New Roman"/>
        </w:rPr>
      </w:pPr>
      <w:r>
        <w:rPr>
          <w:rFonts w:ascii="Times New Roman" w:hAnsi="Times New Roman"/>
        </w:rPr>
        <w:t>重大防灾设施配置</w:t>
      </w:r>
    </w:p>
    <w:p>
      <w:r>
        <w:t>1.应急指挥设施体系</w:t>
      </w:r>
    </w:p>
    <w:p>
      <w:r>
        <w:t>设置镇（乡）-村两级防灾应急指挥系统，镇区设置应急指挥中心1处，位于赤眉镇人民政府，村综合防灾应急指挥中心设在各村村委会。</w:t>
      </w:r>
    </w:p>
    <w:p>
      <w:r>
        <w:t>2.应急救灾物资储备设施</w:t>
      </w:r>
    </w:p>
    <w:p>
      <w:r>
        <w:t>镇区设置救灾物资储备库，并配置装卸设备、技防设备、物资保管维护设备、交通工具（应急调度车、救灾物资转运车）与通讯调度设备等。</w:t>
      </w:r>
    </w:p>
    <w:p>
      <w:r>
        <w:t>3.提升应急医疗服务能力</w:t>
      </w:r>
    </w:p>
    <w:p>
      <w:r>
        <w:t>镇区依托卫生院设置乡镇级应急医疗设施，各村分别规划设置1处村级应急医疗设施。</w:t>
      </w:r>
    </w:p>
    <w:p>
      <w:r>
        <w:t>4.消防设施</w:t>
      </w:r>
    </w:p>
    <w:p>
      <w:r>
        <w:t>镇区规划设置1处微型消防站。</w:t>
      </w:r>
    </w:p>
    <w:p>
      <w:pPr>
        <w:pStyle w:val="4"/>
        <w:rPr>
          <w:rFonts w:ascii="Times New Roman" w:hAnsi="Times New Roman"/>
        </w:rPr>
      </w:pPr>
      <w:r>
        <w:rPr>
          <w:rFonts w:ascii="Times New Roman" w:hAnsi="Times New Roman"/>
        </w:rPr>
        <w:t>防治措施</w:t>
      </w:r>
    </w:p>
    <w:p>
      <w:r>
        <w:t>1.防洪排涝规划措施</w:t>
      </w:r>
    </w:p>
    <w:p>
      <w:r>
        <w:t>防洪措施：疏浚行洪河道，提高河道堤防标准，加强河道绿化防护带建设；沿山体设置截洪沟，截洪沟及冲沟应按规划有计划、有步骤地进行治理；建立洪水预警预报系统，防洪决策支持系统，制定超标洪水应急措施。</w:t>
      </w:r>
    </w:p>
    <w:p>
      <w:r>
        <w:t>防涝措施：完善镇区雨水管网及排涝设施建设，采取改造原排水河道、改造旧排水管网、增建新管网、实施雨污分流以及污水集中处理和回用等措施；利用公园绿地、低洼地区及周边农田建设调蓄空间。</w:t>
      </w:r>
    </w:p>
    <w:p>
      <w:r>
        <w:t>2.抗震灾害防治</w:t>
      </w:r>
    </w:p>
    <w:p>
      <w:r>
        <w:t>（1）避震疏散场地</w:t>
      </w:r>
    </w:p>
    <w:p>
      <w:r>
        <w:t>利用公园、绿地、广场、体育场、停车场、学校操场等开敞空间设置人员避震疏散场地，固定避难场所人均有效避难面积不小于2.0平方米。</w:t>
      </w:r>
    </w:p>
    <w:p>
      <w:r>
        <w:t>（2）疏散救援通道</w:t>
      </w:r>
    </w:p>
    <w:p>
      <w:r>
        <w:t>以高速公路、国道、省道、县道作为一级疏散通道，保证震后有效宽度不小于15米；规划主干路作为二级疏散通道，保证震后有效宽度不小于7米；规划次干路作为三级疏散通道，保证震后有效宽度不小于4米。应严格控制抗震救灾疏散通道两侧的建筑高度及建筑后退红线距离。</w:t>
      </w:r>
    </w:p>
    <w:p>
      <w:r>
        <w:t>（3）抗震生命线系统</w:t>
      </w:r>
    </w:p>
    <w:p>
      <w:r>
        <w:t>城市生命线系统规划提高一度按8度标准设防，并采取设施地下化、对节点进行防灾处理及提高备用率等防灾措施，同时各生命线系统都要建立应急抢险队伍，提高生命线系统工程的防灾能力。</w:t>
      </w:r>
    </w:p>
    <w:p>
      <w:r>
        <w:t>3.地质灾害防治规划</w:t>
      </w:r>
    </w:p>
    <w:p>
      <w:r>
        <w:t>（1）监测预警</w:t>
      </w:r>
    </w:p>
    <w:p>
      <w:r>
        <w:t>建设地质灾害监测预警体系，建立地质灾害群测群防预警网络及重点地区地质灾害隐患点的专业监测预报网络，建设全镇地质灾害空间数据库及信息系统。</w:t>
      </w:r>
    </w:p>
    <w:p>
      <w:r>
        <w:t>（2）工程治理</w:t>
      </w:r>
    </w:p>
    <w:p>
      <w:r>
        <w:t>对危害公共安全、可能造成人员群死群伤和较大财产损失的、避让搬迁选址困难但易于工程治理的地质灾害隐患点，依据轻重缓急，有计划地分期、分批实施地质灾害治理工程。对于山洪易发地区，加强水土流失治理，极大限度减少泥石流灾害的发生。</w:t>
      </w:r>
    </w:p>
    <w:p>
      <w:r>
        <w:t>（3）避让搬迁</w:t>
      </w:r>
    </w:p>
    <w:p>
      <w:r>
        <w:t>对突发地质灾害高风险区内的居民，主动采取搬迁措施，避让地质灾害。</w:t>
      </w:r>
    </w:p>
    <w:p>
      <w:r>
        <w:t>（4）宣传培训</w:t>
      </w:r>
    </w:p>
    <w:p>
      <w:r>
        <w:t>对各村组级开展群测群防知识培训；每年对全镇地质灾害管理及技术人员进行年度地质灾害防治知识培训。</w:t>
      </w:r>
    </w:p>
    <w:p>
      <w:r>
        <w:t>4.突发公共卫生事件防御规划</w:t>
      </w:r>
    </w:p>
    <w:p>
      <w:r>
        <w:t>结合内乡县医疗卫生机构，构建突发公共卫生事件日常监测体系，以处理各类突发公共卫生事件信息分析。与内乡县共同构建县-镇-村三级公共卫生事件疫情预警与指挥体系，依托药店、车站、学校、社区、机关企事业单位等设施作为公共卫生事件的监测哨点，全面提升疫情监测预警能力。</w:t>
      </w:r>
    </w:p>
    <w:p>
      <w:r>
        <w:t>5.气象灾害防御规划</w:t>
      </w:r>
    </w:p>
    <w:p>
      <w:r>
        <w:t>加强气象灾害预警应急体系建设。加快现场气象应急保障系统建设，提高应急处置的能力和效率。</w:t>
      </w:r>
    </w:p>
    <w:p>
      <w:r>
        <w:t>6.消防规划</w:t>
      </w:r>
    </w:p>
    <w:p>
      <w:r>
        <w:t>（1）设施布置</w:t>
      </w:r>
    </w:p>
    <w:p>
      <w:r>
        <w:t>在赤眉镇区规划一座微型消防站。</w:t>
      </w:r>
    </w:p>
    <w:p>
      <w:r>
        <w:rPr>
          <w:rFonts w:eastAsia="宋体"/>
        </w:rPr>
        <w:t>（2）</w:t>
      </w:r>
      <w:r>
        <w:t>保障策略</w:t>
      </w:r>
    </w:p>
    <w:p>
      <w:r>
        <w:t>提高消防站建筑物的抗灾能力；在重点保护目标内部或者附近设置消防水池或者取水平台；增强消防供水泵站、消防供水管道、消火栓等消防设施的抗震性能；设置应急疏散道路时应充分考虑消防救灾同行的需求。</w:t>
      </w:r>
    </w:p>
    <w:p>
      <w:r>
        <w:t>7.危险品安全布局与防治规划</w:t>
      </w:r>
    </w:p>
    <w:p>
      <w:r>
        <w:t>（1）重大危险源选址要求</w:t>
      </w:r>
    </w:p>
    <w:p>
      <w:r>
        <w:rPr>
          <w:rFonts w:hint="eastAsia" w:ascii="宋体" w:hAnsi="宋体" w:eastAsia="宋体" w:cs="宋体"/>
        </w:rPr>
        <w:t>①</w:t>
      </w:r>
      <w:r>
        <w:t>充分考虑地质因素以及气象危害，采取可靠技术方案，避开地质复杂地区。</w:t>
      </w:r>
    </w:p>
    <w:p>
      <w:r>
        <w:rPr>
          <w:rFonts w:hint="eastAsia" w:ascii="宋体" w:hAnsi="宋体" w:eastAsia="宋体" w:cs="宋体"/>
        </w:rPr>
        <w:t>②</w:t>
      </w:r>
      <w:r>
        <w:t>危险源所在地应不受洪水、湖水和内涝的威胁。</w:t>
      </w:r>
    </w:p>
    <w:p>
      <w:r>
        <w:rPr>
          <w:rFonts w:hint="eastAsia" w:ascii="宋体" w:hAnsi="宋体" w:eastAsia="宋体" w:cs="宋体"/>
        </w:rPr>
        <w:t>③</w:t>
      </w:r>
      <w:r>
        <w:t>一般应位于城市全年最小频率风向的上风方向。</w:t>
      </w:r>
    </w:p>
    <w:p>
      <w:r>
        <w:rPr>
          <w:rFonts w:hint="eastAsia" w:ascii="宋体" w:hAnsi="宋体" w:eastAsia="宋体" w:cs="宋体"/>
        </w:rPr>
        <w:t>④</w:t>
      </w:r>
      <w:r>
        <w:t>重大危险源与周边社区距离应符合有关法律、法规和标准的规定。</w:t>
      </w:r>
    </w:p>
    <w:p>
      <w:r>
        <w:rPr>
          <w:rFonts w:hint="eastAsia" w:ascii="宋体" w:hAnsi="宋体" w:eastAsia="宋体" w:cs="宋体"/>
        </w:rPr>
        <w:t>⑤</w:t>
      </w:r>
      <w:r>
        <w:t>重大危险源企业内部的平面布局应符合《工业企业总平面设计规划规范》(GB50187-2012)等国家标准规范的有关布局内容的要求。</w:t>
      </w:r>
    </w:p>
    <w:p>
      <w:r>
        <w:rPr>
          <w:rFonts w:hint="eastAsia" w:ascii="宋体" w:hAnsi="宋体" w:eastAsia="宋体" w:cs="宋体"/>
        </w:rPr>
        <w:t>⑥</w:t>
      </w:r>
      <w:r>
        <w:t>应充分考虑重大危险源的应急通信系统、应急电源、消防设施、监控系统、救援装备、物资器材等安全设施配套。</w:t>
      </w:r>
    </w:p>
    <w:p>
      <w:r>
        <w:t>（2）风险防范措施</w:t>
      </w:r>
    </w:p>
    <w:p>
      <w:r>
        <w:rPr>
          <w:rFonts w:hint="eastAsia" w:ascii="宋体" w:hAnsi="宋体" w:eastAsia="宋体" w:cs="宋体"/>
        </w:rPr>
        <w:t>①</w:t>
      </w:r>
      <w:r>
        <w:t>各企业特别是重污染三类工业选址建设时应远离居民区，其间设置一定的隔离带，减缓对居民的影响，企业严格落实环评及安评制度，环境风险值高的企业应加强要求或不予批准入区建设；储罐区集中并远离高温和明火装置区。拟建罐区300米范围内不得建设居民点，该类企业的办公生活区也应符合安全防护距离的要求。</w:t>
      </w:r>
    </w:p>
    <w:p>
      <w:r>
        <w:rPr>
          <w:rFonts w:hint="eastAsia" w:ascii="宋体" w:hAnsi="宋体" w:eastAsia="宋体" w:cs="宋体"/>
        </w:rPr>
        <w:t>②</w:t>
      </w:r>
      <w:r>
        <w:t>危险化学品储罐区应加装危险物质检测及报警装置，四周加强绿化。在总平面布置时，对生产区和储存区进行优化组合，减少风险事故发生的节点；应避免相关危险源出现在同一空间或相邻空间，避免“链条效应”和“群发效应”。</w:t>
      </w:r>
    </w:p>
    <w:p>
      <w:r>
        <w:rPr>
          <w:rFonts w:hint="eastAsia" w:ascii="宋体" w:hAnsi="宋体" w:eastAsia="宋体" w:cs="宋体"/>
        </w:rPr>
        <w:t>③</w:t>
      </w:r>
      <w:r>
        <w:t>在保持规划产业定位的情况下，建议发展下游消耗危险物质的产业，拉长产业链的同时减少有毒有害、易燃易爆物质在集聚区内的储存量，降低集聚区的环境风险。</w:t>
      </w:r>
    </w:p>
    <w:p>
      <w:r>
        <w:rPr>
          <w:rFonts w:hint="eastAsia" w:ascii="宋体" w:hAnsi="宋体" w:eastAsia="宋体" w:cs="宋体"/>
        </w:rPr>
        <w:t>④</w:t>
      </w:r>
      <w:r>
        <w:t>加强对易燃易爆和有毒有害危险化学品的生产、储存、经营、运输、使用和废弃处置的安全监管，完善的监控设施，提高设施的安全水平；对剧毒化学品的储存量应以维持正常运转为限，不能超量储存；</w:t>
      </w:r>
    </w:p>
    <w:p>
      <w:r>
        <w:rPr>
          <w:rFonts w:hint="eastAsia" w:ascii="宋体" w:hAnsi="宋体" w:eastAsia="宋体" w:cs="宋体"/>
        </w:rPr>
        <w:t>⑤</w:t>
      </w:r>
      <w:r>
        <w:t>企业建立完备的风险管理部门，实行专人负责制，制定必须的风险应急预案并定期演练；还应建立一套事故应急监测系统，为事故处理决策提供科学依据，落实灾害救援组织和物质保障，形成镇政府和企业的联合灾害救援体系。</w:t>
      </w:r>
    </w:p>
    <w:p>
      <w:r>
        <w:rPr>
          <w:rFonts w:hint="eastAsia" w:ascii="宋体" w:hAnsi="宋体" w:eastAsia="宋体" w:cs="宋体"/>
        </w:rPr>
        <w:t>⑥</w:t>
      </w:r>
      <w:r>
        <w:t>强化安全教育和健康教育。</w:t>
      </w:r>
    </w:p>
    <w:p>
      <w:pPr>
        <w:rPr>
          <w:rFonts w:eastAsia="方正小标宋简体"/>
          <w:kern w:val="44"/>
          <w:sz w:val="36"/>
          <w:szCs w:val="44"/>
        </w:rPr>
      </w:pPr>
      <w:bookmarkStart w:id="79" w:name="_Hlk142923403"/>
      <w:r>
        <w:br w:type="page"/>
      </w:r>
    </w:p>
    <w:p/>
    <w:p>
      <w:pPr>
        <w:pStyle w:val="2"/>
      </w:pPr>
      <w:bookmarkStart w:id="80" w:name="_Toc22049"/>
      <w:bookmarkStart w:id="81" w:name="_Toc31707"/>
      <w:r>
        <w:t>历史文化与景观风貌</w:t>
      </w:r>
      <w:bookmarkEnd w:id="80"/>
      <w:bookmarkEnd w:id="81"/>
    </w:p>
    <w:bookmarkEnd w:id="79"/>
    <w:p>
      <w:pPr>
        <w:pStyle w:val="3"/>
        <w:rPr>
          <w:rFonts w:ascii="Times New Roman" w:hAnsi="Times New Roman"/>
        </w:rPr>
      </w:pPr>
      <w:bookmarkStart w:id="82" w:name="_Toc27919"/>
      <w:bookmarkStart w:id="83" w:name="_Hlk142923409"/>
      <w:r>
        <w:rPr>
          <w:rFonts w:ascii="Times New Roman" w:hAnsi="Times New Roman"/>
        </w:rPr>
        <w:t>历史文化保护传承</w:t>
      </w:r>
      <w:bookmarkEnd w:id="82"/>
    </w:p>
    <w:bookmarkEnd w:id="83"/>
    <w:p>
      <w:pPr>
        <w:pStyle w:val="4"/>
        <w:rPr>
          <w:rFonts w:ascii="Times New Roman" w:hAnsi="Times New Roman"/>
        </w:rPr>
      </w:pPr>
      <w:bookmarkStart w:id="84" w:name="_Hlk142923435"/>
      <w:r>
        <w:rPr>
          <w:rFonts w:ascii="Times New Roman" w:hAnsi="Times New Roman"/>
        </w:rPr>
        <w:t>镇域历史文化遗存</w:t>
      </w:r>
    </w:p>
    <w:bookmarkEnd w:id="84"/>
    <w:p>
      <w:r>
        <w:t>赤眉镇历史文化资源包括不可移动文物和非物质文化遗产；镇域内现存不可移动文物</w:t>
      </w:r>
      <w:r>
        <w:rPr>
          <w:rFonts w:hint="eastAsia"/>
        </w:rPr>
        <w:t>14</w:t>
      </w:r>
      <w:r>
        <w:t>处，均为县级文物保护单位。</w:t>
      </w:r>
    </w:p>
    <w:p>
      <w:pPr>
        <w:pStyle w:val="4"/>
        <w:rPr>
          <w:rFonts w:ascii="Times New Roman" w:hAnsi="Times New Roman"/>
        </w:rPr>
      </w:pPr>
      <w:bookmarkStart w:id="85" w:name="_Hlk142923456"/>
      <w:r>
        <w:rPr>
          <w:rFonts w:ascii="Times New Roman" w:hAnsi="Times New Roman"/>
        </w:rPr>
        <w:t>镇域历史文化保护规划</w:t>
      </w:r>
    </w:p>
    <w:bookmarkEnd w:id="85"/>
    <w:p>
      <w:pPr>
        <w:rPr>
          <w:lang w:bidi="ar"/>
        </w:rPr>
      </w:pPr>
      <w:r>
        <w:rPr>
          <w:lang w:bidi="ar"/>
        </w:rPr>
        <w:t>文物保护单位的保护范围和建设控制地带应以县级以上人民政府公布的具体界线为基本依据。</w:t>
      </w:r>
    </w:p>
    <w:p>
      <w:pPr>
        <w:rPr>
          <w:lang w:bidi="ar"/>
        </w:rPr>
      </w:pPr>
      <w:r>
        <w:rPr>
          <w:lang w:bidi="ar"/>
        </w:rPr>
        <w:t>在文物保护单位的保护范围和建设控制地带内，不得建设污染文物保护单位及其环境的设施，不得进行可能影响文物保护单位安全及其环境的活动。对已有的污染文物保护单位及其环境的设施，应当限期治理。</w:t>
      </w:r>
    </w:p>
    <w:p>
      <w:r>
        <w:rPr>
          <w:lang w:bidi="ar"/>
        </w:rPr>
        <w:t>各级文物保护单位应严格按照《中华人民共和国文物保护法》的有关规定，以及文物主管部门公布的保护范围和建设控制地带严格保护</w:t>
      </w:r>
      <w:r>
        <w:t>。</w:t>
      </w:r>
    </w:p>
    <w:p>
      <w:pPr>
        <w:pStyle w:val="4"/>
        <w:rPr>
          <w:rFonts w:ascii="Times New Roman" w:hAnsi="Times New Roman"/>
        </w:rPr>
      </w:pPr>
      <w:bookmarkStart w:id="86" w:name="_Hlk142923462"/>
      <w:r>
        <w:rPr>
          <w:rFonts w:ascii="Times New Roman" w:hAnsi="Times New Roman"/>
        </w:rPr>
        <w:t>历史文化传承与活化利用</w:t>
      </w:r>
    </w:p>
    <w:bookmarkEnd w:id="86"/>
    <w:p>
      <w:r>
        <w:t>深入挖掘特色村庄历史文化资源，结合村庄建设，打造古镇体验、康体养生游、特色乡村游等精品旅游线路。</w:t>
      </w:r>
    </w:p>
    <w:p>
      <w:r>
        <w:t>加大历史文化资源的挖掘保护弘扬力度，保护不可移动文物本体及其所处的环境，根据文化旅游的需要，加强不可移动文物景观环境的塑造，提升历史文化及景观资源的综合价值。缝合文化资源碎片空间，建构文化展示体系，塑造富有魅力的文化空间节点。</w:t>
      </w:r>
    </w:p>
    <w:p>
      <w:pPr>
        <w:pStyle w:val="3"/>
        <w:rPr>
          <w:rFonts w:ascii="Times New Roman" w:hAnsi="Times New Roman"/>
        </w:rPr>
      </w:pPr>
      <w:bookmarkStart w:id="87" w:name="_Toc27125"/>
      <w:bookmarkStart w:id="88" w:name="_Hlk142923416"/>
      <w:r>
        <w:rPr>
          <w:rFonts w:ascii="Times New Roman" w:hAnsi="Times New Roman"/>
        </w:rPr>
        <w:t>景观风貌管控</w:t>
      </w:r>
      <w:bookmarkEnd w:id="87"/>
    </w:p>
    <w:bookmarkEnd w:id="88"/>
    <w:p>
      <w:pPr>
        <w:pStyle w:val="4"/>
        <w:rPr>
          <w:rFonts w:ascii="Times New Roman" w:hAnsi="Times New Roman"/>
        </w:rPr>
      </w:pPr>
      <w:bookmarkStart w:id="89" w:name="_Hlk142923561"/>
      <w:r>
        <w:rPr>
          <w:rFonts w:ascii="Times New Roman" w:hAnsi="Times New Roman"/>
        </w:rPr>
        <w:t>风貌总体定位</w:t>
      </w:r>
    </w:p>
    <w:bookmarkEnd w:id="89"/>
    <w:p>
      <w:r>
        <w:t>依据赤眉镇整体地形地势及发展现状，将赤眉镇乡村风貌定位为：</w:t>
      </w:r>
      <w:r>
        <w:rPr>
          <w:rFonts w:hint="eastAsia"/>
        </w:rPr>
        <w:t>伏牛山</w:t>
      </w:r>
      <w:r>
        <w:t>浅山丘陵田园小镇风貌。提升乡村地区的时代特征和乡村气息，注重村庄布局和山水景观、农田景观的协调，避免破坏乡村原有的形态格局，充分体现乡村风光。</w:t>
      </w:r>
    </w:p>
    <w:p>
      <w:pPr>
        <w:pStyle w:val="4"/>
        <w:rPr>
          <w:rFonts w:ascii="Times New Roman" w:hAnsi="Times New Roman"/>
        </w:rPr>
      </w:pPr>
      <w:bookmarkStart w:id="90" w:name="_Hlk142923571"/>
      <w:r>
        <w:rPr>
          <w:rFonts w:ascii="Times New Roman" w:hAnsi="Times New Roman"/>
        </w:rPr>
        <w:t>风貌分区引导</w:t>
      </w:r>
    </w:p>
    <w:bookmarkEnd w:id="90"/>
    <w:p>
      <w:r>
        <w:t>依据地貌特征、社会经济发展状况，将赤眉镇划分为伏牛山水风貌区、田园小镇风貌区、农田景观风貌区三大类。</w:t>
      </w:r>
    </w:p>
    <w:p>
      <w:pPr>
        <w:numPr>
          <w:ilvl w:val="3"/>
          <w:numId w:val="2"/>
        </w:numPr>
        <w:ind w:firstLine="640"/>
      </w:pPr>
      <w:r>
        <w:t>伏牛山水风貌区</w:t>
      </w:r>
    </w:p>
    <w:p>
      <w:r>
        <w:t>主要为伏牛山前村庄，该区域延续山水格局和乡村田园风貌，在空间尺度和建筑风貌等体现地方特色。鼓励种植体现本土特色的植物，凸显田园特色风貌，村庄建筑采用本土民居建筑风格，控制建筑高度，强化建筑色彩与建筑材质的管控，彰显特色乡韵。</w:t>
      </w:r>
    </w:p>
    <w:p>
      <w:pPr>
        <w:numPr>
          <w:ilvl w:val="3"/>
          <w:numId w:val="2"/>
        </w:numPr>
        <w:ind w:firstLine="640"/>
      </w:pPr>
      <w:r>
        <w:t>田园小镇风貌区</w:t>
      </w:r>
    </w:p>
    <w:p>
      <w:r>
        <w:t>主要为赤眉镇镇区；加强镇区与内乡县城及周围镇区的联系，强化公共设施的便利性与公共空间的舒适性，居住建筑和公共设施在建筑风格上为现代风格，体现现代功能属性，展现宜居宜业的活力镇区风貌。</w:t>
      </w:r>
    </w:p>
    <w:p>
      <w:pPr>
        <w:numPr>
          <w:ilvl w:val="3"/>
          <w:numId w:val="2"/>
        </w:numPr>
        <w:ind w:firstLine="640"/>
      </w:pPr>
      <w:r>
        <w:t>农田景观风貌区</w:t>
      </w:r>
    </w:p>
    <w:p>
      <w:r>
        <w:t>主要为中部及南部丘陵地区村庄，主要体现田园风光，注重农田景观的连续性和大地景观的营造，凸显田乡风貌。</w:t>
      </w:r>
    </w:p>
    <w:p>
      <w:r>
        <w:br w:type="page"/>
      </w:r>
    </w:p>
    <w:p/>
    <w:p>
      <w:pPr>
        <w:pStyle w:val="2"/>
      </w:pPr>
      <w:bookmarkStart w:id="91" w:name="_Toc31862"/>
      <w:bookmarkStart w:id="92" w:name="_Toc10137"/>
      <w:bookmarkStart w:id="93" w:name="_Toc7153"/>
      <w:r>
        <w:t>乡镇政府驻地规划</w:t>
      </w:r>
      <w:bookmarkEnd w:id="91"/>
      <w:bookmarkEnd w:id="92"/>
    </w:p>
    <w:p>
      <w:pPr>
        <w:pStyle w:val="3"/>
        <w:rPr>
          <w:rFonts w:ascii="Times New Roman" w:hAnsi="Times New Roman"/>
        </w:rPr>
      </w:pPr>
      <w:bookmarkStart w:id="94" w:name="_Toc20501"/>
      <w:r>
        <w:rPr>
          <w:rFonts w:ascii="Times New Roman" w:hAnsi="Times New Roman"/>
        </w:rPr>
        <w:t>发展规模、发展方向</w:t>
      </w:r>
      <w:bookmarkEnd w:id="94"/>
    </w:p>
    <w:p>
      <w:pPr>
        <w:pStyle w:val="4"/>
        <w:rPr>
          <w:rFonts w:ascii="Times New Roman" w:hAnsi="Times New Roman"/>
        </w:rPr>
      </w:pPr>
      <w:r>
        <w:rPr>
          <w:rFonts w:ascii="Times New Roman" w:hAnsi="Times New Roman"/>
        </w:rPr>
        <w:t>发展规模</w:t>
      </w:r>
    </w:p>
    <w:p>
      <w:r>
        <w:t>规划至2025年，镇区人口规模为0.</w:t>
      </w:r>
      <w:r>
        <w:rPr>
          <w:rFonts w:hint="eastAsia"/>
        </w:rPr>
        <w:t>93</w:t>
      </w:r>
      <w:r>
        <w:t>万人，城镇建设用地规模约135.40公顷，人均城镇建设用地规模约</w:t>
      </w:r>
      <w:r>
        <w:rPr>
          <w:rFonts w:hint="eastAsia"/>
        </w:rPr>
        <w:t>103</w:t>
      </w:r>
      <w:r>
        <w:t>平方米/人；规划至2035年，镇区人口规模为</w:t>
      </w:r>
      <w:r>
        <w:rPr>
          <w:rFonts w:hint="eastAsia"/>
        </w:rPr>
        <w:t>0.99</w:t>
      </w:r>
      <w:r>
        <w:t>万人，城镇建设用地规模1</w:t>
      </w:r>
      <w:r>
        <w:rPr>
          <w:rFonts w:hint="eastAsia"/>
        </w:rPr>
        <w:t>04.17</w:t>
      </w:r>
      <w:r>
        <w:t>公顷，人均城镇建设用地规模约1</w:t>
      </w:r>
      <w:r>
        <w:rPr>
          <w:rFonts w:hint="eastAsia"/>
        </w:rPr>
        <w:t>03</w:t>
      </w:r>
      <w:r>
        <w:t>平方米/人。</w:t>
      </w:r>
    </w:p>
    <w:p>
      <w:pPr>
        <w:pStyle w:val="4"/>
        <w:rPr>
          <w:rFonts w:ascii="Times New Roman" w:hAnsi="Times New Roman"/>
        </w:rPr>
      </w:pPr>
      <w:r>
        <w:rPr>
          <w:rFonts w:ascii="Times New Roman" w:hAnsi="Times New Roman"/>
        </w:rPr>
        <w:t>发展方向</w:t>
      </w:r>
    </w:p>
    <w:p>
      <w:r>
        <w:t>在建设用地集约高效利用、高品质城市空间建设的背景下，赤眉镇区未来的空间发展思路为提高土地利用效率，促进存量盘活再利用，控制土地闲置，推动土地功能再调整，适应用地需求结构的变化。优化中南部用地结构，兼顾黄河村，提升公共服务能力，提升城市空间品质，建设优质宜居活力城市片区。优化北部用地布局，高效整合用地资源，集聚居住用地，提升服务能级，优化工业用地形态，发展高效能产业。</w:t>
      </w:r>
    </w:p>
    <w:p>
      <w:pPr>
        <w:pStyle w:val="3"/>
        <w:rPr>
          <w:rFonts w:ascii="Times New Roman" w:hAnsi="Times New Roman"/>
        </w:rPr>
      </w:pPr>
      <w:bookmarkStart w:id="95" w:name="_Toc12296"/>
      <w:r>
        <w:rPr>
          <w:rFonts w:ascii="Times New Roman" w:hAnsi="Times New Roman"/>
        </w:rPr>
        <w:t>用地布局</w:t>
      </w:r>
      <w:bookmarkEnd w:id="95"/>
    </w:p>
    <w:p>
      <w:pPr>
        <w:pStyle w:val="4"/>
        <w:rPr>
          <w:rFonts w:ascii="Times New Roman" w:hAnsi="Times New Roman"/>
        </w:rPr>
      </w:pPr>
      <w:r>
        <w:rPr>
          <w:rFonts w:ascii="Times New Roman" w:hAnsi="Times New Roman"/>
        </w:rPr>
        <w:t>规划</w:t>
      </w:r>
      <w:bookmarkStart w:id="96" w:name="_Hlk167089361"/>
      <w:r>
        <w:rPr>
          <w:rFonts w:ascii="Times New Roman" w:hAnsi="Times New Roman"/>
        </w:rPr>
        <w:t>空间结构</w:t>
      </w:r>
      <w:bookmarkEnd w:id="96"/>
    </w:p>
    <w:p>
      <w:r>
        <w:t>根据赤眉镇现状城镇布局特征和城镇发展方向，规划建设形成“一</w:t>
      </w:r>
      <w:r>
        <w:rPr>
          <w:rFonts w:hint="eastAsia"/>
        </w:rPr>
        <w:t>心二</w:t>
      </w:r>
      <w:r>
        <w:t>轴三片区”的空间结构。</w:t>
      </w:r>
    </w:p>
    <w:p>
      <w:r>
        <w:t>“一心”：指</w:t>
      </w:r>
      <w:r>
        <w:rPr>
          <w:rFonts w:hint="eastAsia"/>
        </w:rPr>
        <w:t>振兴街</w:t>
      </w:r>
      <w:r>
        <w:t>与赤眉大道交汇处形成的镇区综合服务中心；</w:t>
      </w:r>
    </w:p>
    <w:p>
      <w:r>
        <w:t>“</w:t>
      </w:r>
      <w:r>
        <w:rPr>
          <w:rFonts w:hint="eastAsia"/>
        </w:rPr>
        <w:t>二</w:t>
      </w:r>
      <w:r>
        <w:t>轴”：沿赤眉大道形成的南北向发展轴，沿</w:t>
      </w:r>
      <w:r>
        <w:rPr>
          <w:rFonts w:hint="eastAsia"/>
        </w:rPr>
        <w:t>振兴</w:t>
      </w:r>
      <w:r>
        <w:t>路</w:t>
      </w:r>
      <w:r>
        <w:rPr>
          <w:rFonts w:hint="eastAsia"/>
        </w:rPr>
        <w:t>-永安路</w:t>
      </w:r>
      <w:r>
        <w:t>形成</w:t>
      </w:r>
      <w:r>
        <w:rPr>
          <w:rFonts w:hint="eastAsia"/>
        </w:rPr>
        <w:t>的</w:t>
      </w:r>
      <w:r>
        <w:t>东西向发展轴；</w:t>
      </w:r>
    </w:p>
    <w:p>
      <w:r>
        <w:t>“三片区”：</w:t>
      </w:r>
      <w:r>
        <w:rPr>
          <w:rFonts w:hint="eastAsia"/>
        </w:rPr>
        <w:t>中部的综合服务区、中南部的商业服务区和家居生活区</w:t>
      </w:r>
      <w:r>
        <w:t>。</w:t>
      </w:r>
    </w:p>
    <w:p>
      <w:pPr>
        <w:pStyle w:val="4"/>
        <w:rPr>
          <w:rFonts w:ascii="Times New Roman" w:hAnsi="Times New Roman"/>
        </w:rPr>
      </w:pPr>
      <w:r>
        <w:rPr>
          <w:rFonts w:ascii="Times New Roman" w:hAnsi="Times New Roman"/>
        </w:rPr>
        <w:t>规划分区</w:t>
      </w:r>
    </w:p>
    <w:p>
      <w:r>
        <w:t>基于镇区现状，将镇区用地合理规划与布置，公共服务设施集中与分散相结合布局，绿地均衡布置，将镇区划分为四个功能分区。城镇功能区采用“详细规划+规划许可”的方式进行管理。</w:t>
      </w:r>
    </w:p>
    <w:p>
      <w:r>
        <w:t>1.规划分区划分</w:t>
      </w:r>
    </w:p>
    <w:p>
      <w:r>
        <w:t>（1）居住生活区</w:t>
      </w:r>
    </w:p>
    <w:p>
      <w:r>
        <w:t>以居住用地为主，兼容公共服务设施用地、绿地与广场用地、商服用地。居住生活区内应构建健康、宜居的生活环境，提供完善、便捷的日常生活服务功能。在保障主要功能导向的前提下，鼓励多元功能的适度混合，避免重大妨害功能的干扰。</w:t>
      </w:r>
    </w:p>
    <w:p>
      <w:r>
        <w:t>（2）综合服务区</w:t>
      </w:r>
    </w:p>
    <w:p>
      <w:r>
        <w:t>以提供行政办公、文化体育、教育、医疗等服务为主要功能导向的区域，主要为城市和片区级公共中心所在区域，以布局各类公共管理和公共服务用地为主。强化文化、体育、商贸商务等功能的合理配置，建立创新服务平台，植入公共空间，垂直复合开发，提升公共活动中心空间覆盖。</w:t>
      </w:r>
    </w:p>
    <w:p>
      <w:r>
        <w:t>（3）商业商务区</w:t>
      </w:r>
    </w:p>
    <w:p>
      <w:r>
        <w:t>以商服用地为主，兼容绿地与广场用地、居住用地。商业商务区是城市提供公共服务、商业服务的核心空间，综合服务功能应集约紧凑，满足服务等级、规模及类型要求。</w:t>
      </w:r>
    </w:p>
    <w:p>
      <w:r>
        <w:rPr>
          <w:rFonts w:hint="eastAsia"/>
        </w:rPr>
        <w:t>（4）绿化休闲区</w:t>
      </w:r>
    </w:p>
    <w:p>
      <w:r>
        <w:rPr>
          <w:rFonts w:hint="eastAsia"/>
        </w:rPr>
        <w:t>以公园绿地为主，</w:t>
      </w:r>
      <w:r>
        <w:t>可兼容少量商服用地、公共管理与公共服务设施用地。绿地休闲区应安排好“点、线、面”结合的绿地系统结构，为市民提供便捷可达、充足友好的游憩休闲空间，并确保相互干扰的功能区的防护隔离；对公园绿地、广场用地、防护绿地的总体规模与服务半径提出控制要求。</w:t>
      </w:r>
    </w:p>
    <w:p>
      <w:r>
        <w:t>2.规划分区管控</w:t>
      </w:r>
    </w:p>
    <w:p>
      <w:r>
        <w:t>功能区采用“用途准入+指标控制+原则指引”的方式进行管理，明确开发强度分区、各类用地的强度指标，如容积率、建筑密度等；提出用地兼容比例控制要求，鼓励用地功能混合使用，营造镇区的多样性；结合地方文化和特色，提出高度、风貌等空间形态控制要求。</w:t>
      </w:r>
    </w:p>
    <w:p>
      <w:pPr>
        <w:pStyle w:val="4"/>
        <w:rPr>
          <w:rFonts w:ascii="Times New Roman" w:hAnsi="Times New Roman"/>
        </w:rPr>
      </w:pPr>
      <w:r>
        <w:rPr>
          <w:rFonts w:ascii="Times New Roman" w:hAnsi="Times New Roman"/>
        </w:rPr>
        <w:t>用地布局</w:t>
      </w:r>
    </w:p>
    <w:p>
      <w:r>
        <w:t>优化镇区用地结构，完善用地功能布局。推进镇区空间高质量发展，科学配置公共资源，统筹安排镇区建设、产业发展、基础设施和公共服务，优化完善镇区功能。</w:t>
      </w:r>
    </w:p>
    <w:p>
      <w:r>
        <w:t>合理配置居住用地。统筹居住用地供给和人口发展，适度增加城镇居住用地供给。规划居住用地</w:t>
      </w:r>
      <w:r>
        <w:rPr>
          <w:rFonts w:hint="eastAsia"/>
        </w:rPr>
        <w:t>58.60</w:t>
      </w:r>
      <w:r>
        <w:t>公顷，占镇区建设用地面积的</w:t>
      </w:r>
      <w:r>
        <w:rPr>
          <w:rFonts w:hint="eastAsia"/>
        </w:rPr>
        <w:t>56.26</w:t>
      </w:r>
      <w:r>
        <w:t>%。</w:t>
      </w:r>
    </w:p>
    <w:p>
      <w:r>
        <w:t>统筹公共管理与服务设施用地。提升公共服务能力，促进公共资源相对集中布局，补充完善镇区公共服务设施。规划公共管理与服务设施用地</w:t>
      </w:r>
      <w:r>
        <w:rPr>
          <w:rFonts w:hint="eastAsia"/>
        </w:rPr>
        <w:t>21.98</w:t>
      </w:r>
      <w:r>
        <w:t>公顷，占镇区建设用地面积的</w:t>
      </w:r>
      <w:r>
        <w:rPr>
          <w:rFonts w:hint="eastAsia"/>
        </w:rPr>
        <w:t>21.10</w:t>
      </w:r>
      <w:r>
        <w:t>%。</w:t>
      </w:r>
    </w:p>
    <w:p>
      <w:r>
        <w:t>合理安排商业服务业用地。促进商业高品质发展，提升镇区活力。规划商业服务业用地</w:t>
      </w:r>
      <w:r>
        <w:rPr>
          <w:rFonts w:hint="eastAsia"/>
        </w:rPr>
        <w:t>7.75</w:t>
      </w:r>
      <w:r>
        <w:t>公顷，占镇区建设用地面积的</w:t>
      </w:r>
      <w:r>
        <w:rPr>
          <w:rFonts w:hint="eastAsia"/>
        </w:rPr>
        <w:t>7.44</w:t>
      </w:r>
      <w:r>
        <w:t>%。</w:t>
      </w:r>
    </w:p>
    <w:p>
      <w:r>
        <w:t>规划</w:t>
      </w:r>
      <w:r>
        <w:rPr>
          <w:rFonts w:hint="eastAsia"/>
        </w:rPr>
        <w:t>仓储</w:t>
      </w:r>
      <w:r>
        <w:t>用地</w:t>
      </w:r>
      <w:r>
        <w:rPr>
          <w:rFonts w:hint="eastAsia"/>
        </w:rPr>
        <w:t>0.47</w:t>
      </w:r>
      <w:r>
        <w:t>公顷，占镇区建设用地面积的</w:t>
      </w:r>
      <w:r>
        <w:rPr>
          <w:rFonts w:hint="eastAsia"/>
        </w:rPr>
        <w:t>0.45</w:t>
      </w:r>
      <w:r>
        <w:t>%。</w:t>
      </w:r>
    </w:p>
    <w:p>
      <w:r>
        <w:t>规划交通运输用地</w:t>
      </w:r>
      <w:r>
        <w:rPr>
          <w:rFonts w:hint="eastAsia"/>
        </w:rPr>
        <w:t>11.5</w:t>
      </w:r>
      <w:r>
        <w:t>公顷，占镇区建设用地面积的1</w:t>
      </w:r>
      <w:r>
        <w:rPr>
          <w:rFonts w:hint="eastAsia"/>
        </w:rPr>
        <w:t>1.04</w:t>
      </w:r>
      <w:r>
        <w:t>%。</w:t>
      </w:r>
    </w:p>
    <w:p>
      <w:r>
        <w:rPr>
          <w:rFonts w:hint="eastAsia"/>
        </w:rPr>
        <w:t>规划公用设施用地</w:t>
      </w:r>
      <w:r>
        <w:rPr>
          <w:rFonts w:hint="eastAsia"/>
        </w:rPr>
        <w:tab/>
      </w:r>
      <w:r>
        <w:rPr>
          <w:rFonts w:hint="eastAsia"/>
        </w:rPr>
        <w:t>0.26公顷，占镇区建设用地面积的0.25%。</w:t>
      </w:r>
    </w:p>
    <w:p>
      <w:r>
        <w:t>规划绿地与开敞空间用地</w:t>
      </w:r>
      <w:r>
        <w:rPr>
          <w:rFonts w:hint="eastAsia"/>
        </w:rPr>
        <w:t>2.36</w:t>
      </w:r>
      <w:r>
        <w:t>公顷，均为公园绿地，占镇区建设用地面积的</w:t>
      </w:r>
      <w:r>
        <w:rPr>
          <w:rFonts w:hint="eastAsia"/>
        </w:rPr>
        <w:t>2.27</w:t>
      </w:r>
      <w:r>
        <w:t>%。</w:t>
      </w:r>
    </w:p>
    <w:p>
      <w:r>
        <w:rPr>
          <w:rFonts w:hint="eastAsia"/>
        </w:rPr>
        <w:t>规划特殊用地1.23公顷，占镇区建设用地面积的1.19%。</w:t>
      </w:r>
    </w:p>
    <w:p>
      <w:pPr>
        <w:pStyle w:val="3"/>
        <w:rPr>
          <w:rFonts w:ascii="Times New Roman" w:hAnsi="Times New Roman"/>
        </w:rPr>
      </w:pPr>
      <w:bookmarkStart w:id="97" w:name="_Toc5808"/>
      <w:r>
        <w:rPr>
          <w:rFonts w:ascii="Times New Roman" w:hAnsi="Times New Roman"/>
        </w:rPr>
        <w:t>公共服务设施规划</w:t>
      </w:r>
      <w:bookmarkEnd w:id="97"/>
    </w:p>
    <w:p>
      <w:pPr>
        <w:pStyle w:val="4"/>
        <w:rPr>
          <w:rFonts w:ascii="Times New Roman" w:hAnsi="Times New Roman"/>
        </w:rPr>
      </w:pPr>
      <w:r>
        <w:rPr>
          <w:rFonts w:ascii="Times New Roman" w:hAnsi="Times New Roman"/>
        </w:rPr>
        <w:t>社区生活圈结构</w:t>
      </w:r>
    </w:p>
    <w:p>
      <w:r>
        <w:t>本次规划公服设施考虑东路</w:t>
      </w:r>
      <w:r>
        <w:rPr>
          <w:rFonts w:hint="eastAsia"/>
        </w:rPr>
        <w:t>0.99</w:t>
      </w:r>
      <w:r>
        <w:t>万镇区人口的同时，适当兼顾周边村庄人口进行配置，另外</w:t>
      </w:r>
      <w:r>
        <w:rPr>
          <w:rFonts w:hint="eastAsia"/>
        </w:rPr>
        <w:t>马营村、赤眉</w:t>
      </w:r>
      <w:r>
        <w:t>村与镇区已融为一体，村镇设施应一体考虑。本次规划镇区构建1个15分钟社区生活圈、</w:t>
      </w:r>
      <w:r>
        <w:rPr>
          <w:rFonts w:hint="eastAsia"/>
        </w:rPr>
        <w:t>1</w:t>
      </w:r>
      <w:r>
        <w:t>个5-10分钟社区生活圈两个层级。</w:t>
      </w:r>
    </w:p>
    <w:p>
      <w:r>
        <w:t>（1）15分钟社区生活圈</w:t>
      </w:r>
    </w:p>
    <w:p>
      <w:r>
        <w:t>本次规划整个镇区划定为1个15分钟社区生活圈，结合镇级公共服务设施进行设置，服务半径800-1000米。15分钟社区生活圈中将设施关联度高的公共服务设施集中布局，教育、文化、体育等设施与商业设施混合布局，倡导医养结合、文体结合。主要配置的有卫生服务中心、养老院、初中、文化活动中心、全民健身中心（多功能运动场地）、社区服务中心等公共服务设施。</w:t>
      </w:r>
    </w:p>
    <w:p>
      <w:r>
        <w:t>（2）5-10分钟社区生活圈</w:t>
      </w:r>
    </w:p>
    <w:p>
      <w:r>
        <w:t>结合居住用地布局及人口规模，本次规划共划分为</w:t>
      </w:r>
      <w:r>
        <w:rPr>
          <w:rFonts w:hint="eastAsia"/>
        </w:rPr>
        <w:t>2</w:t>
      </w:r>
      <w:r>
        <w:t>个5-10分钟社区生活圈，服务半径300-500米。5-10分钟社区生活圈内公共服务设施宜灵活均衡布局，并与生活性街道、公共空间、绿道临近设置，保障老人、儿童的便捷友好使用。主要配置的有老年人日间照料中心、小学、幼儿园、文化活动站、多功能运动场地、社区卫生服务站等公共服务设施。</w:t>
      </w:r>
    </w:p>
    <w:p>
      <w:pPr>
        <w:pStyle w:val="4"/>
        <w:rPr>
          <w:rFonts w:ascii="Times New Roman" w:hAnsi="Times New Roman"/>
        </w:rPr>
      </w:pPr>
      <w:r>
        <w:rPr>
          <w:rFonts w:ascii="Times New Roman" w:hAnsi="Times New Roman"/>
        </w:rPr>
        <w:t>公共管理与公共服务设施</w:t>
      </w:r>
    </w:p>
    <w:p>
      <w:r>
        <w:t>1.行政管理设施规划</w:t>
      </w:r>
    </w:p>
    <w:p>
      <w:r>
        <w:t>规划机关团体用地面积2.</w:t>
      </w:r>
      <w:r>
        <w:rPr>
          <w:rFonts w:hint="eastAsia"/>
        </w:rPr>
        <w:t>67</w:t>
      </w:r>
      <w:r>
        <w:t>公顷，人均用地面积2.</w:t>
      </w:r>
      <w:r>
        <w:rPr>
          <w:rFonts w:hint="eastAsia"/>
        </w:rPr>
        <w:t>57</w:t>
      </w:r>
      <w:r>
        <w:t>平方米。</w:t>
      </w:r>
    </w:p>
    <w:p>
      <w:r>
        <w:t>（1）镇级：以镇人民政府为核心，布局于</w:t>
      </w:r>
      <w:r>
        <w:rPr>
          <w:rFonts w:hint="eastAsia"/>
        </w:rPr>
        <w:t>振兴</w:t>
      </w:r>
      <w:r>
        <w:t>路与赤眉大道交汇处西北角区域。</w:t>
      </w:r>
    </w:p>
    <w:p>
      <w:r>
        <w:t>（2）社区级：结合镇级设施布局15分钟社区管理设施，结合5-10社区级服务中心布局社区管理设施。</w:t>
      </w:r>
    </w:p>
    <w:p>
      <w:r>
        <w:t>2.文化设施用地规划</w:t>
      </w:r>
    </w:p>
    <w:p>
      <w:r>
        <w:t>（1）镇级：保留现状文化站。</w:t>
      </w:r>
    </w:p>
    <w:p>
      <w:r>
        <w:t>（2）社区级：结合社区布局社区级文化设施，配建</w:t>
      </w:r>
      <w:r>
        <w:rPr>
          <w:rFonts w:hint="eastAsia"/>
        </w:rPr>
        <w:t>2</w:t>
      </w:r>
      <w:r>
        <w:t>处社区级文化活动室。文化活动室依据相关标准配置图书阅览室、科技普法、教育培训等文化设施，并设置专门针对老人、儿童及青少年活动的文化设施。</w:t>
      </w:r>
    </w:p>
    <w:p>
      <w:r>
        <w:t>3.教育用地规划</w:t>
      </w:r>
    </w:p>
    <w:p>
      <w:r>
        <w:t>规划教育用地面积</w:t>
      </w:r>
      <w:r>
        <w:rPr>
          <w:rFonts w:hint="eastAsia"/>
        </w:rPr>
        <w:t>17.55</w:t>
      </w:r>
      <w:r>
        <w:t>公顷</w:t>
      </w:r>
      <w:r>
        <w:rPr>
          <w:rFonts w:hint="eastAsia"/>
        </w:rPr>
        <w:t>，</w:t>
      </w:r>
      <w:r>
        <w:t>规划保留现状1所</w:t>
      </w:r>
      <w:r>
        <w:rPr>
          <w:rFonts w:hint="eastAsia"/>
        </w:rPr>
        <w:t>高中、2所</w:t>
      </w:r>
      <w:r>
        <w:t>初中</w:t>
      </w:r>
      <w:r>
        <w:rPr>
          <w:rFonts w:hint="eastAsia"/>
        </w:rPr>
        <w:t>、1</w:t>
      </w:r>
      <w:r>
        <w:t>所小学，不再增加新的中心学设施。</w:t>
      </w:r>
    </w:p>
    <w:p>
      <w:r>
        <w:t>4.体育设施规划</w:t>
      </w:r>
    </w:p>
    <w:p>
      <w:r>
        <w:t>（1）镇级：</w:t>
      </w:r>
      <w:r>
        <w:rPr>
          <w:rFonts w:hint="eastAsia"/>
        </w:rPr>
        <w:t>结合中学</w:t>
      </w:r>
      <w:r>
        <w:t>体育</w:t>
      </w:r>
      <w:r>
        <w:rPr>
          <w:rFonts w:hint="eastAsia"/>
        </w:rPr>
        <w:t>场馆设置</w:t>
      </w:r>
      <w:r>
        <w:t>。</w:t>
      </w:r>
    </w:p>
    <w:p>
      <w:r>
        <w:t>（2）社区级：充分利用现有的学校等所属体育设施资源，创造条件向公众开放。同时结合公共绿地等公共活动空间统筹布局，共规划</w:t>
      </w:r>
      <w:r>
        <w:rPr>
          <w:rFonts w:hint="eastAsia"/>
        </w:rPr>
        <w:t>2</w:t>
      </w:r>
      <w:r>
        <w:t>处社区级体育设施。</w:t>
      </w:r>
    </w:p>
    <w:p>
      <w:r>
        <w:t>5.医疗卫生用地规划</w:t>
      </w:r>
    </w:p>
    <w:p>
      <w:pPr>
        <w:rPr>
          <w:lang w:bidi="ar"/>
        </w:rPr>
      </w:pPr>
      <w:r>
        <w:rPr>
          <w:lang w:bidi="ar"/>
        </w:rPr>
        <w:t>规划医疗卫生用地面积</w:t>
      </w:r>
      <w:r>
        <w:rPr>
          <w:rFonts w:hint="eastAsia"/>
          <w:lang w:bidi="ar"/>
        </w:rPr>
        <w:t>0.94</w:t>
      </w:r>
      <w:r>
        <w:rPr>
          <w:lang w:bidi="ar"/>
        </w:rPr>
        <w:t>公顷。</w:t>
      </w:r>
    </w:p>
    <w:p>
      <w:pPr>
        <w:rPr>
          <w:lang w:bidi="ar"/>
        </w:rPr>
      </w:pPr>
      <w:r>
        <w:rPr>
          <w:lang w:bidi="ar"/>
        </w:rPr>
        <w:t>镇卫生院：保留赤眉镇卫生院。</w:t>
      </w:r>
    </w:p>
    <w:p>
      <w:r>
        <w:rPr>
          <w:lang w:bidi="ar"/>
        </w:rPr>
        <w:t>社区级医疗卫生设施布局：各社区按照相关标准配建社区医疗卫生服务站，按照相关标准配置社区卫生服务站等医疗卫生设施，方便社区居民的日常使用。</w:t>
      </w:r>
    </w:p>
    <w:p>
      <w:r>
        <w:t>6.社会福利用地规划</w:t>
      </w:r>
    </w:p>
    <w:p>
      <w:pPr>
        <w:rPr>
          <w:lang w:bidi="ar"/>
        </w:rPr>
      </w:pPr>
      <w:r>
        <w:rPr>
          <w:lang w:bidi="ar"/>
        </w:rPr>
        <w:t>规划社会福利用地面积</w:t>
      </w:r>
      <w:r>
        <w:rPr>
          <w:rFonts w:hint="eastAsia"/>
          <w:lang w:bidi="ar"/>
        </w:rPr>
        <w:t>0.47</w:t>
      </w:r>
      <w:r>
        <w:rPr>
          <w:lang w:bidi="ar"/>
        </w:rPr>
        <w:t>公顷。</w:t>
      </w:r>
    </w:p>
    <w:p>
      <w:pPr>
        <w:rPr>
          <w:lang w:bidi="ar"/>
        </w:rPr>
      </w:pPr>
      <w:r>
        <w:rPr>
          <w:lang w:bidi="ar"/>
        </w:rPr>
        <w:t>（1）镇社会福利中心：镇区现状有1所养老院。</w:t>
      </w:r>
    </w:p>
    <w:p>
      <w:r>
        <w:rPr>
          <w:lang w:bidi="ar"/>
        </w:rPr>
        <w:t>（2）其他社会福利设施：结合社区建设适当建设专业化的养老护理机构，在有条件的基层社区建设托老所、老年活动室等老年活动设施。</w:t>
      </w:r>
    </w:p>
    <w:p>
      <w:pPr>
        <w:pStyle w:val="3"/>
        <w:rPr>
          <w:rFonts w:ascii="Times New Roman" w:hAnsi="Times New Roman"/>
        </w:rPr>
      </w:pPr>
      <w:bookmarkStart w:id="98" w:name="_Toc22306"/>
      <w:r>
        <w:rPr>
          <w:rFonts w:ascii="Times New Roman" w:hAnsi="Times New Roman"/>
        </w:rPr>
        <w:t>住房建设与引导</w:t>
      </w:r>
      <w:bookmarkEnd w:id="98"/>
    </w:p>
    <w:p>
      <w:pPr>
        <w:pStyle w:val="4"/>
        <w:rPr>
          <w:rFonts w:ascii="Times New Roman" w:hAnsi="Times New Roman"/>
        </w:rPr>
      </w:pPr>
      <w:bookmarkStart w:id="99" w:name="_Hlk142925025"/>
      <w:r>
        <w:rPr>
          <w:rFonts w:ascii="Times New Roman" w:hAnsi="Times New Roman"/>
        </w:rPr>
        <w:t>居住用地规划</w:t>
      </w:r>
    </w:p>
    <w:bookmarkEnd w:id="99"/>
    <w:p>
      <w:r>
        <w:t>规划居住用地面积为</w:t>
      </w:r>
      <w:r>
        <w:rPr>
          <w:rFonts w:hint="eastAsia"/>
        </w:rPr>
        <w:t>58.6</w:t>
      </w:r>
      <w:r>
        <w:t>公顷，占总用地的</w:t>
      </w:r>
      <w:r>
        <w:rPr>
          <w:rFonts w:hint="eastAsia"/>
        </w:rPr>
        <w:t>56.26</w:t>
      </w:r>
      <w:r>
        <w:t>%，人均</w:t>
      </w:r>
      <w:r>
        <w:rPr>
          <w:rFonts w:hint="eastAsia"/>
        </w:rPr>
        <w:t>59</w:t>
      </w:r>
      <w:r>
        <w:t>平方米。住宅建设规划宜采取保留、更新改造和新增建设等多种方式。。</w:t>
      </w:r>
    </w:p>
    <w:p>
      <w:pPr>
        <w:pStyle w:val="4"/>
        <w:rPr>
          <w:rFonts w:ascii="Times New Roman" w:hAnsi="Times New Roman"/>
        </w:rPr>
      </w:pPr>
      <w:bookmarkStart w:id="100" w:name="_Hlk142925032"/>
      <w:r>
        <w:rPr>
          <w:rFonts w:ascii="Times New Roman" w:hAnsi="Times New Roman"/>
        </w:rPr>
        <w:t>住房保障规划</w:t>
      </w:r>
    </w:p>
    <w:bookmarkEnd w:id="100"/>
    <w:p>
      <w:r>
        <w:t>住宅建设规划宜采取保留、更新改造、拆迁置换和新区建设等多种方式。规划保留镇区内现有的建筑质量较高、居住环境较好、配套服务设施齐全、规划布局较为合理的居住用地；对镇区中村庄用地采取逐步更新改造方式；对部分建筑质量较差、配套设施缺乏、环境恶劣、且与其他用地混杂布局的住宅，可根据实际建设需要，拆迁置换为其他城镇用地，如可开发为公共绿地。</w:t>
      </w:r>
    </w:p>
    <w:p>
      <w:pPr>
        <w:pStyle w:val="3"/>
        <w:rPr>
          <w:rFonts w:ascii="Times New Roman" w:hAnsi="Times New Roman"/>
        </w:rPr>
      </w:pPr>
      <w:bookmarkStart w:id="101" w:name="_Toc24759"/>
      <w:r>
        <w:rPr>
          <w:rFonts w:ascii="Times New Roman" w:hAnsi="Times New Roman"/>
        </w:rPr>
        <w:t>空间形态与风貌管控</w:t>
      </w:r>
      <w:bookmarkEnd w:id="101"/>
    </w:p>
    <w:p>
      <w:pPr>
        <w:pStyle w:val="4"/>
        <w:rPr>
          <w:rFonts w:ascii="Times New Roman" w:hAnsi="Times New Roman"/>
        </w:rPr>
      </w:pPr>
      <w:r>
        <w:rPr>
          <w:rFonts w:ascii="Times New Roman" w:hAnsi="Times New Roman"/>
        </w:rPr>
        <w:t>空间风貌结构</w:t>
      </w:r>
    </w:p>
    <w:p>
      <w:r>
        <w:t>综合考虑赤眉镇平原地貌、滨水特征、空间功能，本次规划构建“一心</w:t>
      </w:r>
      <w:r>
        <w:rPr>
          <w:rFonts w:hint="eastAsia"/>
        </w:rPr>
        <w:t>二</w:t>
      </w:r>
      <w:r>
        <w:t>轴</w:t>
      </w:r>
      <w:r>
        <w:rPr>
          <w:rFonts w:hint="eastAsia"/>
        </w:rPr>
        <w:t>二</w:t>
      </w:r>
      <w:r>
        <w:t>区”的空间形态框架。</w:t>
      </w:r>
    </w:p>
    <w:p>
      <w:r>
        <w:t>“一心”：以综合服务中心建设镇区核心景观；</w:t>
      </w:r>
    </w:p>
    <w:p>
      <w:r>
        <w:t>“</w:t>
      </w:r>
      <w:r>
        <w:rPr>
          <w:rFonts w:hint="eastAsia"/>
        </w:rPr>
        <w:t>二</w:t>
      </w:r>
      <w:r>
        <w:t>轴”：沿赤眉大道、</w:t>
      </w:r>
      <w:r>
        <w:rPr>
          <w:rFonts w:hint="eastAsia"/>
        </w:rPr>
        <w:t>振兴路-永安路</w:t>
      </w:r>
      <w:r>
        <w:t>建设镇区景观轴；</w:t>
      </w:r>
    </w:p>
    <w:p>
      <w:r>
        <w:t>“</w:t>
      </w:r>
      <w:r>
        <w:rPr>
          <w:rFonts w:hint="eastAsia"/>
        </w:rPr>
        <w:t>二</w:t>
      </w:r>
      <w:r>
        <w:t>区”：分别指以综合服务中心连带周边商业用地形成的公共服务风貌区，和现代宜居生活风貌区。</w:t>
      </w:r>
    </w:p>
    <w:p>
      <w:pPr>
        <w:pStyle w:val="4"/>
        <w:rPr>
          <w:rFonts w:ascii="Times New Roman" w:hAnsi="Times New Roman"/>
        </w:rPr>
      </w:pPr>
      <w:r>
        <w:rPr>
          <w:rFonts w:ascii="Times New Roman" w:hAnsi="Times New Roman"/>
        </w:rPr>
        <w:t>开发强度和高度分区</w:t>
      </w:r>
    </w:p>
    <w:p>
      <w:r>
        <w:t>依托镇区空间结构，结合区位条件、土地资源、配套设施承载力等因素，以生态宜居优先、集约节约发展、疏密有致引导、高效有序布局为原则，合理划定城市开发强度分区，分级管控。建立高效有序、疏密有致的城市空间布局。</w:t>
      </w:r>
    </w:p>
    <w:p>
      <w:r>
        <w:t>一级强度分区（FAR≤1. 0）：适用于公共设施功能区、老旧居住区。考虑景观视线高度，适宜低强度开发，为城市提供有质量的公共开敞空间。</w:t>
      </w:r>
    </w:p>
    <w:p>
      <w:r>
        <w:t>二级强度分区（1.0&lt;FAR≤2 0）：适用于商业办公区和新建居住区。</w:t>
      </w:r>
    </w:p>
    <w:p>
      <w:r>
        <w:t>高度控制一区，高度控制在12米以下，主要为公共服务设施用地。高度控制二区，高度控制在24米，主要为办公、商业、居住用地。</w:t>
      </w:r>
    </w:p>
    <w:p>
      <w:pPr>
        <w:pStyle w:val="4"/>
        <w:rPr>
          <w:rFonts w:ascii="Times New Roman" w:hAnsi="Times New Roman"/>
        </w:rPr>
      </w:pPr>
      <w:r>
        <w:rPr>
          <w:rFonts w:ascii="Times New Roman" w:hAnsi="Times New Roman"/>
        </w:rPr>
        <w:t>风貌管控</w:t>
      </w:r>
    </w:p>
    <w:p>
      <w:r>
        <w:rPr>
          <w:rFonts w:hint="eastAsia"/>
        </w:rPr>
        <w:t>1</w:t>
      </w:r>
      <w:r>
        <w:t>.公共服务风貌区</w:t>
      </w:r>
    </w:p>
    <w:p>
      <w:r>
        <w:t>规划布局应体现秩序性及整体性，以暖色系为主，商业建筑可局部点缀高明度色彩，营造亲和、大气、繁华的空间氛围。</w:t>
      </w:r>
    </w:p>
    <w:p>
      <w:r>
        <w:rPr>
          <w:rFonts w:hint="eastAsia"/>
        </w:rPr>
        <w:t>2</w:t>
      </w:r>
      <w:r>
        <w:t>.现代宜居生活风貌区</w:t>
      </w:r>
    </w:p>
    <w:p>
      <w:r>
        <w:t>结合街道等开放空间打造宜人尺度，建筑色彩以暖色系为主，商业建筑可局部点缀高明度色彩，营造温馨的生活居住环境。</w:t>
      </w:r>
    </w:p>
    <w:p>
      <w:pPr>
        <w:pStyle w:val="4"/>
        <w:rPr>
          <w:rFonts w:ascii="Times New Roman" w:hAnsi="Times New Roman"/>
        </w:rPr>
      </w:pPr>
      <w:r>
        <w:rPr>
          <w:rFonts w:ascii="Times New Roman" w:hAnsi="Times New Roman"/>
        </w:rPr>
        <w:t>城镇开放空间</w:t>
      </w:r>
    </w:p>
    <w:p>
      <w:r>
        <w:rPr>
          <w:lang w:bidi="ar"/>
        </w:rPr>
        <w:t>城镇开放空间包括城镇街道空间，广场空间、绿色空间，它们是市民城镇生活的重要场所，是城镇景观的集中体现，也是城镇景观设计重点。</w:t>
      </w:r>
    </w:p>
    <w:p>
      <w:r>
        <w:rPr>
          <w:lang w:bidi="ar"/>
        </w:rPr>
        <w:t>街道空间：规划设计各种环境优美、尺度宜人的绿化林荫街等。</w:t>
      </w:r>
    </w:p>
    <w:p>
      <w:r>
        <w:rPr>
          <w:lang w:bidi="ar"/>
        </w:rPr>
        <w:t>广场空间：政府广场是是重要的景观节点，起到标志性场所的作用。广场的规划设计可融入当地传统文化，中心地带布置主题雕塑、花坛，周围以文化墙围合、安设座椅，中轴采用天然花岗石铺砌，四周绿化运用规则的几何图形，创造安宁、卫生、舒适的环境 。</w:t>
      </w:r>
    </w:p>
    <w:p>
      <w:r>
        <w:rPr>
          <w:lang w:bidi="ar"/>
        </w:rPr>
        <w:t>绿化空间：规划城镇的各类公共绿地、生产防护绿地不仅起到改善环境的作用，更应注重其美化城镇的景观作用，并突出绿化的地方景观特色。</w:t>
      </w:r>
    </w:p>
    <w:p>
      <w:pPr>
        <w:pStyle w:val="3"/>
        <w:rPr>
          <w:rFonts w:ascii="Times New Roman" w:hAnsi="Times New Roman"/>
        </w:rPr>
      </w:pPr>
      <w:bookmarkStart w:id="102" w:name="_Toc10920"/>
      <w:r>
        <w:rPr>
          <w:rFonts w:ascii="Times New Roman" w:hAnsi="Times New Roman"/>
        </w:rPr>
        <w:t>道路交通系统规划</w:t>
      </w:r>
      <w:bookmarkEnd w:id="102"/>
    </w:p>
    <w:p>
      <w:pPr>
        <w:pStyle w:val="4"/>
        <w:rPr>
          <w:rFonts w:ascii="Times New Roman" w:hAnsi="Times New Roman"/>
        </w:rPr>
      </w:pPr>
      <w:r>
        <w:rPr>
          <w:rFonts w:ascii="Times New Roman" w:hAnsi="Times New Roman"/>
        </w:rPr>
        <w:t>规划目标</w:t>
      </w:r>
    </w:p>
    <w:p>
      <w:r>
        <w:t>形成高效通畅的交通网络体系；保障过境公路畅通，提高镇区道路网密度，注重与对外交通的联系和衔接。构建以慢行为主的绿色出行结构；构建尺度宜人、安全连续的慢行网络，至2035年，</w:t>
      </w:r>
      <w:r>
        <w:rPr>
          <w:rFonts w:hint="eastAsia"/>
        </w:rPr>
        <w:t>道路</w:t>
      </w:r>
      <w:r>
        <w:t>网络密度不小于8千米/平方千米。</w:t>
      </w:r>
    </w:p>
    <w:p>
      <w:pPr>
        <w:pStyle w:val="4"/>
        <w:rPr>
          <w:rFonts w:ascii="Times New Roman" w:hAnsi="Times New Roman"/>
        </w:rPr>
      </w:pPr>
      <w:r>
        <w:rPr>
          <w:rFonts w:ascii="Times New Roman" w:hAnsi="Times New Roman"/>
        </w:rPr>
        <w:t>道路交通系统</w:t>
      </w:r>
    </w:p>
    <w:p>
      <w:r>
        <w:rPr>
          <w:lang w:bidi="ar"/>
        </w:rPr>
        <w:t>1.干路</w:t>
      </w:r>
    </w:p>
    <w:p>
      <w:r>
        <w:rPr>
          <w:lang w:bidi="ar"/>
        </w:rPr>
        <w:t>本次规划形成</w:t>
      </w:r>
      <w:r>
        <w:rPr>
          <w:rFonts w:hint="eastAsia"/>
          <w:lang w:bidi="ar"/>
        </w:rPr>
        <w:t>四</w:t>
      </w:r>
      <w:r>
        <w:rPr>
          <w:lang w:bidi="ar"/>
        </w:rPr>
        <w:t>纵</w:t>
      </w:r>
      <w:r>
        <w:rPr>
          <w:rFonts w:hint="eastAsia"/>
          <w:lang w:bidi="ar"/>
        </w:rPr>
        <w:t>五</w:t>
      </w:r>
      <w:r>
        <w:rPr>
          <w:lang w:bidi="ar"/>
        </w:rPr>
        <w:t>横的干路系统，其中</w:t>
      </w:r>
      <w:r>
        <w:rPr>
          <w:rFonts w:hint="eastAsia"/>
          <w:lang w:bidi="ar"/>
        </w:rPr>
        <w:t>三</w:t>
      </w:r>
      <w:r>
        <w:rPr>
          <w:lang w:bidi="ar"/>
        </w:rPr>
        <w:t>纵指</w:t>
      </w:r>
      <w:r>
        <w:rPr>
          <w:rFonts w:hint="eastAsia"/>
          <w:lang w:bidi="ar"/>
        </w:rPr>
        <w:t>西环路</w:t>
      </w:r>
      <w:r>
        <w:rPr>
          <w:lang w:bidi="ar"/>
        </w:rPr>
        <w:t>、赤眉大道、</w:t>
      </w:r>
      <w:r>
        <w:rPr>
          <w:rFonts w:hint="eastAsia"/>
          <w:lang w:bidi="ar"/>
        </w:rPr>
        <w:t>谷城街、G241</w:t>
      </w:r>
      <w:r>
        <w:rPr>
          <w:lang w:bidi="ar"/>
        </w:rPr>
        <w:t>，</w:t>
      </w:r>
      <w:r>
        <w:rPr>
          <w:rFonts w:hint="eastAsia"/>
          <w:lang w:bidi="ar"/>
        </w:rPr>
        <w:t>三</w:t>
      </w:r>
      <w:r>
        <w:rPr>
          <w:lang w:bidi="ar"/>
        </w:rPr>
        <w:t>横指</w:t>
      </w:r>
      <w:r>
        <w:rPr>
          <w:rFonts w:hint="eastAsia"/>
          <w:lang w:bidi="ar"/>
        </w:rPr>
        <w:t>Y041</w:t>
      </w:r>
      <w:r>
        <w:rPr>
          <w:lang w:bidi="ar"/>
        </w:rPr>
        <w:t>、</w:t>
      </w:r>
      <w:r>
        <w:rPr>
          <w:rFonts w:hint="eastAsia"/>
          <w:lang w:bidi="ar"/>
        </w:rPr>
        <w:t>永青路、文明路</w:t>
      </w:r>
      <w:r>
        <w:rPr>
          <w:lang w:bidi="ar"/>
        </w:rPr>
        <w:t>、</w:t>
      </w:r>
      <w:r>
        <w:rPr>
          <w:rFonts w:hint="eastAsia"/>
          <w:lang w:bidi="ar"/>
        </w:rPr>
        <w:t>振兴街-永安路、永青街</w:t>
      </w:r>
      <w:r>
        <w:rPr>
          <w:lang w:bidi="ar"/>
        </w:rPr>
        <w:t>。主干道红线宽度24-30米左右</w:t>
      </w:r>
      <w:r>
        <w:rPr>
          <w:rFonts w:hint="eastAsia"/>
          <w:lang w:bidi="ar"/>
        </w:rPr>
        <w:t>，</w:t>
      </w:r>
      <w:r>
        <w:rPr>
          <w:lang w:bidi="ar"/>
        </w:rPr>
        <w:t>次主干间距200-300米，红线宽度12-18米。</w:t>
      </w:r>
    </w:p>
    <w:p>
      <w:r>
        <w:rPr>
          <w:lang w:bidi="ar"/>
        </w:rPr>
        <w:t>2.支路</w:t>
      </w:r>
    </w:p>
    <w:p>
      <w:r>
        <w:rPr>
          <w:lang w:bidi="ar"/>
        </w:rPr>
        <w:t>支路为城市巷道，规划红线宽度7-12米。</w:t>
      </w:r>
    </w:p>
    <w:p>
      <w:pPr>
        <w:pStyle w:val="4"/>
        <w:rPr>
          <w:rFonts w:ascii="Times New Roman" w:hAnsi="Times New Roman"/>
        </w:rPr>
      </w:pPr>
      <w:r>
        <w:rPr>
          <w:rFonts w:ascii="Times New Roman" w:hAnsi="Times New Roman"/>
        </w:rPr>
        <w:t>公共交通规划</w:t>
      </w:r>
    </w:p>
    <w:p>
      <w:r>
        <w:t>规划沿赤眉大道、</w:t>
      </w:r>
      <w:r>
        <w:rPr>
          <w:rFonts w:hint="eastAsia"/>
        </w:rPr>
        <w:t>振兴街-永安路</w:t>
      </w:r>
      <w:r>
        <w:t>设</w:t>
      </w:r>
      <w:r>
        <w:rPr>
          <w:rFonts w:hint="eastAsia"/>
        </w:rPr>
        <w:t>置</w:t>
      </w:r>
      <w:r>
        <w:t>公交路线</w:t>
      </w:r>
      <w:r>
        <w:rPr>
          <w:rFonts w:hint="eastAsia"/>
        </w:rPr>
        <w:t>及</w:t>
      </w:r>
      <w:r>
        <w:t>停靠站。</w:t>
      </w:r>
    </w:p>
    <w:p>
      <w:pPr>
        <w:pStyle w:val="4"/>
        <w:rPr>
          <w:rFonts w:ascii="Times New Roman" w:hAnsi="Times New Roman"/>
        </w:rPr>
      </w:pPr>
      <w:r>
        <w:rPr>
          <w:rFonts w:ascii="Times New Roman" w:hAnsi="Times New Roman"/>
        </w:rPr>
        <w:t>停车设施规划</w:t>
      </w:r>
    </w:p>
    <w:p>
      <w:r>
        <w:t>规划1处社会停车场，位于赤眉大道与</w:t>
      </w:r>
      <w:r>
        <w:rPr>
          <w:rFonts w:hint="eastAsia"/>
        </w:rPr>
        <w:t>文明</w:t>
      </w:r>
      <w:r>
        <w:t>路交汇处，用地面积0.</w:t>
      </w:r>
      <w:r>
        <w:rPr>
          <w:rFonts w:hint="eastAsia"/>
        </w:rPr>
        <w:t>32</w:t>
      </w:r>
      <w:r>
        <w:t>公顷。</w:t>
      </w:r>
    </w:p>
    <w:p>
      <w:pPr>
        <w:pStyle w:val="4"/>
        <w:rPr>
          <w:rFonts w:ascii="Times New Roman" w:hAnsi="Times New Roman"/>
        </w:rPr>
      </w:pPr>
      <w:r>
        <w:rPr>
          <w:rFonts w:ascii="Times New Roman" w:hAnsi="Times New Roman"/>
        </w:rPr>
        <w:t>慢行系统规划</w:t>
      </w:r>
    </w:p>
    <w:p>
      <w:r>
        <w:t>推进绿道系统建设，打造以镇区次干路为骨架、支路为补充的两级慢行绿道系统，加强滨河绿地建设，构建安全连续的慢行系统。各次干路串联镇区休闲绿地，并沿次干路两侧打造休闲绿道；各支路深入至居住组团，便捷联通小游园、街头绿地；结合党建文化广场、滨河公园绿地等设置慢性游憩公园。</w:t>
      </w:r>
    </w:p>
    <w:p>
      <w:r>
        <w:t>城乡公交站点与慢行系统结合设置，建设便于居民使用的慢行体系。</w:t>
      </w:r>
    </w:p>
    <w:p>
      <w:pPr>
        <w:pStyle w:val="3"/>
        <w:rPr>
          <w:rFonts w:ascii="Times New Roman" w:hAnsi="Times New Roman"/>
        </w:rPr>
      </w:pPr>
      <w:bookmarkStart w:id="103" w:name="_Toc129799057"/>
      <w:bookmarkStart w:id="104" w:name="_Toc633"/>
      <w:r>
        <w:rPr>
          <w:rFonts w:ascii="Times New Roman" w:hAnsi="Times New Roman"/>
        </w:rPr>
        <w:t>基础设施</w:t>
      </w:r>
      <w:bookmarkEnd w:id="103"/>
      <w:r>
        <w:rPr>
          <w:rFonts w:ascii="Times New Roman" w:hAnsi="Times New Roman"/>
        </w:rPr>
        <w:t>规划</w:t>
      </w:r>
      <w:bookmarkEnd w:id="104"/>
    </w:p>
    <w:p>
      <w:pPr>
        <w:pStyle w:val="4"/>
        <w:rPr>
          <w:rFonts w:ascii="Times New Roman" w:hAnsi="Times New Roman"/>
        </w:rPr>
      </w:pPr>
      <w:r>
        <w:rPr>
          <w:rFonts w:ascii="Times New Roman" w:hAnsi="Times New Roman"/>
        </w:rPr>
        <w:t>给水工程规划</w:t>
      </w:r>
    </w:p>
    <w:p>
      <w:r>
        <w:t>1.用水量预测</w:t>
      </w:r>
    </w:p>
    <w:p>
      <w:r>
        <w:t>规划范围最高日用水量约为2491立方米/日。</w:t>
      </w:r>
    </w:p>
    <w:p>
      <w:r>
        <w:t>2.水厂规划</w:t>
      </w:r>
    </w:p>
    <w:p>
      <w:r>
        <w:t>规划新建赤眉给水厂，规模为0.4万立方米/日，水源为斩龙岗水库。</w:t>
      </w:r>
    </w:p>
    <w:p>
      <w:r>
        <w:t>3.供水管网规划</w:t>
      </w:r>
    </w:p>
    <w:p>
      <w:r>
        <w:t>沿古城街等道路敷设DN200给水管，沿振兴街等道路敷设DN150给水管。规划给水管与相交道路给水管相接，形成安全可靠的环状供水系统。。</w:t>
      </w:r>
    </w:p>
    <w:p>
      <w:pPr>
        <w:pStyle w:val="4"/>
        <w:rPr>
          <w:rFonts w:ascii="Times New Roman" w:hAnsi="Times New Roman"/>
        </w:rPr>
      </w:pPr>
      <w:r>
        <w:rPr>
          <w:rFonts w:ascii="Times New Roman" w:hAnsi="Times New Roman"/>
        </w:rPr>
        <w:t>排水工程规划</w:t>
      </w:r>
    </w:p>
    <w:p>
      <w:r>
        <w:t>1.污水工程</w:t>
      </w:r>
    </w:p>
    <w:p>
      <w:r>
        <w:t>规划镇区实行雨污分流制排水系统。</w:t>
      </w:r>
    </w:p>
    <w:p>
      <w:r>
        <w:t>预测镇区</w:t>
      </w:r>
      <w:r>
        <w:rPr>
          <w:lang w:bidi="ar"/>
        </w:rPr>
        <w:t>平均日污水量为913立方米/日</w:t>
      </w:r>
      <w:r>
        <w:t>。</w:t>
      </w:r>
    </w:p>
    <w:p>
      <w:r>
        <w:t>规划新建赤眉污水处理厂，规模为0.25万立方米/日，位于镇区东南角；污水处理厂出水水质要求达到《城镇污水处理厂污染物排放标准》（GB 18918-2002）中规定的一级A标准，处理达标后排入湍河。</w:t>
      </w:r>
    </w:p>
    <w:p>
      <w:r>
        <w:t>沿谷城街、振兴街等道路敷设d400~d600污水管，污水最终排入赤眉污水处理厂。</w:t>
      </w:r>
    </w:p>
    <w:p>
      <w:r>
        <w:t>3.雨水工程</w:t>
      </w:r>
    </w:p>
    <w:p>
      <w:r>
        <w:t>镇区雨水管渠设计重现期为2～3年；镇区的重要地区如行政中心、学校、医院、商业聚集区等雨水管渠设计重现期为3～5年；镇区的地下通道和下沉式广场等雨水管渠设计重现期为10～20年</w:t>
      </w:r>
      <w:r>
        <w:rPr>
          <w:szCs w:val="24"/>
        </w:rPr>
        <w:t>。</w:t>
      </w:r>
    </w:p>
    <w:p>
      <w:r>
        <w:t>规划镇区沿东西方向道路敷设d500~d800雨水管，雨水向东排入湍河；规划沿南北方向道路敷设d500~d700雨水管，雨水就近排入水系。</w:t>
      </w:r>
    </w:p>
    <w:p>
      <w:pPr>
        <w:pStyle w:val="4"/>
        <w:rPr>
          <w:rFonts w:ascii="Times New Roman" w:hAnsi="Times New Roman"/>
        </w:rPr>
      </w:pPr>
      <w:r>
        <w:rPr>
          <w:rFonts w:ascii="Times New Roman" w:hAnsi="Times New Roman"/>
        </w:rPr>
        <w:t>电力工程规划</w:t>
      </w:r>
    </w:p>
    <w:p>
      <w:r>
        <w:t>1.用电负荷预测</w:t>
      </w:r>
    </w:p>
    <w:p>
      <w:r>
        <w:t>预测镇区用电负荷约为15.75兆瓦。</w:t>
      </w:r>
    </w:p>
    <w:p>
      <w:r>
        <w:t>2.供电设施规划</w:t>
      </w:r>
    </w:p>
    <w:p>
      <w:r>
        <w:t>规划保留现状35千伏赤眉变，供电容量为2×10兆伏安。</w:t>
      </w:r>
    </w:p>
    <w:p>
      <w:r>
        <w:t>依据《城市电力规划规范》（GB/T 50293-2014），110千伏高压线设置25-30米宽的高压走廊；35千伏高压线设置20-25米宽的高压走廊。根据《电力设施保护条例实施细则》要求廊道内不得进行建设及危害电力设施的行为。</w:t>
      </w:r>
    </w:p>
    <w:p>
      <w:r>
        <w:t>10千伏电力线沿干道采用地埋电缆沟的敷设方式，并在重点地段形成环路，以保证供电可靠安全性，同时确保每一个地块均能从临路一侧方便接入10千伏电源线。尽量避免架空铺设，不仅防止镇区景观的破坏，还能减少因人为原因造成的事故。为减少10千伏线路出线紧张问题，在镇区用电负荷中心相应位置设置市政公用开闭所。</w:t>
      </w:r>
    </w:p>
    <w:p>
      <w:r>
        <w:t>电力线路沿规划道路敷设，布置在道路东侧或南侧。</w:t>
      </w:r>
    </w:p>
    <w:p>
      <w:pPr>
        <w:pStyle w:val="4"/>
        <w:rPr>
          <w:rFonts w:ascii="Times New Roman" w:hAnsi="Times New Roman"/>
        </w:rPr>
      </w:pPr>
      <w:r>
        <w:rPr>
          <w:rFonts w:ascii="Times New Roman" w:hAnsi="Times New Roman"/>
        </w:rPr>
        <w:t>通信工程规划</w:t>
      </w:r>
    </w:p>
    <w:p>
      <w:r>
        <w:t>1.邮政设施与电信设施规划</w:t>
      </w:r>
    </w:p>
    <w:p>
      <w:r>
        <w:t>规划保留赤眉镇现状邮政支局1处，位于振兴街上。规划沿主干道每隔500米设信箱一个，住宅楼各单元入口处设报箱。</w:t>
      </w:r>
    </w:p>
    <w:p>
      <w:r>
        <w:t>2.广播电视设施规划</w:t>
      </w:r>
    </w:p>
    <w:p>
      <w:r>
        <w:t>规划广播电视综合交叉覆盖率达到98％以上，有线电视入户实现数字化、传输线路全部采用光缆，埋户率达100％。摄、播、编设备实现数字化，构筑信息平台和传输网络，开发广播电视现场直播、图文电视、电视购物、电视会议、自动播出、互联网等业务。</w:t>
      </w:r>
    </w:p>
    <w:p>
      <w:pPr>
        <w:pStyle w:val="4"/>
        <w:rPr>
          <w:rFonts w:ascii="Times New Roman" w:hAnsi="Times New Roman"/>
        </w:rPr>
      </w:pPr>
      <w:r>
        <w:rPr>
          <w:rFonts w:ascii="Times New Roman" w:hAnsi="Times New Roman"/>
        </w:rPr>
        <w:t>燃气工程规划</w:t>
      </w:r>
    </w:p>
    <w:p>
      <w:r>
        <w:t>1.用气负荷预测</w:t>
      </w:r>
    </w:p>
    <w:p>
      <w:r>
        <w:t>预测镇区用气负荷约1485立方米/日。</w:t>
      </w:r>
    </w:p>
    <w:p>
      <w:r>
        <w:t>2.燃气管网规划</w:t>
      </w:r>
    </w:p>
    <w:p>
      <w:r>
        <w:t>规划沿谷城街等道路敷设de160中压燃气管线，沿振兴街等道路敷设de110中压燃气管线；燃气管线呈环状布置，局部为支状。</w:t>
      </w:r>
    </w:p>
    <w:p>
      <w:pPr>
        <w:pStyle w:val="4"/>
        <w:rPr>
          <w:rFonts w:ascii="Times New Roman" w:hAnsi="Times New Roman"/>
        </w:rPr>
      </w:pPr>
      <w:r>
        <w:rPr>
          <w:rFonts w:ascii="Times New Roman" w:hAnsi="Times New Roman"/>
        </w:rPr>
        <w:t>热力工程规划</w:t>
      </w:r>
    </w:p>
    <w:p>
      <w:r>
        <w:t>1.热负荷预测</w:t>
      </w:r>
    </w:p>
    <w:p>
      <w:r>
        <w:t>预测镇区采暖热负荷约60.26兆瓦。</w:t>
      </w:r>
    </w:p>
    <w:p>
      <w:r>
        <w:t>2.热源规划</w:t>
      </w:r>
    </w:p>
    <w:p>
      <w:r>
        <w:t>规划镇区采用分区域集中供热模式，热源为电能、风能、燃气等清洁能源，规划在镇区内设置3座供热站。</w:t>
      </w:r>
    </w:p>
    <w:p>
      <w:pPr>
        <w:pStyle w:val="4"/>
        <w:rPr>
          <w:rFonts w:ascii="Times New Roman" w:hAnsi="Times New Roman"/>
        </w:rPr>
      </w:pPr>
      <w:r>
        <w:rPr>
          <w:rFonts w:ascii="Times New Roman" w:hAnsi="Times New Roman"/>
        </w:rPr>
        <w:t>环卫工程规划</w:t>
      </w:r>
    </w:p>
    <w:p>
      <w:r>
        <w:t>1.生活垃圾量预测</w:t>
      </w:r>
    </w:p>
    <w:p>
      <w:r>
        <w:t>2035年，镇区规划人口约0.99万，人均生活垃圾产生量1.0千克/人·日进行预测。规划至2035年，中心城区预测生活垃圾产量为9.9吨/日。</w:t>
      </w:r>
    </w:p>
    <w:p>
      <w:r>
        <w:t>2.垃圾收运与处置</w:t>
      </w:r>
    </w:p>
    <w:p>
      <w:r>
        <w:t>中心城区建立二级转运系统，生活垃圾由垃圾收集点收集后运送至生活垃圾收集站，再运输至规划垃圾转运站进行压缩处理，直接送至垃圾处理场统一处理。</w:t>
      </w:r>
    </w:p>
    <w:p>
      <w:r>
        <w:t>建筑垃圾运至建筑垃圾处理厂进行处理；医疗垃圾应采用医疗卫生垃圾专用车运输，统一运输至南阳市医疗垃圾集中处理中心处理；工业一般垃圾以各厂区内部处置为主，资源化与最终处置相结合；危险废弃物纳入南阳市危废处置系统，运至危废处置中心安全处置。</w:t>
      </w:r>
    </w:p>
    <w:p>
      <w:r>
        <w:t>3.环卫设施布局</w:t>
      </w:r>
    </w:p>
    <w:p>
      <w:r>
        <w:t>规划一座小型（V）生活垃圾转运站，转运规模为40吨/日，占地面积0.43公顷。</w:t>
      </w:r>
    </w:p>
    <w:p>
      <w:r>
        <w:t>镇区需环卫停车场面积0.25公顷。规划1处环卫车辆停车场，结合垃圾转运站停放。</w:t>
      </w:r>
    </w:p>
    <w:p>
      <w:pPr>
        <w:pStyle w:val="3"/>
        <w:rPr>
          <w:rFonts w:ascii="Times New Roman" w:hAnsi="Times New Roman"/>
        </w:rPr>
      </w:pPr>
      <w:bookmarkStart w:id="105" w:name="_Toc129799058"/>
      <w:bookmarkStart w:id="106" w:name="_Toc23816"/>
      <w:bookmarkStart w:id="107" w:name="_Toc127350193"/>
      <w:r>
        <w:rPr>
          <w:rFonts w:ascii="Times New Roman" w:hAnsi="Times New Roman"/>
        </w:rPr>
        <w:t>综合防灾</w:t>
      </w:r>
      <w:bookmarkEnd w:id="105"/>
      <w:r>
        <w:rPr>
          <w:rFonts w:ascii="Times New Roman" w:hAnsi="Times New Roman"/>
        </w:rPr>
        <w:t>减灾规划</w:t>
      </w:r>
      <w:bookmarkEnd w:id="106"/>
    </w:p>
    <w:bookmarkEnd w:id="107"/>
    <w:p>
      <w:pPr>
        <w:pStyle w:val="4"/>
        <w:rPr>
          <w:rFonts w:ascii="Times New Roman" w:hAnsi="Times New Roman"/>
        </w:rPr>
      </w:pPr>
      <w:r>
        <w:rPr>
          <w:rFonts w:ascii="Times New Roman" w:hAnsi="Times New Roman"/>
        </w:rPr>
        <w:t xml:space="preserve"> 防灾策略</w:t>
      </w:r>
    </w:p>
    <w:p>
      <w:r>
        <w:t>完善避难场所和疏散通道体系，健全各类防灾设施体系，加强生命线系统应急保障能力，优化应急服务设施布局，构建基于社区层面的防灾生活圈，通过灾害隐患点治理全面降低镇区的灾害风险，提高镇区的防灾减灾救灾能力。</w:t>
      </w:r>
    </w:p>
    <w:p>
      <w:r>
        <w:t>地震的避难设施可结合室外的开放空间；地质灾害的避难设施可结合远离隐患点的室外开放空间；洪涝灾害的避难设施可选择较高的楼栋；气象灾害的避难设施应结合建筑，牢固，抗风性强的场所；空袭的避难设施可结合人防地下避难所；危险化学品（重大危险源）的避难设施可结合远离危险源、防毒防爆防燃的场所。</w:t>
      </w:r>
    </w:p>
    <w:p>
      <w:r>
        <w:t>隔离设施可结合公园、广场、学校、酒店等；康复隔离场所可结合学校、酒店等。</w:t>
      </w:r>
    </w:p>
    <w:p>
      <w:r>
        <w:t>救灾物资的储存可结合大中小型商业超市</w:t>
      </w:r>
      <w:r>
        <w:rPr>
          <w:rFonts w:hint="eastAsia"/>
        </w:rPr>
        <w:t>；</w:t>
      </w:r>
      <w:r>
        <w:t>救灾物资的运输可结合专业的物流团队，包括顺丰、京东、菜鸟等；救灾物资的生产可组织其他相关企业参与。</w:t>
      </w:r>
    </w:p>
    <w:p>
      <w:r>
        <w:t>灾时的重大救治服务可结合专业的医院、急救中心、急救站；简单救治服务可结合应急医疗点、社区卫生服务中心、大型避难场所上的应急医疗设施。</w:t>
      </w:r>
    </w:p>
    <w:p>
      <w:r>
        <w:t>专业指挥设施应结合镇政府设置，临时指挥设施可结合避难场所、公园、广场、人防设施和地下空间进行设置。</w:t>
      </w:r>
    </w:p>
    <w:p>
      <w:pPr>
        <w:pStyle w:val="4"/>
        <w:rPr>
          <w:rFonts w:ascii="Times New Roman" w:hAnsi="Times New Roman"/>
        </w:rPr>
      </w:pPr>
      <w:r>
        <w:rPr>
          <w:rFonts w:ascii="Times New Roman" w:hAnsi="Times New Roman"/>
        </w:rPr>
        <w:t>综合防灾设施规划</w:t>
      </w:r>
    </w:p>
    <w:p>
      <w:r>
        <w:t>（1）应急指挥系统</w:t>
      </w:r>
    </w:p>
    <w:p>
      <w:r>
        <w:t>规划设置1处镇级综合防灾应急指挥中心，设置在镇人民政府，以中心避难场所配建的临时指挥部为临时应急指挥中心。</w:t>
      </w:r>
    </w:p>
    <w:p>
      <w:r>
        <w:t>（2）应急疏散通道</w:t>
      </w:r>
    </w:p>
    <w:p>
      <w:r>
        <w:t>应急通道分为救灾干道、疏散主通道、疏散次通道。其中规划救灾干道1条，为赤眉大道，规划疏散主干路主要依托城市主干道进行规划，结合城市次干道设置城市疏散次通道，支路作为一般疏散通道。</w:t>
      </w:r>
    </w:p>
    <w:p>
      <w:r>
        <w:t>应急通道应保证震后有效宽度救灾干道不小于15米、疏散主通道不小于7米，疏散次通道不小于4米。严格控制应急通道两侧的建筑高度及建筑后退红线距离。</w:t>
      </w:r>
    </w:p>
    <w:p>
      <w:r>
        <w:t>（3）应急避难场所</w:t>
      </w:r>
    </w:p>
    <w:p>
      <w:r>
        <w:t>规划镇区建设2处应急避难场所，分别位于赤眉镇中学和镇政府广场。</w:t>
      </w:r>
    </w:p>
    <w:p>
      <w:r>
        <w:t>（4）应急物资保障</w:t>
      </w:r>
    </w:p>
    <w:p>
      <w:r>
        <w:t>规划结合镇人民政府设置一处应急物资储备站，结合应急避难场所，设置1处应急物资分发站。</w:t>
      </w:r>
    </w:p>
    <w:p>
      <w:r>
        <w:t>（5）应急消防设施</w:t>
      </w:r>
    </w:p>
    <w:p>
      <w:r>
        <w:t>规划镇区结合政府、企业设置单位微型消防站，结合社区服务中心设置社区微型消防站。</w:t>
      </w:r>
    </w:p>
    <w:p>
      <w:r>
        <w:t>（6）应急医疗设施</w:t>
      </w:r>
    </w:p>
    <w:p>
      <w:r>
        <w:t>构建“急救医院—救护站”二级医疗救护机构。内乡县赤眉镇卫生院，社区医疗卫生服务中心为救护站。</w:t>
      </w:r>
    </w:p>
    <w:p>
      <w:r>
        <w:t>（7）生命线工程</w:t>
      </w:r>
    </w:p>
    <w:p>
      <w:r>
        <w:t>增强生命线工程检测预警能力，提高城市失电、失水、失网等大灾极端条件下初期应急救援能力，提升城市快速恢复能力。构建分布式应急能源系统，保障能源供应安全。</w:t>
      </w:r>
    </w:p>
    <w:p>
      <w:pPr>
        <w:pStyle w:val="4"/>
        <w:rPr>
          <w:rFonts w:ascii="Times New Roman" w:hAnsi="Times New Roman"/>
        </w:rPr>
      </w:pPr>
      <w:r>
        <w:rPr>
          <w:rFonts w:ascii="Times New Roman" w:hAnsi="Times New Roman"/>
        </w:rPr>
        <w:t>消防工程规划</w:t>
      </w:r>
    </w:p>
    <w:p>
      <w:r>
        <w:t>（1）消防规划</w:t>
      </w:r>
    </w:p>
    <w:p>
      <w:r>
        <w:t>规划镇区结合政府、企业设置单位微型消防站，结合社区服务中心设置社区微型消防站。</w:t>
      </w:r>
    </w:p>
    <w:p>
      <w:r>
        <w:t>（2）消防指挥中心</w:t>
      </w:r>
    </w:p>
    <w:p>
      <w:r>
        <w:t>规划镇政府作为消防指挥中心。</w:t>
      </w:r>
    </w:p>
    <w:p>
      <w:r>
        <w:t>（3）消防供水规划</w:t>
      </w:r>
    </w:p>
    <w:p>
      <w:r>
        <w:t>镇区利用水厂作为消防水源，规划设置相应的消防车取水点，结合公园绿地设置消防水池，储备消防水源。</w:t>
      </w:r>
    </w:p>
    <w:p>
      <w:r>
        <w:t>（4）消防通信</w:t>
      </w:r>
    </w:p>
    <w:p>
      <w:r>
        <w:t>镇区规划以有线通讯系统为主要消防通讯方式，随着电讯公众网的发展，有线通讯应尽量利用电信局公众网的大通路。合理利用有线广播和电话系统，保证火灾发生时，及时拔打“119”火警专线。</w:t>
      </w:r>
    </w:p>
    <w:p>
      <w:r>
        <w:t>（5）消防通道规划</w:t>
      </w:r>
    </w:p>
    <w:p>
      <w:r>
        <w:t>规划赤眉镇区各主要道路为消防通道，为保证消防安全，严禁沿路乱搭乱建，车辆违章上道。对现有道路应加强管理和改造，取缔马路市场，按规划增设停车场，提高道路的利用效率。任何单位和个人，不准挖掘或占用消防车通道。必须临时挖掘或占用时，批准单位必须及时通知公安消防监督机构。另外各单位进行建设时，应严格按照建筑防火设计规范留出消防车通道，保证消防车辆顺畅出入。</w:t>
      </w:r>
    </w:p>
    <w:p>
      <w:pPr>
        <w:pStyle w:val="4"/>
        <w:rPr>
          <w:rFonts w:ascii="Times New Roman" w:hAnsi="Times New Roman"/>
        </w:rPr>
      </w:pPr>
      <w:r>
        <w:rPr>
          <w:rFonts w:ascii="Times New Roman" w:hAnsi="Times New Roman"/>
        </w:rPr>
        <w:t>防洪工程规划</w:t>
      </w:r>
    </w:p>
    <w:p>
      <w:r>
        <w:t>（1）规划原则</w:t>
      </w:r>
    </w:p>
    <w:p>
      <w:r>
        <w:t>防洪规划应与城镇环境保护、城镇给水排水、道路交通和电力电讯等基础生命工程紧密结合，协调一致，统一规划；城镇防洪应与农业、林业的水土保持，植树造林，农田灌溉等密切结合；坚持以导为主，以排为辅，使洪水能及时排出；充分利用现有的设施，坚持远期、近期有机衔接的原则，既节省初期投资，又能及时发挥工程设施的作用，为远期发展留有余地。</w:t>
      </w:r>
    </w:p>
    <w:p>
      <w:r>
        <w:t>（2）防洪标准</w:t>
      </w:r>
    </w:p>
    <w:p>
      <w:r>
        <w:t>按照国家《防洪标准》（GB50201-2014）和《城市防洪工程设计规范》（GB/T 50805-2012）以及《内乡县国土空间总体规划（2021—2035年）》的有关要求，确定赤眉镇防洪规划标准为20年一遇洪水。</w:t>
      </w:r>
    </w:p>
    <w:p>
      <w:r>
        <w:t>（3）防洪工程措施</w:t>
      </w:r>
    </w:p>
    <w:p>
      <w:r>
        <w:t>规划建设镇区雨水排放管网。经常性地对镇域坑塘进行清淤、挖深，理顺排水系统。规划采用的防洪措施为：加固堤防，加强河道整治，保证河流发生标准以下洪水时不决口；开挖疏浚流河道，恢复和提高河道的泄洪能力，消除河道内的行洪障碍，禁止建设永久设施，以利行洪。</w:t>
      </w:r>
    </w:p>
    <w:p>
      <w:pPr>
        <w:pStyle w:val="4"/>
        <w:rPr>
          <w:rFonts w:ascii="Times New Roman" w:hAnsi="Times New Roman"/>
        </w:rPr>
      </w:pPr>
      <w:r>
        <w:rPr>
          <w:rFonts w:ascii="Times New Roman" w:hAnsi="Times New Roman"/>
        </w:rPr>
        <w:t>抗震工程规划</w:t>
      </w:r>
    </w:p>
    <w:p>
      <w:r>
        <w:t>规划镇区按地震基本烈度七度设防，所有新建、改扩建工程，从场址选择、平面规划、工程设计、方案审查、规划发证、施工管理直至验收，都必须强化严格按标准进行抗震设防的要求。</w:t>
      </w:r>
    </w:p>
    <w:p>
      <w:r>
        <w:t>（1）规划目标</w:t>
      </w:r>
    </w:p>
    <w:p>
      <w:r>
        <w:t>全面完成新建建筑物、构筑物和生命线及重要工程的设防，做好土地合理利用规划，镇区的建设结合抗震防灾的要求，建立防灾措施，使镇区的道路、绿化及各类广场的标准有明显提高，为避震疏散提供交通及场所，消除次生灾害隐患，对镇区内老城区存在灾害隐患的建筑、设施进行改造，达到设防标准，全面提高镇区综合抗震能力。</w:t>
      </w:r>
    </w:p>
    <w:p>
      <w:r>
        <w:t>（2）抗震设防标准</w:t>
      </w:r>
    </w:p>
    <w:p>
      <w:r>
        <w:t>一般工业与民用建筑，抗震措施按《建筑抗震设计规范》GB50011-2010（2016年版）七度标准设防，镇区的生命线及主要工程（包括供电、供水、供气、通讯、消防、医疗等）系统关键的生产用房和大型公建构造措施应按《建筑抗震设计规范》八度标准设防。北侧新增加的铁路物流基地应按《建筑抗震设计规范》八度标准设防。</w:t>
      </w:r>
    </w:p>
    <w:p>
      <w:r>
        <w:t>（3）避震疏散</w:t>
      </w:r>
    </w:p>
    <w:p>
      <w:r>
        <w:t>疏散道路：镇区总体规划所确定的干道作为避震疏散道路，应注意干道两侧房屋倒塌给道路造成有效宽度减少的情况。疏散道路主要作用于震前、震后进行人员疏散及消防、救援车辆的通行。</w:t>
      </w:r>
    </w:p>
    <w:p>
      <w:r>
        <w:t>避震场所：避震场所在震后是抢险救灾的主要活动场所，是疏散人员临时避难生活区，是食品物资集中分发、抢救伤员、医疗及群众和平目标的场所，一般以学校操场、公园、绿地为主。</w:t>
      </w:r>
    </w:p>
    <w:p>
      <w:pPr>
        <w:pStyle w:val="4"/>
        <w:rPr>
          <w:rFonts w:ascii="Times New Roman" w:hAnsi="Times New Roman"/>
        </w:rPr>
      </w:pPr>
      <w:r>
        <w:rPr>
          <w:rFonts w:ascii="Times New Roman" w:hAnsi="Times New Roman"/>
        </w:rPr>
        <w:t>人防工程规划</w:t>
      </w:r>
    </w:p>
    <w:p>
      <w:r>
        <w:t>本次规划人防工程面积按每人1平方米。镇区规划远期城镇人口1.08万人，按战时30%留城人口计算，规划远期人防工程面积3000平方米，物资储备满足留城人员3个月的用量。</w:t>
      </w:r>
    </w:p>
    <w:p>
      <w:r>
        <w:t>规划应满足《南阳市城市规划管理技术规定（试行）》中的有关规定。结合建设项目配建人防工程面积应符合下列标准：居住用地项目、公共管理与公共服务设施用地项目、商业服务业设施用地项目，按地上总建筑面积的8%配建6级以上（含）防空地下室；工业用地项目中的工业生产厂房不配建人防工程，工业用地项目中的其他建筑设施按地上总建筑面积的5%配建6级以上（含）防空地下室；物流仓储用地项目、道路与交通设施用地项目、公用设施用地项目、绿地与广场用地项目，按地上总建筑面积的5%配建6级以上（含）防空地下室；军事用地项目、安保用地项目等，按照地上总建筑面积的8%配建6级以上（含）防空地下室。</w:t>
      </w:r>
    </w:p>
    <w:p>
      <w:r>
        <w:t>规划结合赤眉镇人民政府设置人防应急指挥中心，确定赤眉镇卫生院作为急救医院，结合物流仓储用地规划防灾物资储备中心。</w:t>
      </w:r>
    </w:p>
    <w:p>
      <w:r>
        <w:t>城镇公共绿地、广场、地下交通干线以及其它重大基础设施的规划和建设，必须充分考虑人民防空的需要，兼顾人民防空功能。规划公园绿地、广场等作为避难疏散场地。</w:t>
      </w:r>
    </w:p>
    <w:p>
      <w:r>
        <w:t>防空警报器设置的位置：保留现有的警报器，新开发区域规划警报器具体位置应合理安排。</w:t>
      </w:r>
    </w:p>
    <w:p>
      <w:pPr>
        <w:pStyle w:val="4"/>
        <w:rPr>
          <w:rFonts w:ascii="Times New Roman" w:hAnsi="Times New Roman"/>
        </w:rPr>
      </w:pPr>
      <w:r>
        <w:rPr>
          <w:rFonts w:ascii="Times New Roman" w:hAnsi="Times New Roman"/>
        </w:rPr>
        <w:t>防疫规划</w:t>
      </w:r>
    </w:p>
    <w:p>
      <w:r>
        <w:t>在赤眉镇结合卫生院设防疫站，负责本镇及周边地区防疫工作。考虑到赤眉镇农牧业发展需要及农畜产品质量安全水平，在赤眉镇镇区布局一处动物检疫站，重点负责镇域动物防疫、检疫、监督工作。</w:t>
      </w:r>
    </w:p>
    <w:p>
      <w:pPr>
        <w:pStyle w:val="3"/>
        <w:rPr>
          <w:rFonts w:ascii="Times New Roman" w:hAnsi="Times New Roman"/>
        </w:rPr>
      </w:pPr>
      <w:bookmarkStart w:id="108" w:name="_Toc24192"/>
      <w:r>
        <w:rPr>
          <w:rFonts w:ascii="Times New Roman" w:hAnsi="Times New Roman"/>
        </w:rPr>
        <w:t>控制线划定</w:t>
      </w:r>
      <w:bookmarkEnd w:id="108"/>
    </w:p>
    <w:p>
      <w:pPr>
        <w:pStyle w:val="4"/>
        <w:rPr>
          <w:rFonts w:ascii="Times New Roman" w:hAnsi="Times New Roman"/>
        </w:rPr>
      </w:pPr>
      <w:bookmarkStart w:id="109" w:name="_Hlk142924635"/>
      <w:r>
        <w:rPr>
          <w:rFonts w:ascii="Times New Roman" w:hAnsi="Times New Roman"/>
        </w:rPr>
        <w:t>道路控制线</w:t>
      </w:r>
    </w:p>
    <w:p>
      <w:r>
        <w:t>城市红线是指城市规划确定的主干路、次干路和支路等城市道路用地的边界控制线。道路“红线”控制范围内经批准可以按规划建设绿化、市政公用地上、地下杆（管）线、交通管制设施，道路环卫设施；限制建设城市雕塑、霓虹灯、广告牌位；不得建设与市政公用设施无关的杆（管）线和非城市公用的配电设施、通信设施、环卫设施、交通管制设施等。严禁在道路“红线”控制范围内进行挖沙取土等改变地形地貌活动。临街单位增设或改变出入口位置必须符合镇规划并经城乡规划行政主管部门和市政管理部门批准同意。</w:t>
      </w:r>
    </w:p>
    <w:p>
      <w:r>
        <w:t>涉及道路规划红线的新增、废止，道路等级、道路系统走向的重大调整，必须通过调整规划，按照规划审批程序报规划主管部门审批；不涉及改变道路系统、道路等级、走向的道路规划红线局部调整，可结合规划编制或项目建设工程规划设计方案，报原规划批准部门审批。</w:t>
      </w:r>
    </w:p>
    <w:p>
      <w:r>
        <w:t>道路控制线内不允许新增建设行为，根据《民用建筑设计通则》，建筑物的台阶、平台、窗井、地下建筑及建筑基础，除基地内连通城市管线以外的其他地下管线不允许突出道路红线。</w:t>
      </w:r>
    </w:p>
    <w:bookmarkEnd w:id="109"/>
    <w:p>
      <w:pPr>
        <w:pStyle w:val="4"/>
        <w:rPr>
          <w:rFonts w:ascii="Times New Roman" w:hAnsi="Times New Roman"/>
        </w:rPr>
      </w:pPr>
      <w:bookmarkStart w:id="110" w:name="_Hlk142924641"/>
      <w:r>
        <w:rPr>
          <w:rFonts w:ascii="Times New Roman" w:hAnsi="Times New Roman"/>
        </w:rPr>
        <w:t>重大基础设施和公共安全设施控制线</w:t>
      </w:r>
    </w:p>
    <w:bookmarkEnd w:id="110"/>
    <w:p>
      <w:r>
        <w:t>规划主要包括对外交通场站用地、供水厂、污水处理厂、变电站、供热站、天然气门站、垃圾处理设施、城市防洪设施及城市抗震防灾设施等用地。在城市黄线内进行建设活动，应当贯彻安全、高效、经济的方针，处理好近远期关系，根据城市发展的实际需要，分期有序实施。在符合相关规范的前提下，允许新型基础设施建设。</w:t>
      </w:r>
    </w:p>
    <w:p>
      <w:r>
        <w:t>在城市黄线范围内禁止进行下列活动：违反城市规划要求，进行建筑物、构筑物及其他设施的建设；违反国家有关技术标准和规范进行建设；未经批准，改装、迁移或拆毁原有城市基础设施；其他损坏城市基础设施或影响城市基础设施安全和正常运转的行为。</w:t>
      </w:r>
    </w:p>
    <w:p>
      <w:r>
        <w:t>重大基础设施和公共安全设施控制线内不得改作他用，不得违反法律法规、强制性标准以及批准的规划进行开发建设。违反国家有关技术标准和规范进行建设；未经批准，改装、迁移或拆毁原有城市基础设施；其他损坏城市基础设施或影响城市基础设施安全和正常运转的行为。</w:t>
      </w:r>
    </w:p>
    <w:p>
      <w:pPr>
        <w:pStyle w:val="4"/>
        <w:rPr>
          <w:rFonts w:ascii="Times New Roman" w:hAnsi="Times New Roman"/>
        </w:rPr>
      </w:pPr>
      <w:bookmarkStart w:id="111" w:name="_Hlk142924653"/>
      <w:bookmarkStart w:id="112" w:name="_Hlk142924647"/>
      <w:r>
        <w:rPr>
          <w:rFonts w:ascii="Times New Roman" w:hAnsi="Times New Roman"/>
        </w:rPr>
        <w:t>公园绿地和防护绿地控制线</w:t>
      </w:r>
    </w:p>
    <w:bookmarkEnd w:id="111"/>
    <w:p>
      <w:r>
        <w:t>将社区公园划入城市绿线。其他公园绿地、防护绿地等的绿线范围由专项规划和详细规划依照《城市绿线管理办法》具体划定。</w:t>
      </w:r>
    </w:p>
    <w:p>
      <w:r>
        <w:t>绿线严格按照《城市绿线管理办法》管控。绿线内的用地，不得改作他用，不得违反法律法规、强制性标准以及批准的规划进行开发建设。确因地市重大基础设施、国家重点工程以及城市重大防灾救灾项目建设需要占用绿线，应当由自然资源行政主管部们会同园林绿化行政主管部门组织论证，按法定程序审批后，为可调整绿线并制定占补平衡方案。在总体规划层次，未划入绿线的其他绿地可根据需要划入预控绿线。纳入预控绿线管控的绿地，应加强绿地保护与管理，严格管控侵占绿地的各项建设行为。预控绿线应当遵守总规确定的规模，在保证其服务范围不变、用地面积不减少的条件下，可分控规单元结合实际对预控绿线数据库进行滚动更新和维护，并纳入镇区控规动态维护成果。</w:t>
      </w:r>
    </w:p>
    <w:p>
      <w:r>
        <w:t>绿地控制线内的用地，不得改作他用，不得违反法律法规、强制性标准以及批准的规划进行开发建设。控制线内的用地，不得改作他用，不得违反法律法规、强制性标准以及批准的规划进行开发建设。有关部门不得违反规定，批准在城市绿线范围内进行建设。因建设或者其他特殊情况，需要临时占用城市绿线内用地的，必须依法办理相关审批手续。在城市绿线范围内，不符合规划要求的建筑物、构筑物及其他设施应当限期迁出。任何单位和个人不得在绿地控制线范围内进行拦河截溪、取土采石、设置垃圾堆场、排放污水以及其他对生态环境构成破坏的活动。近期不进行绿化建设的规划绿地范围内的建设活动，应当进行生态环境影响分析，并按照《中华人民共和国城乡规划法》的规定，予以严格控制。</w:t>
      </w:r>
    </w:p>
    <w:bookmarkEnd w:id="112"/>
    <w:p>
      <w:pPr>
        <w:pStyle w:val="3"/>
        <w:rPr>
          <w:rFonts w:ascii="Times New Roman" w:hAnsi="Times New Roman"/>
        </w:rPr>
      </w:pPr>
      <w:bookmarkStart w:id="113" w:name="_Toc16670"/>
      <w:bookmarkStart w:id="114" w:name="_Toc18376"/>
      <w:bookmarkStart w:id="115" w:name="_Toc129799054"/>
      <w:r>
        <w:rPr>
          <w:rFonts w:ascii="Times New Roman" w:hAnsi="Times New Roman"/>
        </w:rPr>
        <w:t>存量更新规划</w:t>
      </w:r>
      <w:bookmarkEnd w:id="113"/>
    </w:p>
    <w:bookmarkEnd w:id="114"/>
    <w:bookmarkEnd w:id="115"/>
    <w:p>
      <w:pPr>
        <w:pStyle w:val="4"/>
        <w:rPr>
          <w:rFonts w:ascii="Times New Roman" w:hAnsi="Times New Roman"/>
        </w:rPr>
      </w:pPr>
      <w:r>
        <w:rPr>
          <w:rFonts w:ascii="Times New Roman" w:hAnsi="Times New Roman"/>
        </w:rPr>
        <w:t>城市更新单元</w:t>
      </w:r>
    </w:p>
    <w:p>
      <w:r>
        <w:t>结合各片区功能定位和现状问题，本次规划划定</w:t>
      </w:r>
      <w:r>
        <w:rPr>
          <w:rFonts w:hint="eastAsia"/>
        </w:rPr>
        <w:t>2</w:t>
      </w:r>
      <w:r>
        <w:t>处城市更新单元，分别为北部</w:t>
      </w:r>
      <w:r>
        <w:rPr>
          <w:rFonts w:hint="eastAsia"/>
        </w:rPr>
        <w:t>、南部</w:t>
      </w:r>
      <w:r>
        <w:t>城市更新单元。</w:t>
      </w:r>
    </w:p>
    <w:p>
      <w:pPr>
        <w:pStyle w:val="4"/>
        <w:rPr>
          <w:rFonts w:ascii="Times New Roman" w:hAnsi="Times New Roman"/>
        </w:rPr>
      </w:pPr>
      <w:r>
        <w:rPr>
          <w:rFonts w:ascii="Times New Roman" w:hAnsi="Times New Roman"/>
        </w:rPr>
        <w:t>重点更新区域</w:t>
      </w:r>
    </w:p>
    <w:p>
      <w:r>
        <w:t>重点更新区域位于</w:t>
      </w:r>
      <w:r>
        <w:rPr>
          <w:rFonts w:hint="eastAsia"/>
        </w:rPr>
        <w:t>南</w:t>
      </w:r>
      <w:r>
        <w:t>部更新单元</w:t>
      </w:r>
      <w:r>
        <w:rPr>
          <w:rFonts w:hint="eastAsia"/>
        </w:rPr>
        <w:t>东</w:t>
      </w:r>
      <w:r>
        <w:t>部，该区域包含大量闲置用地、城区活力不足、城中村品质参差交错，更新面积约为14.33公顷。鼓励采用循序渐进的改造方式，补齐基础设施短板，更新公共服务设施，消除安全隐患，提升空间环境，盘活低效用地空间。</w:t>
      </w:r>
      <w:r>
        <w:br w:type="page"/>
      </w:r>
    </w:p>
    <w:p/>
    <w:p>
      <w:pPr>
        <w:pStyle w:val="2"/>
      </w:pPr>
      <w:bookmarkStart w:id="116" w:name="_Toc30684"/>
      <w:r>
        <w:t>土</w:t>
      </w:r>
      <w:r>
        <w:rPr>
          <w:rFonts w:hint="eastAsia"/>
        </w:rPr>
        <w:t>地</w:t>
      </w:r>
      <w:r>
        <w:t>综合整治与生态修复</w:t>
      </w:r>
      <w:bookmarkEnd w:id="93"/>
      <w:bookmarkEnd w:id="116"/>
    </w:p>
    <w:p>
      <w:pPr>
        <w:pStyle w:val="3"/>
        <w:rPr>
          <w:rFonts w:ascii="Times New Roman" w:hAnsi="Times New Roman"/>
        </w:rPr>
      </w:pPr>
      <w:bookmarkStart w:id="117" w:name="_Toc11093"/>
      <w:bookmarkStart w:id="118" w:name="_Toc32099"/>
      <w:bookmarkStart w:id="119" w:name="_Hlk142899891"/>
      <w:bookmarkStart w:id="120" w:name="_Toc27152"/>
      <w:r>
        <w:rPr>
          <w:rFonts w:ascii="Times New Roman" w:hAnsi="Times New Roman"/>
        </w:rPr>
        <w:t>土</w:t>
      </w:r>
      <w:r>
        <w:rPr>
          <w:rFonts w:hint="eastAsia" w:ascii="Times New Roman" w:hAnsi="Times New Roman"/>
        </w:rPr>
        <w:t>地</w:t>
      </w:r>
      <w:r>
        <w:rPr>
          <w:rFonts w:ascii="Times New Roman" w:hAnsi="Times New Roman"/>
        </w:rPr>
        <w:t>综合整治</w:t>
      </w:r>
      <w:bookmarkEnd w:id="117"/>
      <w:bookmarkEnd w:id="118"/>
      <w:bookmarkEnd w:id="119"/>
    </w:p>
    <w:p>
      <w:pPr>
        <w:pStyle w:val="4"/>
        <w:rPr>
          <w:rFonts w:ascii="Times New Roman" w:hAnsi="Times New Roman"/>
        </w:rPr>
      </w:pPr>
      <w:r>
        <w:rPr>
          <w:rFonts w:ascii="Times New Roman" w:hAnsi="Times New Roman"/>
        </w:rPr>
        <w:t>落实整治任务</w:t>
      </w:r>
    </w:p>
    <w:p>
      <w:pPr>
        <w:spacing w:before="65"/>
        <w:rPr>
          <w:lang w:bidi="ar"/>
        </w:rPr>
      </w:pPr>
      <w:r>
        <w:rPr>
          <w:rFonts w:hint="eastAsia"/>
        </w:rPr>
        <w:t>规划期</w:t>
      </w:r>
      <w:r>
        <w:t>内，落实</w:t>
      </w:r>
      <w:r>
        <w:rPr>
          <w:lang w:bidi="ar"/>
        </w:rPr>
        <w:t>土地整治补充耕地</w:t>
      </w:r>
      <w:r>
        <w:rPr>
          <w:rFonts w:hint="eastAsia"/>
          <w:lang w:bidi="ar"/>
        </w:rPr>
        <w:t>任务</w:t>
      </w:r>
      <w:r>
        <w:rPr>
          <w:lang w:bidi="ar"/>
        </w:rPr>
        <w:t>不低于</w:t>
      </w:r>
      <w:r>
        <w:rPr>
          <w:rFonts w:hint="eastAsia"/>
          <w:lang w:bidi="ar"/>
        </w:rPr>
        <w:t>228.84</w:t>
      </w:r>
      <w:r>
        <w:rPr>
          <w:lang w:bidi="ar"/>
        </w:rPr>
        <w:t>公顷，</w:t>
      </w:r>
      <w:r>
        <w:rPr>
          <w:rFonts w:hint="eastAsia" w:cs="宋体"/>
          <w:lang w:bidi="ar"/>
        </w:rPr>
        <w:t>其中农用地整理补充耕地</w:t>
      </w:r>
      <w:r>
        <w:rPr>
          <w:rFonts w:cs="宋体"/>
          <w:lang w:bidi="ar"/>
        </w:rPr>
        <w:t>规模</w:t>
      </w:r>
      <w:r>
        <w:rPr>
          <w:rFonts w:hint="eastAsia"/>
          <w:lang w:bidi="ar"/>
        </w:rPr>
        <w:t>189.32</w:t>
      </w:r>
      <w:r>
        <w:rPr>
          <w:rFonts w:hint="eastAsia" w:cs="宋体"/>
          <w:lang w:bidi="ar"/>
        </w:rPr>
        <w:t>公顷，农村建设用地整理补充耕地规模</w:t>
      </w:r>
      <w:r>
        <w:rPr>
          <w:rFonts w:hint="eastAsia"/>
          <w:lang w:bidi="ar"/>
        </w:rPr>
        <w:t>26.52</w:t>
      </w:r>
      <w:r>
        <w:rPr>
          <w:rFonts w:hint="eastAsia" w:cs="宋体"/>
          <w:lang w:bidi="ar"/>
        </w:rPr>
        <w:t>公顷，耕地后备</w:t>
      </w:r>
      <w:r>
        <w:rPr>
          <w:rFonts w:cs="宋体"/>
          <w:lang w:bidi="ar"/>
        </w:rPr>
        <w:t>资源</w:t>
      </w:r>
      <w:r>
        <w:rPr>
          <w:rFonts w:hint="eastAsia" w:cs="宋体"/>
          <w:lang w:bidi="ar"/>
        </w:rPr>
        <w:t>开发补充耕地规模</w:t>
      </w:r>
      <w:r>
        <w:rPr>
          <w:rFonts w:hint="eastAsia"/>
          <w:lang w:bidi="ar"/>
        </w:rPr>
        <w:t>13.01</w:t>
      </w:r>
      <w:r>
        <w:rPr>
          <w:rFonts w:hint="eastAsia" w:cs="宋体"/>
          <w:lang w:bidi="ar"/>
        </w:rPr>
        <w:t>公顷。</w:t>
      </w:r>
      <w:r>
        <w:rPr>
          <w:lang w:bidi="ar"/>
        </w:rPr>
        <w:t>区域内永久基本农田全部建成为高标准农田。</w:t>
      </w:r>
    </w:p>
    <w:p>
      <w:pPr>
        <w:pStyle w:val="4"/>
        <w:rPr>
          <w:rFonts w:ascii="Times New Roman" w:hAnsi="Times New Roman"/>
        </w:rPr>
      </w:pPr>
      <w:r>
        <w:rPr>
          <w:rFonts w:ascii="Times New Roman" w:hAnsi="Times New Roman"/>
        </w:rPr>
        <w:t>整治重点区域</w:t>
      </w:r>
    </w:p>
    <w:p>
      <w:r>
        <w:t>1.土地综合整治重点区域</w:t>
      </w:r>
    </w:p>
    <w:p>
      <w:r>
        <w:rPr>
          <w:lang w:bidi="ar"/>
        </w:rPr>
        <w:t>包括琴溪村、王庄村2个村庄。此区域宜整体推进农用地整理、建设用地整理和生态保护修复，优化生产、生活、生态空间，促进土地节约集约利用，改善农村人居环境，加快推进农业农村现代化。</w:t>
      </w:r>
    </w:p>
    <w:p>
      <w:r>
        <w:t>2.农用地整理重点区域</w:t>
      </w:r>
    </w:p>
    <w:p>
      <w:pPr>
        <w:rPr>
          <w:lang w:bidi="ar"/>
        </w:rPr>
      </w:pPr>
      <w:r>
        <w:rPr>
          <w:lang w:bidi="ar"/>
        </w:rPr>
        <w:t>包括</w:t>
      </w:r>
      <w:r>
        <w:rPr>
          <w:rFonts w:hint="eastAsia"/>
          <w:lang w:bidi="ar"/>
        </w:rPr>
        <w:t>东北川村、邵家岭村、杨店村、鱼贯口村、陈湾村、琴溪村、王庄村、齐营村、庙山村、夹道村、庙北村、朱陈村</w:t>
      </w:r>
      <w:r>
        <w:rPr>
          <w:lang w:bidi="ar"/>
        </w:rPr>
        <w:t>等</w:t>
      </w:r>
      <w:r>
        <w:rPr>
          <w:rFonts w:hint="eastAsia"/>
          <w:lang w:bidi="ar"/>
        </w:rPr>
        <w:t>12</w:t>
      </w:r>
      <w:r>
        <w:rPr>
          <w:lang w:bidi="ar"/>
        </w:rPr>
        <w:t>个村庄。此区域宜统筹推进低效林草地和园林地整理、农田基础设施建设和现状耕地提质改造等，加快推进高标准农田建设，夯实农业现代化基础。</w:t>
      </w:r>
    </w:p>
    <w:p>
      <w:pPr>
        <w:rPr>
          <w:lang w:bidi="ar"/>
        </w:rPr>
      </w:pPr>
      <w:r>
        <w:rPr>
          <w:rFonts w:hint="eastAsia"/>
          <w:lang w:bidi="ar"/>
        </w:rPr>
        <w:t>3.农村建设用地整理重点区域</w:t>
      </w:r>
    </w:p>
    <w:p>
      <w:pPr>
        <w:rPr>
          <w:lang w:bidi="ar"/>
        </w:rPr>
      </w:pPr>
      <w:r>
        <w:rPr>
          <w:rFonts w:hint="eastAsia"/>
          <w:lang w:bidi="ar"/>
        </w:rPr>
        <w:t>包括夹道村、琴溪村、朱陈村等3个村庄。此区域宜统筹农村住宅建设、产业发展、公共服务、基础设施等各类建设用地，有序开展农村宅基地、工矿废弃地以及其他低效闲置建设用地整理，优化农村建设用地布局。</w:t>
      </w:r>
    </w:p>
    <w:p>
      <w:pPr>
        <w:rPr>
          <w:lang w:bidi="ar"/>
        </w:rPr>
      </w:pPr>
      <w:r>
        <w:rPr>
          <w:rFonts w:hint="eastAsia"/>
          <w:lang w:bidi="ar"/>
        </w:rPr>
        <w:t>4.耕地后备资源开发重点区域</w:t>
      </w:r>
    </w:p>
    <w:p>
      <w:pPr>
        <w:rPr>
          <w:lang w:bidi="ar"/>
        </w:rPr>
      </w:pPr>
      <w:r>
        <w:rPr>
          <w:rFonts w:hint="eastAsia"/>
          <w:lang w:bidi="ar"/>
        </w:rPr>
        <w:t>包括黄岗村、张堂村等2个村庄范围内适宜开发区域。此区域应在保护和改善生态环境的前提下，因地制宜适度开发耕地后备资源。</w:t>
      </w:r>
    </w:p>
    <w:p>
      <w:pPr>
        <w:pStyle w:val="4"/>
        <w:rPr>
          <w:rFonts w:ascii="Times New Roman" w:hAnsi="Times New Roman"/>
        </w:rPr>
      </w:pPr>
      <w:r>
        <w:rPr>
          <w:rFonts w:ascii="Times New Roman" w:hAnsi="Times New Roman"/>
        </w:rPr>
        <w:t>整治重点工程</w:t>
      </w:r>
    </w:p>
    <w:p>
      <w:pPr>
        <w:ind w:firstLine="643"/>
      </w:pPr>
      <w:r>
        <w:rPr>
          <w:b/>
        </w:rPr>
        <w:t>全域土地综合整治项目。</w:t>
      </w:r>
      <w:r>
        <w:t>以全镇为单元整体推进土地综合整治，开展全域土地综合整治项目，包含农用地整治、建设用地整治、乡村生态保护修复、乡村振兴及人居环境提升等。综合整治过程中，以整治重点区域为引，分别侧重综合整治、农用地整理、农村建设用地整理、耕地后备资源开发等，分解补充耕地任务，完成耕地保护目标。</w:t>
      </w:r>
    </w:p>
    <w:p>
      <w:pPr>
        <w:pStyle w:val="3"/>
        <w:rPr>
          <w:rFonts w:ascii="Times New Roman" w:hAnsi="Times New Roman"/>
        </w:rPr>
      </w:pPr>
      <w:bookmarkStart w:id="121" w:name="_Toc24200"/>
      <w:r>
        <w:rPr>
          <w:rFonts w:ascii="Times New Roman" w:hAnsi="Times New Roman"/>
        </w:rPr>
        <w:t>国土空间生态修复</w:t>
      </w:r>
      <w:bookmarkEnd w:id="120"/>
      <w:bookmarkEnd w:id="121"/>
    </w:p>
    <w:p>
      <w:pPr>
        <w:pStyle w:val="4"/>
        <w:rPr>
          <w:rFonts w:ascii="Times New Roman" w:hAnsi="Times New Roman"/>
        </w:rPr>
      </w:pPr>
      <w:bookmarkStart w:id="122" w:name="_Hlk150184672"/>
      <w:r>
        <w:rPr>
          <w:rFonts w:ascii="Times New Roman" w:hAnsi="Times New Roman"/>
        </w:rPr>
        <w:t>生态修复重点区域</w:t>
      </w:r>
    </w:p>
    <w:p>
      <w:r>
        <w:t>1.生态水系修复重点区域</w:t>
      </w:r>
    </w:p>
    <w:p>
      <w:r>
        <w:t>生态水系修复重点区域主要为镇域内湍河、斩龙岗水库等区域。</w:t>
      </w:r>
    </w:p>
    <w:p>
      <w:r>
        <w:t>2.矿山生态修复重点区域</w:t>
      </w:r>
    </w:p>
    <w:p>
      <w:r>
        <w:t>矿山生态修复区域主要为琴溪村范围内矿山。</w:t>
      </w:r>
    </w:p>
    <w:p>
      <w:pPr>
        <w:pStyle w:val="4"/>
        <w:rPr>
          <w:rFonts w:ascii="Times New Roman" w:hAnsi="Times New Roman"/>
        </w:rPr>
      </w:pPr>
      <w:r>
        <w:rPr>
          <w:rFonts w:ascii="Times New Roman" w:hAnsi="Times New Roman"/>
        </w:rPr>
        <w:t>生态修复重点工程</w:t>
      </w:r>
    </w:p>
    <w:p>
      <w:r>
        <w:t>1.生态水系修复项目</w:t>
      </w:r>
    </w:p>
    <w:p>
      <w:r>
        <w:t>针对镇域内湍河</w:t>
      </w:r>
      <w:r>
        <w:rPr>
          <w:rFonts w:hint="eastAsia"/>
        </w:rPr>
        <w:t>及湿地</w:t>
      </w:r>
      <w:r>
        <w:t>、斩龙岗水库开展综合整治及生态建设项目，包括清淤疏浚、构建河道防洪体系、生态湿地建设、坑塘整治、水利基础设施建设、农业污染防治等。</w:t>
      </w:r>
    </w:p>
    <w:p>
      <w:r>
        <w:t>2.矿山生态修复项目</w:t>
      </w:r>
    </w:p>
    <w:p>
      <w:r>
        <w:t>以琴溪村村范围内矿山为主，通过地形重塑、废弃土地复垦、植被恢复、矿石渣清理、边坡治理、矿山土壤及水资源治理等措施，恢复矿山生态环境，恢复治理面积0.2公顷。</w:t>
      </w:r>
    </w:p>
    <w:p>
      <w:r>
        <w:t>3.农业面源污染治理项目</w:t>
      </w:r>
    </w:p>
    <w:bookmarkEnd w:id="122"/>
    <w:p>
      <w:r>
        <w:t>针对农业生产过程中农药、化肥使用较多，存在白色垃圾，畜牧业污染等问题，开展农业面源污染治理。通过推进农业现代化，有机种植、有机防治，合理使用农药和化肥，建设农田防渗透工程，制定农业废弃物处理政策，加强污染监测等方式治理农业面源污染。</w:t>
      </w:r>
    </w:p>
    <w:bookmarkEnd w:id="68"/>
    <w:bookmarkEnd w:id="69"/>
    <w:p>
      <w:pPr>
        <w:rPr>
          <w:rFonts w:eastAsia="方正小标宋简体"/>
          <w:kern w:val="44"/>
          <w:sz w:val="36"/>
          <w:szCs w:val="44"/>
        </w:rPr>
      </w:pPr>
      <w:bookmarkStart w:id="123" w:name="_Toc23050"/>
      <w:bookmarkEnd w:id="123"/>
      <w:bookmarkStart w:id="124" w:name="_Toc122364769"/>
      <w:bookmarkEnd w:id="124"/>
      <w:bookmarkStart w:id="125" w:name="_Toc122362359"/>
      <w:bookmarkEnd w:id="125"/>
      <w:r>
        <w:br w:type="page"/>
      </w:r>
    </w:p>
    <w:p/>
    <w:p>
      <w:pPr>
        <w:pStyle w:val="2"/>
      </w:pPr>
      <w:bookmarkStart w:id="126" w:name="_Toc21733"/>
      <w:bookmarkStart w:id="127" w:name="_Toc31144"/>
      <w:r>
        <w:t>规划传导</w:t>
      </w:r>
      <w:bookmarkEnd w:id="126"/>
      <w:bookmarkEnd w:id="127"/>
    </w:p>
    <w:p>
      <w:pPr>
        <w:pStyle w:val="3"/>
        <w:rPr>
          <w:rFonts w:ascii="Times New Roman" w:hAnsi="Times New Roman"/>
        </w:rPr>
      </w:pPr>
      <w:bookmarkStart w:id="128" w:name="_Toc21657"/>
      <w:r>
        <w:rPr>
          <w:rFonts w:ascii="Times New Roman" w:hAnsi="Times New Roman"/>
        </w:rPr>
        <w:t>详细规划单元与指引</w:t>
      </w:r>
      <w:bookmarkEnd w:id="128"/>
    </w:p>
    <w:p>
      <w:pPr>
        <w:pStyle w:val="4"/>
        <w:rPr>
          <w:rFonts w:ascii="Times New Roman" w:hAnsi="Times New Roman"/>
        </w:rPr>
      </w:pPr>
      <w:r>
        <w:rPr>
          <w:rFonts w:ascii="Times New Roman" w:hAnsi="Times New Roman"/>
        </w:rPr>
        <w:t>划分镇区详规单元</w:t>
      </w:r>
    </w:p>
    <w:p>
      <w:r>
        <w:t>根据用地功能、镇区更新和发展需求，以城市道路等为界，划分为若干详细规划管理单元；镇区共划定</w:t>
      </w:r>
      <w:r>
        <w:rPr>
          <w:rFonts w:hint="eastAsia"/>
        </w:rPr>
        <w:t>1</w:t>
      </w:r>
      <w:r>
        <w:t>个详细规划单元</w:t>
      </w:r>
      <w:r>
        <w:rPr>
          <w:rFonts w:hint="eastAsia"/>
        </w:rPr>
        <w:t>,即为居住生活单元，</w:t>
      </w:r>
      <w:r>
        <w:t xml:space="preserve">以住宅建筑和居住配套设施为主要功能导向的区域，结合单元住宅总量控制要求与用地潜力分析，按照构建生活圈要求优化居住用地和配套设施布局，推动建设尺度适宜、配套完善、邻里和谐的全龄友好社区。 </w:t>
      </w:r>
    </w:p>
    <w:p>
      <w:pPr>
        <w:pStyle w:val="4"/>
        <w:rPr>
          <w:rFonts w:ascii="Times New Roman" w:hAnsi="Times New Roman"/>
        </w:rPr>
      </w:pPr>
      <w:r>
        <w:rPr>
          <w:rFonts w:ascii="Times New Roman" w:hAnsi="Times New Roman"/>
        </w:rPr>
        <w:t>划定镇域详细规划编制单元</w:t>
      </w:r>
    </w:p>
    <w:p>
      <w:r>
        <w:t>全镇共划定2</w:t>
      </w:r>
      <w:r>
        <w:rPr>
          <w:rFonts w:hint="eastAsia"/>
        </w:rPr>
        <w:t>2</w:t>
      </w:r>
      <w:r>
        <w:t>个详细规划编制单元，包括镇区</w:t>
      </w:r>
      <w:r>
        <w:rPr>
          <w:rFonts w:hint="eastAsia"/>
        </w:rPr>
        <w:t>1</w:t>
      </w:r>
      <w:r>
        <w:t>个编制单元。以赤眉镇镇区城镇开发边界为依据，确定为赤眉镇镇区编制单元</w:t>
      </w:r>
      <w:r>
        <w:rPr>
          <w:rFonts w:hint="eastAsia"/>
        </w:rPr>
        <w:t>，</w:t>
      </w:r>
      <w:r>
        <w:t>其余为以行政村界限为边界的详规单元。</w:t>
      </w:r>
    </w:p>
    <w:p>
      <w:pPr>
        <w:pStyle w:val="4"/>
      </w:pPr>
      <w:r>
        <w:t>详细规划编制指引</w:t>
      </w:r>
    </w:p>
    <w:p>
      <w:pPr>
        <w:rPr>
          <w:lang w:bidi="ar"/>
        </w:rPr>
      </w:pPr>
      <w:r>
        <w:rPr>
          <w:lang w:bidi="ar"/>
        </w:rPr>
        <w:t>全镇镇区范围外，城镇开发边界外共涉及21个详细规划编制单元，根据村庄类型和发展需求选择编制“实用性”村庄规划或 “通则式”村庄规划，“通则式”村庄规划管理规定，纳入镇总规报批，作为乡村地区实施国土空间用途管制、核发乡村建设规划许可证的依据。在赤眉镇国土空间总体规划中确定的各项目标、约束性指标、空间布局和重大任务落实分解到村庄，加强对详细规划的管控与指引。从刚性落实、弹性引导两个方面，提出对详细规划的传导要求。村庄规划需严格落实乡镇级规划确定的刚性管控要求，可在不突破底线约束的前提下对乡镇规划提出的引导性要求进行深化与细化。</w:t>
      </w:r>
    </w:p>
    <w:p>
      <w:pPr>
        <w:pStyle w:val="3"/>
      </w:pPr>
      <w:r>
        <w:t>“</w:t>
      </w:r>
      <w:r>
        <w:rPr>
          <w:rFonts w:hint="eastAsia"/>
        </w:rPr>
        <w:t>通则式</w:t>
      </w:r>
      <w:r>
        <w:t>”</w:t>
      </w:r>
      <w:r>
        <w:rPr>
          <w:rFonts w:hint="eastAsia"/>
        </w:rPr>
        <w:t>村庄规划管理规定</w:t>
      </w:r>
    </w:p>
    <w:p>
      <w:pPr>
        <w:pStyle w:val="4"/>
      </w:pPr>
      <w:r>
        <w:rPr>
          <w:rFonts w:hint="eastAsia"/>
        </w:rPr>
        <w:t>农业空间管控</w:t>
      </w:r>
    </w:p>
    <w:p>
      <w:r>
        <w:rPr>
          <w:rFonts w:hint="eastAsia"/>
        </w:rPr>
        <w:t>1.耕地保护</w:t>
      </w:r>
    </w:p>
    <w:p>
      <w:r>
        <w:rPr>
          <w:rFonts w:hint="eastAsia"/>
        </w:rPr>
        <w:t>耕地主要用于粮食和棉、油、糖、蔬菜等农产品及饲草饲料生产；在不破坏耕地耕作层且不造成耕地地类改变的前提下,可以适度种植其他农作物。耕地管控“八不准”、“六严禁、五不得”。</w:t>
      </w:r>
    </w:p>
    <w:tbl>
      <w:tblPr>
        <w:tblStyle w:val="32"/>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2835"/>
        <w:gridCol w:w="2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739" w:type="dxa"/>
            <w:gridSpan w:val="3"/>
            <w:vAlign w:val="center"/>
          </w:tcPr>
          <w:p>
            <w:pPr>
              <w:pStyle w:val="51"/>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专栏14-1 耕地管控要求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3114" w:type="dxa"/>
            <w:vAlign w:val="center"/>
          </w:tcPr>
          <w:p>
            <w:pPr>
              <w:pStyle w:val="51"/>
              <w:rPr>
                <w:rFonts w:ascii="仿宋_GB2312" w:hAnsi="仿宋_GB2312" w:eastAsia="仿宋_GB2312" w:cs="仿宋_GB2312"/>
                <w:sz w:val="24"/>
                <w:szCs w:val="28"/>
              </w:rPr>
            </w:pPr>
            <w:r>
              <w:rPr>
                <w:rFonts w:hint="eastAsia" w:ascii="仿宋_GB2312" w:hAnsi="仿宋_GB2312" w:eastAsia="仿宋_GB2312" w:cs="仿宋_GB2312"/>
                <w:sz w:val="24"/>
                <w:szCs w:val="28"/>
              </w:rPr>
              <w:t>八不准</w:t>
            </w:r>
          </w:p>
        </w:tc>
        <w:tc>
          <w:tcPr>
            <w:tcW w:w="2835" w:type="dxa"/>
            <w:vAlign w:val="center"/>
          </w:tcPr>
          <w:p>
            <w:pPr>
              <w:pStyle w:val="51"/>
              <w:rPr>
                <w:rFonts w:ascii="仿宋_GB2312" w:hAnsi="仿宋_GB2312" w:eastAsia="仿宋_GB2312" w:cs="仿宋_GB2312"/>
                <w:sz w:val="24"/>
                <w:szCs w:val="28"/>
              </w:rPr>
            </w:pPr>
            <w:r>
              <w:rPr>
                <w:rFonts w:hint="eastAsia" w:ascii="仿宋_GB2312" w:hAnsi="仿宋_GB2312" w:eastAsia="仿宋_GB2312" w:cs="仿宋_GB2312"/>
                <w:sz w:val="24"/>
                <w:szCs w:val="28"/>
              </w:rPr>
              <w:t>六严禁</w:t>
            </w:r>
          </w:p>
        </w:tc>
        <w:tc>
          <w:tcPr>
            <w:tcW w:w="2790" w:type="dxa"/>
            <w:vAlign w:val="center"/>
          </w:tcPr>
          <w:p>
            <w:pPr>
              <w:pStyle w:val="51"/>
              <w:rPr>
                <w:rFonts w:ascii="仿宋_GB2312" w:hAnsi="仿宋_GB2312" w:eastAsia="仿宋_GB2312" w:cs="仿宋_GB2312"/>
                <w:sz w:val="24"/>
                <w:szCs w:val="28"/>
              </w:rPr>
            </w:pPr>
            <w:r>
              <w:rPr>
                <w:rFonts w:hint="eastAsia" w:ascii="仿宋_GB2312" w:hAnsi="仿宋_GB2312" w:eastAsia="仿宋_GB2312" w:cs="仿宋_GB2312"/>
                <w:sz w:val="24"/>
                <w:szCs w:val="28"/>
              </w:rPr>
              <w:t>五不得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6" w:hRule="atLeast"/>
          <w:jc w:val="center"/>
        </w:trPr>
        <w:tc>
          <w:tcPr>
            <w:tcW w:w="3114" w:type="dxa"/>
            <w:vAlign w:val="center"/>
          </w:tcPr>
          <w:p>
            <w:pPr>
              <w:pStyle w:val="51"/>
              <w:rPr>
                <w:rFonts w:ascii="仿宋_GB2312" w:hAnsi="仿宋_GB2312" w:eastAsia="仿宋_GB2312" w:cs="仿宋_GB2312"/>
                <w:sz w:val="24"/>
                <w:szCs w:val="28"/>
              </w:rPr>
            </w:pPr>
            <w:r>
              <w:rPr>
                <w:rFonts w:hint="eastAsia" w:ascii="仿宋_GB2312" w:hAnsi="仿宋_GB2312" w:eastAsia="仿宋_GB2312" w:cs="仿宋_GB2312"/>
                <w:sz w:val="24"/>
                <w:szCs w:val="28"/>
              </w:rPr>
              <w:t>不准占用永久基本农田建房。</w:t>
            </w:r>
          </w:p>
          <w:p>
            <w:pPr>
              <w:pStyle w:val="51"/>
              <w:rPr>
                <w:rFonts w:ascii="仿宋_GB2312" w:hAnsi="仿宋_GB2312" w:eastAsia="仿宋_GB2312" w:cs="仿宋_GB2312"/>
                <w:sz w:val="24"/>
                <w:szCs w:val="28"/>
              </w:rPr>
            </w:pPr>
            <w:r>
              <w:rPr>
                <w:rFonts w:hint="eastAsia" w:ascii="仿宋_GB2312" w:hAnsi="仿宋_GB2312" w:eastAsia="仿宋_GB2312" w:cs="仿宋_GB2312"/>
                <w:sz w:val="24"/>
                <w:szCs w:val="28"/>
              </w:rPr>
              <w:t>不准强占多占耕地建房。</w:t>
            </w:r>
          </w:p>
          <w:p>
            <w:pPr>
              <w:pStyle w:val="51"/>
              <w:rPr>
                <w:rFonts w:ascii="仿宋_GB2312" w:hAnsi="仿宋_GB2312" w:eastAsia="仿宋_GB2312" w:cs="仿宋_GB2312"/>
                <w:sz w:val="24"/>
                <w:szCs w:val="28"/>
              </w:rPr>
            </w:pPr>
            <w:r>
              <w:rPr>
                <w:rFonts w:hint="eastAsia" w:ascii="仿宋_GB2312" w:hAnsi="仿宋_GB2312" w:eastAsia="仿宋_GB2312" w:cs="仿宋_GB2312"/>
                <w:sz w:val="24"/>
                <w:szCs w:val="28"/>
              </w:rPr>
              <w:t>不准买卖、流转耕地违法建房。</w:t>
            </w:r>
          </w:p>
          <w:p>
            <w:pPr>
              <w:pStyle w:val="51"/>
              <w:rPr>
                <w:rFonts w:ascii="仿宋_GB2312" w:hAnsi="仿宋_GB2312" w:eastAsia="仿宋_GB2312" w:cs="仿宋_GB2312"/>
                <w:sz w:val="24"/>
                <w:szCs w:val="28"/>
              </w:rPr>
            </w:pPr>
            <w:r>
              <w:rPr>
                <w:rFonts w:hint="eastAsia" w:ascii="仿宋_GB2312" w:hAnsi="仿宋_GB2312" w:eastAsia="仿宋_GB2312" w:cs="仿宋_GB2312"/>
                <w:sz w:val="24"/>
                <w:szCs w:val="28"/>
              </w:rPr>
              <w:t>不准在承包耕地上违法建房。</w:t>
            </w:r>
          </w:p>
          <w:p>
            <w:pPr>
              <w:pStyle w:val="51"/>
              <w:rPr>
                <w:rFonts w:ascii="仿宋_GB2312" w:hAnsi="仿宋_GB2312" w:eastAsia="仿宋_GB2312" w:cs="仿宋_GB2312"/>
                <w:sz w:val="24"/>
                <w:szCs w:val="28"/>
              </w:rPr>
            </w:pPr>
            <w:r>
              <w:rPr>
                <w:rFonts w:hint="eastAsia" w:ascii="仿宋_GB2312" w:hAnsi="仿宋_GB2312" w:eastAsia="仿宋_GB2312" w:cs="仿宋_GB2312"/>
                <w:sz w:val="24"/>
                <w:szCs w:val="28"/>
              </w:rPr>
              <w:t>不准巧立名目违法占用耕地建房。</w:t>
            </w:r>
          </w:p>
          <w:p>
            <w:pPr>
              <w:pStyle w:val="51"/>
              <w:rPr>
                <w:rFonts w:ascii="仿宋_GB2312" w:hAnsi="仿宋_GB2312" w:eastAsia="仿宋_GB2312" w:cs="仿宋_GB2312"/>
                <w:sz w:val="24"/>
                <w:szCs w:val="28"/>
              </w:rPr>
            </w:pPr>
            <w:r>
              <w:rPr>
                <w:rFonts w:hint="eastAsia" w:ascii="仿宋_GB2312" w:hAnsi="仿宋_GB2312" w:eastAsia="仿宋_GB2312" w:cs="仿宋_GB2312"/>
                <w:sz w:val="24"/>
                <w:szCs w:val="28"/>
              </w:rPr>
              <w:t>不准违反“一户一宅”规定占用耕地建房。</w:t>
            </w:r>
          </w:p>
          <w:p>
            <w:pPr>
              <w:pStyle w:val="51"/>
              <w:rPr>
                <w:rFonts w:ascii="仿宋_GB2312" w:hAnsi="仿宋_GB2312" w:eastAsia="仿宋_GB2312" w:cs="仿宋_GB2312"/>
                <w:sz w:val="24"/>
                <w:szCs w:val="28"/>
              </w:rPr>
            </w:pPr>
            <w:r>
              <w:rPr>
                <w:rFonts w:hint="eastAsia" w:ascii="仿宋_GB2312" w:hAnsi="仿宋_GB2312" w:eastAsia="仿宋_GB2312" w:cs="仿宋_GB2312"/>
                <w:sz w:val="24"/>
                <w:szCs w:val="28"/>
              </w:rPr>
              <w:t>不准非法出售占用耕地建的房屋。</w:t>
            </w:r>
          </w:p>
          <w:p>
            <w:pPr>
              <w:pStyle w:val="51"/>
              <w:rPr>
                <w:rFonts w:ascii="仿宋_GB2312" w:hAnsi="仿宋_GB2312" w:eastAsia="仿宋_GB2312" w:cs="仿宋_GB2312"/>
                <w:sz w:val="24"/>
                <w:szCs w:val="28"/>
              </w:rPr>
            </w:pPr>
            <w:r>
              <w:rPr>
                <w:rFonts w:hint="eastAsia" w:ascii="仿宋_GB2312" w:hAnsi="仿宋_GB2312" w:eastAsia="仿宋_GB2312" w:cs="仿宋_GB2312"/>
                <w:sz w:val="24"/>
                <w:szCs w:val="28"/>
              </w:rPr>
              <w:t>不准违法审批占用耕地建房。</w:t>
            </w:r>
          </w:p>
        </w:tc>
        <w:tc>
          <w:tcPr>
            <w:tcW w:w="2835" w:type="dxa"/>
            <w:vAlign w:val="center"/>
          </w:tcPr>
          <w:p>
            <w:pPr>
              <w:pStyle w:val="51"/>
              <w:rPr>
                <w:rFonts w:ascii="仿宋_GB2312" w:hAnsi="仿宋_GB2312" w:eastAsia="仿宋_GB2312" w:cs="仿宋_GB2312"/>
                <w:sz w:val="24"/>
                <w:szCs w:val="28"/>
              </w:rPr>
            </w:pPr>
            <w:r>
              <w:rPr>
                <w:rFonts w:hint="eastAsia" w:ascii="仿宋_GB2312" w:hAnsi="仿宋_GB2312" w:eastAsia="仿宋_GB2312" w:cs="仿宋_GB2312"/>
                <w:sz w:val="24"/>
                <w:szCs w:val="28"/>
              </w:rPr>
              <w:t>严禁违规占用耕地绿化造林；</w:t>
            </w:r>
          </w:p>
          <w:p>
            <w:pPr>
              <w:pStyle w:val="51"/>
              <w:rPr>
                <w:rFonts w:ascii="仿宋_GB2312" w:hAnsi="仿宋_GB2312" w:eastAsia="仿宋_GB2312" w:cs="仿宋_GB2312"/>
                <w:sz w:val="24"/>
                <w:szCs w:val="28"/>
              </w:rPr>
            </w:pPr>
            <w:r>
              <w:rPr>
                <w:rFonts w:hint="eastAsia" w:ascii="仿宋_GB2312" w:hAnsi="仿宋_GB2312" w:eastAsia="仿宋_GB2312" w:cs="仿宋_GB2312"/>
                <w:sz w:val="24"/>
                <w:szCs w:val="28"/>
              </w:rPr>
              <w:t>严禁超标准建设绿色通道；</w:t>
            </w:r>
          </w:p>
          <w:p>
            <w:pPr>
              <w:pStyle w:val="51"/>
              <w:rPr>
                <w:rFonts w:ascii="仿宋_GB2312" w:hAnsi="仿宋_GB2312" w:eastAsia="仿宋_GB2312" w:cs="仿宋_GB2312"/>
                <w:sz w:val="24"/>
                <w:szCs w:val="28"/>
              </w:rPr>
            </w:pPr>
            <w:r>
              <w:rPr>
                <w:rFonts w:hint="eastAsia" w:ascii="仿宋_GB2312" w:hAnsi="仿宋_GB2312" w:eastAsia="仿宋_GB2312" w:cs="仿宋_GB2312"/>
                <w:sz w:val="24"/>
                <w:szCs w:val="28"/>
              </w:rPr>
              <w:t>严禁违规占用耕地挖湖造景；</w:t>
            </w:r>
          </w:p>
          <w:p>
            <w:pPr>
              <w:pStyle w:val="51"/>
              <w:rPr>
                <w:rFonts w:ascii="仿宋_GB2312" w:hAnsi="仿宋_GB2312" w:eastAsia="仿宋_GB2312" w:cs="仿宋_GB2312"/>
                <w:sz w:val="24"/>
                <w:szCs w:val="28"/>
              </w:rPr>
            </w:pPr>
            <w:r>
              <w:rPr>
                <w:rFonts w:hint="eastAsia" w:ascii="仿宋_GB2312" w:hAnsi="仿宋_GB2312" w:eastAsia="仿宋_GB2312" w:cs="仿宋_GB2312"/>
                <w:sz w:val="24"/>
                <w:szCs w:val="28"/>
              </w:rPr>
              <w:t>严禁占用永久基本农田扩大自然保护地；</w:t>
            </w:r>
          </w:p>
          <w:p>
            <w:pPr>
              <w:pStyle w:val="51"/>
              <w:rPr>
                <w:rFonts w:ascii="仿宋_GB2312" w:hAnsi="仿宋_GB2312" w:eastAsia="仿宋_GB2312" w:cs="仿宋_GB2312"/>
                <w:sz w:val="24"/>
                <w:szCs w:val="28"/>
              </w:rPr>
            </w:pPr>
            <w:r>
              <w:rPr>
                <w:rFonts w:hint="eastAsia" w:ascii="仿宋_GB2312" w:hAnsi="仿宋_GB2312" w:eastAsia="仿宋_GB2312" w:cs="仿宋_GB2312"/>
                <w:sz w:val="24"/>
                <w:szCs w:val="28"/>
              </w:rPr>
              <w:t>严禁违规占用耕地从事非农建设；</w:t>
            </w:r>
          </w:p>
          <w:p>
            <w:pPr>
              <w:pStyle w:val="51"/>
              <w:rPr>
                <w:rFonts w:ascii="仿宋_GB2312" w:hAnsi="仿宋_GB2312" w:eastAsia="仿宋_GB2312" w:cs="仿宋_GB2312"/>
                <w:sz w:val="24"/>
                <w:szCs w:val="28"/>
              </w:rPr>
            </w:pPr>
            <w:r>
              <w:rPr>
                <w:rFonts w:hint="eastAsia" w:ascii="仿宋_GB2312" w:hAnsi="仿宋_GB2312" w:eastAsia="仿宋_GB2312" w:cs="仿宋_GB2312"/>
                <w:sz w:val="24"/>
                <w:szCs w:val="28"/>
              </w:rPr>
              <w:t>严禁违法违规批地用地。</w:t>
            </w:r>
          </w:p>
          <w:p>
            <w:pPr>
              <w:pStyle w:val="51"/>
              <w:rPr>
                <w:rFonts w:ascii="仿宋_GB2312" w:hAnsi="仿宋_GB2312" w:eastAsia="仿宋_GB2312" w:cs="仿宋_GB2312"/>
                <w:sz w:val="24"/>
                <w:szCs w:val="28"/>
              </w:rPr>
            </w:pPr>
          </w:p>
        </w:tc>
        <w:tc>
          <w:tcPr>
            <w:tcW w:w="2790" w:type="dxa"/>
            <w:vAlign w:val="center"/>
          </w:tcPr>
          <w:p>
            <w:pPr>
              <w:pStyle w:val="51"/>
              <w:rPr>
                <w:rFonts w:ascii="仿宋_GB2312" w:hAnsi="仿宋_GB2312" w:eastAsia="仿宋_GB2312" w:cs="仿宋_GB2312"/>
                <w:sz w:val="24"/>
                <w:szCs w:val="28"/>
              </w:rPr>
            </w:pPr>
            <w:r>
              <w:rPr>
                <w:rFonts w:hint="eastAsia" w:ascii="仿宋_GB2312" w:hAnsi="仿宋_GB2312" w:eastAsia="仿宋_GB2312" w:cs="仿宋_GB2312"/>
                <w:sz w:val="24"/>
                <w:szCs w:val="28"/>
              </w:rPr>
              <w:t>不得在一般耕地上挖湖造景、种植草皮；</w:t>
            </w:r>
          </w:p>
          <w:p>
            <w:pPr>
              <w:pStyle w:val="51"/>
              <w:rPr>
                <w:rFonts w:ascii="仿宋_GB2312" w:hAnsi="仿宋_GB2312" w:eastAsia="仿宋_GB2312" w:cs="仿宋_GB2312"/>
                <w:sz w:val="24"/>
                <w:szCs w:val="28"/>
              </w:rPr>
            </w:pPr>
            <w:r>
              <w:rPr>
                <w:rFonts w:hint="eastAsia" w:ascii="仿宋_GB2312" w:hAnsi="仿宋_GB2312" w:eastAsia="仿宋_GB2312" w:cs="仿宋_GB2312"/>
                <w:sz w:val="24"/>
                <w:szCs w:val="28"/>
              </w:rPr>
              <w:t>不得擅自扩大退耕还林还草还湖规模；</w:t>
            </w:r>
          </w:p>
          <w:p>
            <w:pPr>
              <w:pStyle w:val="51"/>
              <w:rPr>
                <w:rFonts w:ascii="仿宋_GB2312" w:hAnsi="仿宋_GB2312" w:eastAsia="仿宋_GB2312" w:cs="仿宋_GB2312"/>
                <w:sz w:val="24"/>
                <w:szCs w:val="28"/>
              </w:rPr>
            </w:pPr>
            <w:r>
              <w:rPr>
                <w:rFonts w:hint="eastAsia" w:ascii="仿宋_GB2312" w:hAnsi="仿宋_GB2312" w:eastAsia="仿宋_GB2312" w:cs="仿宋_GB2312"/>
                <w:sz w:val="24"/>
                <w:szCs w:val="28"/>
              </w:rPr>
              <w:t>不得违规超标准在铁路、公路等用地红线外，以及河渠两侧、水库周边占用一般耕地种树建设绿化带；</w:t>
            </w:r>
          </w:p>
          <w:p>
            <w:pPr>
              <w:pStyle w:val="51"/>
              <w:rPr>
                <w:rFonts w:ascii="仿宋_GB2312" w:hAnsi="仿宋_GB2312" w:eastAsia="仿宋_GB2312" w:cs="仿宋_GB2312"/>
                <w:sz w:val="24"/>
                <w:szCs w:val="28"/>
              </w:rPr>
            </w:pPr>
            <w:r>
              <w:rPr>
                <w:rFonts w:hint="eastAsia" w:ascii="仿宋_GB2312" w:hAnsi="仿宋_GB2312" w:eastAsia="仿宋_GB2312" w:cs="仿宋_GB2312"/>
                <w:sz w:val="24"/>
                <w:szCs w:val="28"/>
              </w:rPr>
              <w:t>未经批准不得占用一般耕地实施国土绿化；</w:t>
            </w:r>
          </w:p>
          <w:p>
            <w:pPr>
              <w:pStyle w:val="51"/>
              <w:rPr>
                <w:rFonts w:ascii="仿宋_GB2312" w:hAnsi="仿宋_GB2312" w:eastAsia="仿宋_GB2312" w:cs="仿宋_GB2312"/>
                <w:sz w:val="24"/>
                <w:szCs w:val="28"/>
              </w:rPr>
            </w:pPr>
            <w:r>
              <w:rPr>
                <w:rFonts w:hint="eastAsia" w:ascii="仿宋_GB2312" w:hAnsi="仿宋_GB2312" w:eastAsia="仿宋_GB2312" w:cs="仿宋_GB2312"/>
                <w:sz w:val="24"/>
                <w:szCs w:val="28"/>
              </w:rPr>
              <w:t>未经批准工商企业等社会资本不得将通过流转获得土地经营权的一般耕地转为林地、园地等其他农用地。</w:t>
            </w:r>
          </w:p>
        </w:tc>
      </w:tr>
    </w:tbl>
    <w:p>
      <w:r>
        <w:rPr>
          <w:rFonts w:hint="eastAsia"/>
        </w:rPr>
        <w:t>2.永久基本农田保护</w:t>
      </w:r>
    </w:p>
    <w:p>
      <w:r>
        <w:rPr>
          <w:rFonts w:hint="eastAsia"/>
        </w:rPr>
        <w:t>永久基本农田主要用于种植粮食作物，对现状种植棉、油、糖、蔬菜等非粮食作物的,可以维持不变。</w:t>
      </w:r>
    </w:p>
    <w:p>
      <w:r>
        <w:rPr>
          <w:rFonts w:hint="eastAsia"/>
        </w:rPr>
        <w:t>严禁占用永久基本农田发展林果业和挖塘养鱼；严禁占用永久基本农田种植苗木、草皮等用于绿化装饰以及其他破坏耕作层的植物；严禁占用永久基本农田挖湖造景、建设绿化带；严禁新增占用永久基本农田建设畜禽养殖设施、水产养殖设施和破坏耕作层的种植业设施。</w:t>
      </w:r>
    </w:p>
    <w:p>
      <w:r>
        <w:rPr>
          <w:rFonts w:hint="eastAsia"/>
        </w:rPr>
        <w:t>.3.设施农用地</w:t>
      </w:r>
    </w:p>
    <w:p>
      <w:r>
        <w:rPr>
          <w:rFonts w:hint="eastAsia"/>
        </w:rPr>
        <w:t>设施农业用地包括农业生产中直接用于作物（含食用菌、中药材、茶叶、水果、花木等）种植和畜禽水产养殖的设施用地。其中，作物种植设施用地包括作物生产、育种、制种、初加工和为生产服务的生产场地、化验室、看护房、农资农机具存放场所等，以及与生产农产品直接关联的烘干晾晒、分拣包装、炒制、保鲜存储等设施用地，工厂化农作物（食用菌）栽培烘干、食用菌集中制棒等设施用地；畜禽水产养殖设施用地包括养殖生产及直接关联的粪污处置（含散养密集区建设的非经营性畜禽粪污集中处置站点）、检验检疫等设施用地，不包括屠宰、肉类加工、商业化畜禽粪污集中处理中心等场所用地。</w:t>
      </w:r>
    </w:p>
    <w:p>
      <w:r>
        <w:rPr>
          <w:rFonts w:hint="eastAsia"/>
        </w:rPr>
        <w:t>种植</w:t>
      </w:r>
      <w:r>
        <w:t>设施农业建设尽量利用未利用地、低效闲置的土地以及工矿废弃地等土地，不占或少占耕地，避让永久基本农田。生产设施用地按照种植规模核定用地面积。作物生产的服务和直接关联设施用地，原则上不超过用地规模的10%，确因生产需要可适当增加，但不得超过15%，其中规模化粮食种植的直接关联设施用地，由</w:t>
      </w:r>
      <w:r>
        <w:rPr>
          <w:rFonts w:hint="eastAsia"/>
        </w:rPr>
        <w:t>新郑市</w:t>
      </w:r>
      <w:r>
        <w:t>自然资源主管部门会同农业农村主管部门根据农业生产需要合理确定。看护房应为单层，用地规模控制在22.5平方米以内。</w:t>
      </w:r>
    </w:p>
    <w:p>
      <w:r>
        <w:t>畜禽水产养殖生产设施用地按照养殖规模核定用地面积。畜禽养殖的直接关联用地原则上不超过用地规模的 20%，确因生产需要可适当增加，但不得超过50%；露天水产养殖池的直接关联用地原则上不超过用地规模的15%，确因生产需要可适当增加，但不得超过20%；工厂化水产养殖场的直接关联用地原则上不超过用地规模的20%，确因生产需要可适当增加，但不得超过25%。</w:t>
      </w:r>
    </w:p>
    <w:p>
      <w:r>
        <w:t>设施农业用地不再使用的，由经营者负责恢复原用途。对擅自或变相将设施农用地用于非农建设、违规占用永久基本农田、擅自扩大设施用地规模等行为，按违法用地进行查处，确保农地农用。设施农用地用于非农建设或破坏耕作层的，按建设用地有关规定办理相关手续。</w:t>
      </w:r>
    </w:p>
    <w:p>
      <w:pPr>
        <w:pStyle w:val="4"/>
      </w:pPr>
      <w:r>
        <w:rPr>
          <w:rFonts w:hint="eastAsia"/>
        </w:rPr>
        <w:t>生态空间管控</w:t>
      </w:r>
    </w:p>
    <w:p>
      <w:r>
        <w:rPr>
          <w:rFonts w:hint="eastAsia"/>
        </w:rPr>
        <w:t>加强生态保护红线管理，严守自然生态安全边界。</w:t>
      </w:r>
    </w:p>
    <w:tbl>
      <w:tblPr>
        <w:tblStyle w:val="32"/>
        <w:tblW w:w="84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7"/>
        <w:gridCol w:w="5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8459" w:type="dxa"/>
            <w:gridSpan w:val="2"/>
            <w:vAlign w:val="center"/>
          </w:tcPr>
          <w:p>
            <w:pPr>
              <w:pStyle w:val="51"/>
              <w:rPr>
                <w:rFonts w:ascii="楷体_GB2312" w:hAnsi="楷体_GB2312" w:eastAsia="楷体_GB2312" w:cs="楷体_GB2312"/>
                <w:b/>
                <w:bCs/>
                <w:sz w:val="28"/>
                <w:szCs w:val="28"/>
                <w:lang w:bidi="ar"/>
              </w:rPr>
            </w:pPr>
            <w:r>
              <w:rPr>
                <w:rFonts w:hint="eastAsia" w:ascii="楷体_GB2312" w:hAnsi="楷体_GB2312" w:eastAsia="楷体_GB2312" w:cs="楷体_GB2312"/>
                <w:b/>
                <w:bCs/>
                <w:sz w:val="28"/>
                <w:szCs w:val="28"/>
                <w:lang w:bidi="ar"/>
              </w:rPr>
              <w:t>专栏14-2：生态保护红线管控要求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3397" w:type="dxa"/>
            <w:vAlign w:val="center"/>
          </w:tcPr>
          <w:p>
            <w:pPr>
              <w:pStyle w:val="51"/>
              <w:rPr>
                <w:rFonts w:ascii="楷体_GB2312" w:hAnsi="楷体_GB2312" w:eastAsia="楷体_GB2312" w:cs="楷体_GB2312"/>
                <w:sz w:val="24"/>
                <w:szCs w:val="28"/>
                <w:lang w:bidi="ar"/>
              </w:rPr>
            </w:pPr>
            <w:r>
              <w:rPr>
                <w:rFonts w:hint="eastAsia" w:ascii="楷体_GB2312" w:hAnsi="楷体_GB2312" w:eastAsia="楷体_GB2312" w:cs="楷体_GB2312"/>
                <w:sz w:val="24"/>
                <w:szCs w:val="28"/>
                <w:lang w:bidi="ar"/>
              </w:rPr>
              <w:t>生态红线管控要求</w:t>
            </w:r>
          </w:p>
        </w:tc>
        <w:tc>
          <w:tcPr>
            <w:tcW w:w="5062" w:type="dxa"/>
            <w:vAlign w:val="center"/>
          </w:tcPr>
          <w:p>
            <w:pPr>
              <w:pStyle w:val="51"/>
              <w:rPr>
                <w:rFonts w:ascii="楷体_GB2312" w:hAnsi="楷体_GB2312" w:eastAsia="楷体_GB2312" w:cs="楷体_GB2312"/>
                <w:sz w:val="24"/>
                <w:szCs w:val="28"/>
                <w:lang w:bidi="ar"/>
              </w:rPr>
            </w:pPr>
            <w:r>
              <w:rPr>
                <w:rFonts w:hint="eastAsia" w:ascii="楷体_GB2312" w:hAnsi="楷体_GB2312" w:eastAsia="楷体_GB2312" w:cs="楷体_GB2312"/>
                <w:sz w:val="24"/>
                <w:szCs w:val="28"/>
                <w:lang w:bidi="ar"/>
              </w:rPr>
              <w:t>有限人为活动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3397" w:type="dxa"/>
          </w:tcPr>
          <w:p>
            <w:pPr>
              <w:pStyle w:val="51"/>
              <w:rPr>
                <w:rFonts w:ascii="楷体_GB2312" w:hAnsi="楷体_GB2312" w:eastAsia="楷体_GB2312" w:cs="楷体_GB2312"/>
                <w:sz w:val="24"/>
                <w:szCs w:val="28"/>
                <w:lang w:bidi="ar"/>
              </w:rPr>
            </w:pPr>
            <w:r>
              <w:rPr>
                <w:rFonts w:hint="eastAsia" w:ascii="楷体_GB2312" w:hAnsi="楷体_GB2312" w:eastAsia="楷体_GB2312" w:cs="楷体_GB2312"/>
                <w:sz w:val="24"/>
                <w:szCs w:val="28"/>
                <w:lang w:bidi="ar"/>
              </w:rPr>
              <w:t>生态保护红线内核心保护区内，禁止一切人为活动，现有村庄须有序退出。</w:t>
            </w:r>
          </w:p>
          <w:p>
            <w:pPr>
              <w:pStyle w:val="51"/>
              <w:rPr>
                <w:rFonts w:ascii="楷体_GB2312" w:hAnsi="楷体_GB2312" w:eastAsia="楷体_GB2312" w:cs="楷体_GB2312"/>
                <w:sz w:val="24"/>
                <w:szCs w:val="28"/>
                <w:lang w:bidi="ar"/>
              </w:rPr>
            </w:pPr>
            <w:r>
              <w:rPr>
                <w:rFonts w:hint="eastAsia" w:ascii="楷体_GB2312" w:hAnsi="楷体_GB2312" w:eastAsia="楷体_GB2312" w:cs="楷体_GB2312"/>
                <w:sz w:val="24"/>
                <w:szCs w:val="28"/>
                <w:lang w:bidi="ar"/>
              </w:rPr>
              <w:t>一般控制区内禁止开发性、生产性建设活动，在符合法律法规的前提下，仅允许以下对生态功能不造成破坏的有限人为活动。</w:t>
            </w:r>
          </w:p>
          <w:p>
            <w:pPr>
              <w:pStyle w:val="51"/>
              <w:rPr>
                <w:rFonts w:ascii="楷体_GB2312" w:hAnsi="楷体_GB2312" w:eastAsia="楷体_GB2312" w:cs="楷体_GB2312"/>
                <w:spacing w:val="30"/>
                <w:sz w:val="24"/>
                <w:szCs w:val="28"/>
              </w:rPr>
            </w:pPr>
            <w:r>
              <w:rPr>
                <w:rFonts w:hint="eastAsia" w:ascii="楷体_GB2312" w:hAnsi="楷体_GB2312" w:eastAsia="楷体_GB2312" w:cs="楷体_GB2312"/>
                <w:sz w:val="24"/>
                <w:szCs w:val="28"/>
                <w:lang w:bidi="ar"/>
              </w:rPr>
              <w:t>国家重大项目或有限人为活动涉及新增建设用地涉及生态红线的，须按有关规定进行论证和并办理相关手续。</w:t>
            </w:r>
            <w:r>
              <w:rPr>
                <w:rFonts w:hint="eastAsia" w:ascii="楷体_GB2312" w:hAnsi="楷体_GB2312" w:eastAsia="楷体_GB2312" w:cs="楷体_GB2312"/>
                <w:spacing w:val="30"/>
                <w:sz w:val="24"/>
                <w:szCs w:val="28"/>
                <w:shd w:val="clear" w:color="auto" w:fill="FFFFFF"/>
                <w:lang w:bidi="ar"/>
              </w:rPr>
              <w:t> </w:t>
            </w:r>
          </w:p>
          <w:p>
            <w:pPr>
              <w:pStyle w:val="51"/>
              <w:rPr>
                <w:rFonts w:ascii="楷体_GB2312" w:hAnsi="楷体_GB2312" w:eastAsia="楷体_GB2312" w:cs="楷体_GB2312"/>
                <w:sz w:val="24"/>
                <w:szCs w:val="28"/>
                <w:lang w:bidi="ar"/>
              </w:rPr>
            </w:pPr>
            <w:r>
              <w:rPr>
                <w:rFonts w:hint="eastAsia" w:ascii="楷体_GB2312" w:hAnsi="楷体_GB2312" w:eastAsia="楷体_GB2312" w:cs="楷体_GB2312"/>
                <w:sz w:val="24"/>
                <w:szCs w:val="28"/>
                <w:lang w:bidi="ar"/>
              </w:rPr>
              <w:t>生态保护红线内涉及自然保护区、风景名胜区、饮用水水源保护区等区域，依照相关法律法规执行。</w:t>
            </w:r>
          </w:p>
          <w:p>
            <w:pPr>
              <w:pStyle w:val="51"/>
              <w:rPr>
                <w:rFonts w:ascii="楷体_GB2312" w:hAnsi="楷体_GB2312" w:eastAsia="楷体_GB2312" w:cs="楷体_GB2312"/>
                <w:sz w:val="24"/>
                <w:szCs w:val="28"/>
              </w:rPr>
            </w:pPr>
            <w:r>
              <w:rPr>
                <w:rFonts w:hint="eastAsia" w:ascii="楷体_GB2312" w:hAnsi="楷体_GB2312" w:eastAsia="楷体_GB2312" w:cs="楷体_GB2312"/>
                <w:sz w:val="24"/>
                <w:szCs w:val="28"/>
                <w:lang w:bidi="ar"/>
              </w:rPr>
              <w:t>生态红线内已有水电、风电、光伏等设施，按照相关法律法规规定进行管理，严禁扩大现有规模与范围，项目到期后由建设单位负责做好生态修复。</w:t>
            </w:r>
          </w:p>
        </w:tc>
        <w:tc>
          <w:tcPr>
            <w:tcW w:w="5062" w:type="dxa"/>
          </w:tcPr>
          <w:p>
            <w:pPr>
              <w:pStyle w:val="51"/>
              <w:rPr>
                <w:rFonts w:ascii="楷体_GB2312" w:hAnsi="楷体_GB2312" w:eastAsia="楷体_GB2312" w:cs="楷体_GB2312"/>
                <w:sz w:val="24"/>
                <w:szCs w:val="28"/>
              </w:rPr>
            </w:pPr>
            <w:r>
              <w:rPr>
                <w:rFonts w:hint="eastAsia" w:ascii="楷体_GB2312" w:hAnsi="楷体_GB2312" w:eastAsia="楷体_GB2312" w:cs="楷体_GB2312"/>
                <w:sz w:val="24"/>
                <w:szCs w:val="28"/>
                <w:lang w:bidi="ar"/>
              </w:rPr>
              <w:t>管护巡护、保护执法、科学研究、调查监测、测绘导航、防灾减灾救灾、军事国防、疫情防控等活动及相关的必要设施修筑。</w:t>
            </w:r>
          </w:p>
          <w:p>
            <w:pPr>
              <w:pStyle w:val="51"/>
              <w:rPr>
                <w:rFonts w:ascii="楷体_GB2312" w:hAnsi="楷体_GB2312" w:eastAsia="楷体_GB2312" w:cs="楷体_GB2312"/>
                <w:sz w:val="24"/>
                <w:szCs w:val="28"/>
                <w:lang w:bidi="ar"/>
              </w:rPr>
            </w:pPr>
            <w:r>
              <w:rPr>
                <w:rFonts w:hint="eastAsia" w:ascii="楷体_GB2312" w:hAnsi="楷体_GB2312" w:eastAsia="楷体_GB2312" w:cs="楷体_GB2312"/>
                <w:sz w:val="24"/>
                <w:szCs w:val="28"/>
                <w:lang w:bidi="ar"/>
              </w:rPr>
              <w:t>原住居民和其他合法权益主体，允许在不扩大现有建设用地、耕地、水产养殖规模和放牧强度的前提下，开展种植、放牧、养殖等活动，修筑生产生活设施。</w:t>
            </w:r>
          </w:p>
          <w:p>
            <w:pPr>
              <w:pStyle w:val="51"/>
              <w:rPr>
                <w:rFonts w:ascii="楷体_GB2312" w:hAnsi="楷体_GB2312" w:eastAsia="楷体_GB2312" w:cs="楷体_GB2312"/>
                <w:sz w:val="24"/>
                <w:szCs w:val="28"/>
                <w:lang w:bidi="ar"/>
              </w:rPr>
            </w:pPr>
            <w:r>
              <w:rPr>
                <w:rFonts w:hint="eastAsia" w:ascii="楷体_GB2312" w:hAnsi="楷体_GB2312" w:eastAsia="楷体_GB2312" w:cs="楷体_GB2312"/>
                <w:sz w:val="24"/>
                <w:szCs w:val="28"/>
                <w:lang w:bidi="ar"/>
              </w:rPr>
              <w:t>经依法批准的考古调查发掘、古生物化石调查发掘、标本采集和文物保护活动。</w:t>
            </w:r>
          </w:p>
          <w:p>
            <w:pPr>
              <w:pStyle w:val="51"/>
              <w:rPr>
                <w:rFonts w:ascii="楷体_GB2312" w:hAnsi="楷体_GB2312" w:eastAsia="楷体_GB2312" w:cs="楷体_GB2312"/>
                <w:sz w:val="24"/>
                <w:szCs w:val="28"/>
                <w:lang w:bidi="ar"/>
              </w:rPr>
            </w:pPr>
            <w:r>
              <w:rPr>
                <w:rFonts w:hint="eastAsia" w:ascii="楷体_GB2312" w:hAnsi="楷体_GB2312" w:eastAsia="楷体_GB2312" w:cs="楷体_GB2312"/>
                <w:sz w:val="24"/>
                <w:szCs w:val="28"/>
                <w:lang w:bidi="ar"/>
              </w:rPr>
              <w:t>按规定对人工商品林进行抚育采伐，或以提升森林质量、优化栖息地、建设生物防火隔离带等为目的的树种更新，依法开展的竹林采伐经营。</w:t>
            </w:r>
          </w:p>
          <w:p>
            <w:pPr>
              <w:pStyle w:val="51"/>
              <w:rPr>
                <w:rFonts w:ascii="楷体_GB2312" w:hAnsi="楷体_GB2312" w:eastAsia="楷体_GB2312" w:cs="楷体_GB2312"/>
                <w:sz w:val="24"/>
                <w:szCs w:val="28"/>
                <w:lang w:bidi="ar"/>
              </w:rPr>
            </w:pPr>
            <w:r>
              <w:rPr>
                <w:rFonts w:hint="eastAsia" w:ascii="楷体_GB2312" w:hAnsi="楷体_GB2312" w:eastAsia="楷体_GB2312" w:cs="楷体_GB2312"/>
                <w:sz w:val="24"/>
                <w:szCs w:val="28"/>
                <w:lang w:bidi="ar"/>
              </w:rPr>
              <w:t>不破坏生态功能的适度参观旅游、科普宣教及符合相关规划的配套性服务设施和相关的必要公共设施建设及维护。</w:t>
            </w:r>
          </w:p>
          <w:p>
            <w:pPr>
              <w:pStyle w:val="51"/>
              <w:rPr>
                <w:rFonts w:ascii="楷体_GB2312" w:hAnsi="楷体_GB2312" w:eastAsia="楷体_GB2312" w:cs="楷体_GB2312"/>
                <w:sz w:val="24"/>
                <w:szCs w:val="28"/>
                <w:lang w:bidi="ar"/>
              </w:rPr>
            </w:pPr>
            <w:r>
              <w:rPr>
                <w:rFonts w:hint="eastAsia" w:ascii="楷体_GB2312" w:hAnsi="楷体_GB2312" w:eastAsia="楷体_GB2312" w:cs="楷体_GB2312"/>
                <w:sz w:val="24"/>
                <w:szCs w:val="28"/>
                <w:lang w:bidi="ar"/>
              </w:rPr>
              <w:t>必须且无法避让、符合县级以上国土空间规划的线性基础设施、通讯和防洪、供水设施建设和船舶航行、航道疏浚清淤等活动；已有的合法水利、交通运输等设施运行维护改造。</w:t>
            </w:r>
          </w:p>
          <w:p>
            <w:pPr>
              <w:pStyle w:val="51"/>
              <w:rPr>
                <w:rFonts w:ascii="楷体_GB2312" w:hAnsi="楷体_GB2312" w:eastAsia="楷体_GB2312" w:cs="楷体_GB2312"/>
                <w:sz w:val="24"/>
                <w:szCs w:val="28"/>
                <w:lang w:bidi="ar"/>
              </w:rPr>
            </w:pPr>
            <w:r>
              <w:rPr>
                <w:rFonts w:hint="eastAsia" w:ascii="楷体_GB2312" w:hAnsi="楷体_GB2312" w:eastAsia="楷体_GB2312" w:cs="楷体_GB2312"/>
                <w:sz w:val="24"/>
                <w:szCs w:val="28"/>
                <w:lang w:bidi="ar"/>
              </w:rPr>
              <w:t>地质调查与矿产资源勘查等公益性工作。</w:t>
            </w:r>
          </w:p>
          <w:p>
            <w:pPr>
              <w:pStyle w:val="51"/>
              <w:rPr>
                <w:rFonts w:ascii="楷体_GB2312" w:hAnsi="楷体_GB2312" w:eastAsia="楷体_GB2312" w:cs="楷体_GB2312"/>
                <w:sz w:val="24"/>
                <w:szCs w:val="28"/>
              </w:rPr>
            </w:pPr>
            <w:r>
              <w:rPr>
                <w:rFonts w:hint="eastAsia" w:ascii="楷体_GB2312" w:hAnsi="楷体_GB2312" w:eastAsia="楷体_GB2312" w:cs="楷体_GB2312"/>
                <w:sz w:val="24"/>
                <w:szCs w:val="28"/>
                <w:lang w:bidi="ar"/>
              </w:rPr>
              <w:t>依据县级以上国土空间规划和生态保护修复专项规划开展的生态修复。</w:t>
            </w:r>
          </w:p>
        </w:tc>
      </w:tr>
    </w:tbl>
    <w:p>
      <w:r>
        <w:rPr>
          <w:rFonts w:hint="eastAsia"/>
        </w:rPr>
        <w:t>水域、林地、草地等生态空间，原则上不允许进行开发性、生产性建设，已有的、不符合资源环境保护要求的建设项目，应限期搬迁。</w:t>
      </w:r>
    </w:p>
    <w:p>
      <w:r>
        <w:rPr>
          <w:rFonts w:hint="eastAsia"/>
        </w:rPr>
        <w:t>禁止任何单位和个人危害、破坏林地，不得擅自毁林开垦和毁林采矿、采石、采砂、取士、造墓、修筑工程设施及其他造成毁坏林地的行为。涉及建设占用林地等生态空间的，须办理林地等相关手续。鼓励利用宜林荒山、荒地、荒滩、废弃地造林</w:t>
      </w:r>
    </w:p>
    <w:p>
      <w:pPr>
        <w:pStyle w:val="4"/>
      </w:pPr>
      <w:r>
        <w:t>建设空间管控</w:t>
      </w:r>
    </w:p>
    <w:p>
      <w:r>
        <w:rPr>
          <w:rFonts w:hint="eastAsia"/>
        </w:rPr>
        <w:t>1.村庄建设用地管控</w:t>
      </w:r>
    </w:p>
    <w:p>
      <w:r>
        <w:rPr>
          <w:rFonts w:hint="eastAsia"/>
        </w:rPr>
        <w:t>村庄建设项目应当位于村庄建设边界内，符合镇国土空间规划明确的国土空间用途管制规则和建设管控要求。</w:t>
      </w:r>
    </w:p>
    <w:p>
      <w:r>
        <w:rPr>
          <w:rFonts w:hint="eastAsia"/>
        </w:rPr>
        <w:t>位于村庄建设边界外拟撤并搬迁村庄部分，不得进行翻建、扩建、改建。</w:t>
      </w:r>
    </w:p>
    <w:p>
      <w:r>
        <w:rPr>
          <w:rFonts w:hint="eastAsia"/>
        </w:rPr>
        <w:t>位于村庄建设边界内但属于撤并搬迁类村庄部分，可以进行加固、维修，但不能进行翻建、扩建、改建。</w:t>
      </w:r>
    </w:p>
    <w:p>
      <w:r>
        <w:t>村庄建设项目位于自然保护地、风景名胜区、文物保护范围和建设控制地带、历史文化名村、传统村落等区域的,还须符合相关专项规划。</w:t>
      </w:r>
    </w:p>
    <w:p>
      <w:r>
        <w:t>村庄建设项目选址位置应当遵循的一般原则：</w:t>
      </w:r>
      <w:r>
        <w:rPr>
          <w:rFonts w:hint="eastAsia"/>
        </w:rPr>
        <w:t>应选址在地质条件较好、环境适宜、交通方便的地段。坚持节约集约用地，充分利用村内空闲地、废弃地，满足消防、抗震、防洪要求，不得阻碍交通、侵占公共用地和邻里通道，妥善处理给水、排水、日照、采光、通风等方面的相邻关系。严格控制切坡建房，确因用地因难需要切坡的，应当在乡镇政府指导下，按照有关技术规范做好坡体防护工作，确保安全。</w:t>
      </w:r>
    </w:p>
    <w:p>
      <w:r>
        <w:t>村庄建设项目不得在下列地点或地段选址：</w:t>
      </w:r>
      <w:r>
        <w:rPr>
          <w:rFonts w:hint="eastAsia"/>
        </w:rPr>
        <w:t>山体滑坡、泥石流、危岩、塌陷等地质灾害易发区或次生灾害隐患易发地段。洪涝灾害危险地段。文物保护区。生态保护红线、永久基本农田保护区、永久基本农田储备区、生态资源保护区、饮用水源一级保护区、风景名胜区核心保护区、自然保护区核心区和缓冲区、历史文化核心保护范围内。输油、输气管道上、高压供电走廊下。危险化学品生产企业、危险化学品储存仓库或危房旁边。河道管理范围和渠道的控制区范围内。法律、法规禁止建设建（构）筑物的其他区域。</w:t>
      </w:r>
    </w:p>
    <w:p>
      <w:pPr>
        <w:rPr>
          <w:lang w:bidi="ar"/>
        </w:rPr>
      </w:pPr>
      <w:r>
        <w:rPr>
          <w:lang w:bidi="ar"/>
        </w:rPr>
        <w:t>在高铁、国道、省道等交通干线两侧新建农村建筑，必须满足以下铁路、公路</w:t>
      </w:r>
      <w:r>
        <w:rPr>
          <w:rFonts w:hint="eastAsia"/>
          <w:lang w:bidi="ar"/>
        </w:rPr>
        <w:t>控制距离</w:t>
      </w:r>
      <w:r>
        <w:rPr>
          <w:lang w:bidi="ar"/>
        </w:rPr>
        <w:t>要求：</w:t>
      </w:r>
    </w:p>
    <w:tbl>
      <w:tblPr>
        <w:tblStyle w:val="32"/>
        <w:tblW w:w="83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5155"/>
        <w:gridCol w:w="1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5" w:type="dxa"/>
            <w:gridSpan w:val="3"/>
          </w:tcPr>
          <w:p>
            <w:pPr>
              <w:pStyle w:val="108"/>
              <w:rPr>
                <w:rFonts w:ascii="仿宋_GB2312" w:hAnsi="仿宋_GB2312" w:cs="仿宋_GB2312"/>
                <w:sz w:val="24"/>
                <w:szCs w:val="24"/>
                <w:lang w:bidi="ar"/>
              </w:rPr>
            </w:pPr>
            <w:r>
              <w:rPr>
                <w:rFonts w:hint="eastAsia" w:ascii="仿宋_GB2312" w:hAnsi="仿宋_GB2312" w:cs="仿宋_GB2312"/>
                <w:szCs w:val="28"/>
                <w:lang w:bidi="ar"/>
              </w:rPr>
              <w:t>专栏14-3：建筑退让铁路的控制距离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pStyle w:val="105"/>
              <w:rPr>
                <w:rFonts w:ascii="仿宋_GB2312" w:hAnsi="仿宋_GB2312" w:cs="仿宋_GB2312"/>
                <w:sz w:val="24"/>
                <w:szCs w:val="24"/>
              </w:rPr>
            </w:pPr>
            <w:r>
              <w:rPr>
                <w:rFonts w:hint="eastAsia" w:ascii="仿宋_GB2312" w:hAnsi="仿宋_GB2312" w:cs="仿宋_GB2312"/>
                <w:sz w:val="24"/>
                <w:szCs w:val="24"/>
              </w:rPr>
              <w:t>铁路等级</w:t>
            </w:r>
          </w:p>
        </w:tc>
        <w:tc>
          <w:tcPr>
            <w:tcW w:w="5155" w:type="dxa"/>
          </w:tcPr>
          <w:p>
            <w:pPr>
              <w:pStyle w:val="105"/>
              <w:rPr>
                <w:rFonts w:ascii="仿宋_GB2312" w:hAnsi="仿宋_GB2312" w:cs="仿宋_GB2312"/>
                <w:sz w:val="24"/>
                <w:szCs w:val="24"/>
              </w:rPr>
            </w:pPr>
            <w:r>
              <w:rPr>
                <w:rFonts w:hint="eastAsia" w:ascii="仿宋_GB2312" w:hAnsi="仿宋_GB2312" w:cs="仿宋_GB2312"/>
                <w:sz w:val="24"/>
                <w:szCs w:val="24"/>
              </w:rPr>
              <w:t>建筑边缘与铁路路基外侧的距离（米）</w:t>
            </w:r>
          </w:p>
        </w:tc>
        <w:tc>
          <w:tcPr>
            <w:tcW w:w="1770" w:type="dxa"/>
          </w:tcPr>
          <w:p>
            <w:pPr>
              <w:pStyle w:val="105"/>
              <w:rPr>
                <w:rFonts w:ascii="仿宋_GB2312" w:hAnsi="仿宋_GB2312" w:cs="仿宋_GB2312"/>
                <w:sz w:val="24"/>
                <w:szCs w:val="24"/>
              </w:rPr>
            </w:pPr>
            <w:r>
              <w:rPr>
                <w:rFonts w:hint="eastAsia" w:ascii="仿宋_GB2312" w:hAnsi="仿宋_GB2312" w:cs="仿宋_GB2312"/>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pStyle w:val="105"/>
              <w:rPr>
                <w:rFonts w:ascii="仿宋_GB2312" w:hAnsi="仿宋_GB2312" w:cs="仿宋_GB2312"/>
                <w:sz w:val="24"/>
                <w:szCs w:val="24"/>
              </w:rPr>
            </w:pPr>
            <w:r>
              <w:rPr>
                <w:rFonts w:hint="eastAsia" w:ascii="仿宋_GB2312" w:hAnsi="仿宋_GB2312" w:cs="仿宋_GB2312"/>
                <w:sz w:val="24"/>
                <w:szCs w:val="24"/>
              </w:rPr>
              <w:t>高铁</w:t>
            </w:r>
          </w:p>
        </w:tc>
        <w:tc>
          <w:tcPr>
            <w:tcW w:w="5155" w:type="dxa"/>
          </w:tcPr>
          <w:p>
            <w:pPr>
              <w:pStyle w:val="105"/>
              <w:rPr>
                <w:rFonts w:ascii="仿宋_GB2312" w:hAnsi="仿宋_GB2312" w:cs="仿宋_GB2312"/>
                <w:sz w:val="24"/>
                <w:szCs w:val="24"/>
              </w:rPr>
            </w:pPr>
            <w:r>
              <w:rPr>
                <w:rFonts w:hint="eastAsia" w:ascii="仿宋_GB2312" w:hAnsi="仿宋_GB2312" w:cs="仿宋_GB2312"/>
                <w:sz w:val="24"/>
                <w:szCs w:val="24"/>
              </w:rPr>
              <w:t>不低于50米</w:t>
            </w:r>
          </w:p>
        </w:tc>
        <w:tc>
          <w:tcPr>
            <w:tcW w:w="1770" w:type="dxa"/>
          </w:tcPr>
          <w:p>
            <w:pPr>
              <w:pStyle w:val="105"/>
              <w:rPr>
                <w:rFonts w:ascii="仿宋_GB2312" w:hAnsi="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0" w:type="dxa"/>
          </w:tcPr>
          <w:p>
            <w:pPr>
              <w:pStyle w:val="105"/>
              <w:rPr>
                <w:rFonts w:ascii="仿宋_GB2312" w:hAnsi="仿宋_GB2312" w:cs="仿宋_GB2312"/>
                <w:sz w:val="24"/>
                <w:szCs w:val="24"/>
              </w:rPr>
            </w:pPr>
            <w:r>
              <w:rPr>
                <w:rFonts w:hint="eastAsia" w:ascii="仿宋_GB2312" w:hAnsi="仿宋_GB2312" w:cs="仿宋_GB2312"/>
                <w:sz w:val="24"/>
                <w:szCs w:val="24"/>
              </w:rPr>
              <w:t>铁路干线</w:t>
            </w:r>
          </w:p>
        </w:tc>
        <w:tc>
          <w:tcPr>
            <w:tcW w:w="5155" w:type="dxa"/>
          </w:tcPr>
          <w:p>
            <w:pPr>
              <w:pStyle w:val="105"/>
              <w:rPr>
                <w:rFonts w:ascii="仿宋_GB2312" w:hAnsi="仿宋_GB2312" w:cs="仿宋_GB2312"/>
                <w:sz w:val="24"/>
                <w:szCs w:val="24"/>
              </w:rPr>
            </w:pPr>
            <w:r>
              <w:rPr>
                <w:rFonts w:hint="eastAsia" w:ascii="仿宋_GB2312" w:hAnsi="仿宋_GB2312" w:cs="仿宋_GB2312"/>
                <w:sz w:val="24"/>
                <w:szCs w:val="24"/>
              </w:rPr>
              <w:t>不低于30米</w:t>
            </w:r>
          </w:p>
        </w:tc>
        <w:tc>
          <w:tcPr>
            <w:tcW w:w="1770" w:type="dxa"/>
          </w:tcPr>
          <w:p>
            <w:pPr>
              <w:pStyle w:val="105"/>
              <w:rPr>
                <w:rFonts w:ascii="仿宋_GB2312" w:hAnsi="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pStyle w:val="105"/>
              <w:rPr>
                <w:rFonts w:ascii="仿宋_GB2312" w:hAnsi="仿宋_GB2312" w:cs="仿宋_GB2312"/>
                <w:sz w:val="24"/>
                <w:szCs w:val="24"/>
              </w:rPr>
            </w:pPr>
            <w:r>
              <w:rPr>
                <w:rFonts w:hint="eastAsia" w:ascii="仿宋_GB2312" w:hAnsi="仿宋_GB2312" w:cs="仿宋_GB2312"/>
                <w:sz w:val="24"/>
                <w:szCs w:val="24"/>
              </w:rPr>
              <w:t>铁路支线</w:t>
            </w:r>
          </w:p>
        </w:tc>
        <w:tc>
          <w:tcPr>
            <w:tcW w:w="5155" w:type="dxa"/>
          </w:tcPr>
          <w:p>
            <w:pPr>
              <w:pStyle w:val="105"/>
              <w:rPr>
                <w:rFonts w:ascii="仿宋_GB2312" w:hAnsi="仿宋_GB2312" w:cs="仿宋_GB2312"/>
                <w:sz w:val="24"/>
                <w:szCs w:val="24"/>
              </w:rPr>
            </w:pPr>
            <w:r>
              <w:rPr>
                <w:rFonts w:hint="eastAsia" w:ascii="仿宋_GB2312" w:hAnsi="仿宋_GB2312" w:cs="仿宋_GB2312"/>
                <w:sz w:val="24"/>
                <w:szCs w:val="24"/>
              </w:rPr>
              <w:t>不低于20米</w:t>
            </w:r>
          </w:p>
        </w:tc>
        <w:tc>
          <w:tcPr>
            <w:tcW w:w="1770" w:type="dxa"/>
          </w:tcPr>
          <w:p>
            <w:pPr>
              <w:pStyle w:val="105"/>
              <w:rPr>
                <w:rFonts w:ascii="仿宋_GB2312" w:hAnsi="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5" w:type="dxa"/>
            <w:gridSpan w:val="3"/>
          </w:tcPr>
          <w:p>
            <w:pPr>
              <w:pStyle w:val="108"/>
              <w:rPr>
                <w:rFonts w:ascii="仿宋_GB2312" w:hAnsi="仿宋_GB2312" w:cs="仿宋_GB2312"/>
                <w:sz w:val="24"/>
                <w:szCs w:val="24"/>
                <w:lang w:bidi="ar"/>
              </w:rPr>
            </w:pPr>
            <w:r>
              <w:rPr>
                <w:rFonts w:hint="eastAsia" w:ascii="仿宋_GB2312" w:hAnsi="仿宋_GB2312" w:cs="仿宋_GB2312"/>
                <w:szCs w:val="28"/>
                <w:lang w:bidi="ar"/>
              </w:rPr>
              <w:t>专栏14-4：建筑退让公路的控制距离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公路等级</w:t>
            </w:r>
          </w:p>
        </w:tc>
        <w:tc>
          <w:tcPr>
            <w:tcW w:w="5155" w:type="dxa"/>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建筑边缘与公路边沟外侧的距离（米）</w:t>
            </w:r>
          </w:p>
        </w:tc>
        <w:tc>
          <w:tcPr>
            <w:tcW w:w="1770" w:type="dxa"/>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0" w:type="dxa"/>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高速</w:t>
            </w:r>
          </w:p>
        </w:tc>
        <w:tc>
          <w:tcPr>
            <w:tcW w:w="5155" w:type="dxa"/>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不少于30米</w:t>
            </w:r>
          </w:p>
        </w:tc>
        <w:tc>
          <w:tcPr>
            <w:tcW w:w="1770" w:type="dxa"/>
          </w:tcPr>
          <w:p>
            <w:pPr>
              <w:pStyle w:val="105"/>
              <w:rPr>
                <w:rFonts w:ascii="仿宋_GB2312" w:hAnsi="仿宋_GB2312"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国道</w:t>
            </w:r>
          </w:p>
        </w:tc>
        <w:tc>
          <w:tcPr>
            <w:tcW w:w="5155" w:type="dxa"/>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不少于20米</w:t>
            </w:r>
          </w:p>
        </w:tc>
        <w:tc>
          <w:tcPr>
            <w:tcW w:w="1770" w:type="dxa"/>
          </w:tcPr>
          <w:p>
            <w:pPr>
              <w:pStyle w:val="105"/>
              <w:rPr>
                <w:rFonts w:ascii="仿宋_GB2312" w:hAnsi="仿宋_GB2312"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省道</w:t>
            </w:r>
          </w:p>
        </w:tc>
        <w:tc>
          <w:tcPr>
            <w:tcW w:w="5155" w:type="dxa"/>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不少于15米</w:t>
            </w:r>
          </w:p>
        </w:tc>
        <w:tc>
          <w:tcPr>
            <w:tcW w:w="1770" w:type="dxa"/>
          </w:tcPr>
          <w:p>
            <w:pPr>
              <w:pStyle w:val="105"/>
              <w:rPr>
                <w:rFonts w:ascii="仿宋_GB2312" w:hAnsi="仿宋_GB2312"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县道</w:t>
            </w:r>
          </w:p>
        </w:tc>
        <w:tc>
          <w:tcPr>
            <w:tcW w:w="5155" w:type="dxa"/>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不少于10米</w:t>
            </w:r>
          </w:p>
        </w:tc>
        <w:tc>
          <w:tcPr>
            <w:tcW w:w="1770" w:type="dxa"/>
          </w:tcPr>
          <w:p>
            <w:pPr>
              <w:pStyle w:val="105"/>
              <w:rPr>
                <w:rFonts w:ascii="仿宋_GB2312" w:hAnsi="仿宋_GB2312"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0" w:type="dxa"/>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乡道</w:t>
            </w:r>
          </w:p>
        </w:tc>
        <w:tc>
          <w:tcPr>
            <w:tcW w:w="5155" w:type="dxa"/>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不少于5米</w:t>
            </w:r>
          </w:p>
        </w:tc>
        <w:tc>
          <w:tcPr>
            <w:tcW w:w="1770" w:type="dxa"/>
          </w:tcPr>
          <w:p>
            <w:pPr>
              <w:pStyle w:val="105"/>
              <w:rPr>
                <w:rFonts w:ascii="仿宋_GB2312" w:hAnsi="仿宋_GB2312" w:cs="仿宋_GB2312"/>
                <w:sz w:val="24"/>
                <w:szCs w:val="24"/>
                <w:lang w:bidi="ar"/>
              </w:rPr>
            </w:pPr>
          </w:p>
        </w:tc>
      </w:tr>
    </w:tbl>
    <w:p>
      <w:r>
        <w:t>乡村范围内各类建筑退河道管护范围线不得小于5米，且应结合防洪、生态、水系及其他专项规划进行合理控制。</w:t>
      </w:r>
    </w:p>
    <w:p>
      <w:r>
        <w:rPr>
          <w:rFonts w:hint="eastAsia"/>
        </w:rPr>
        <w:t>2.农村村民自建住房管控</w:t>
      </w:r>
    </w:p>
    <w:p>
      <w:r>
        <w:t>村庄建设边界内建设用地优先保障村民自建住房用地，住宅用地不足的不得安排其他产业用地。</w:t>
      </w:r>
      <w:r>
        <w:rPr>
          <w:rFonts w:hint="eastAsia"/>
        </w:rPr>
        <w:t>村庄用地规划按住宅用地、村庄公共设施、公益事业、产业用地顺序保障。</w:t>
      </w:r>
    </w:p>
    <w:p>
      <w:r>
        <w:t>农村村民自建住房建设主体应符合农村宅基地申请条件。</w:t>
      </w:r>
      <w:r>
        <w:rPr>
          <w:rFonts w:hint="eastAsia"/>
        </w:rPr>
        <w:t>农村村民一户只能拥有一处宅基地。新建宅基地</w:t>
      </w:r>
      <w:r>
        <w:t>每户宅基地面积不得超过167平方米。</w:t>
      </w:r>
    </w:p>
    <w:p>
      <w:r>
        <w:rPr>
          <w:rFonts w:hint="eastAsia"/>
        </w:rPr>
        <w:t>利用村内原宅基地改造、翻建的，应符合村规民约，与周边住宅建筑对齐，不得扩大用地规模。涉及妨碍村庄道路等公共空间的，须按村规民约退出。</w:t>
      </w:r>
    </w:p>
    <w:p>
      <w:r>
        <w:rPr>
          <w:rFonts w:hint="eastAsia"/>
        </w:rPr>
        <w:t>村民按照规划另选址建房的，无偿退回原有宅基地。</w:t>
      </w:r>
    </w:p>
    <w:p>
      <w:r>
        <w:t>村村民自建住房建筑一般以两层为主，最高不超过三层，建筑限高12米。</w:t>
      </w:r>
    </w:p>
    <w:p>
      <w:r>
        <w:rPr>
          <w:rFonts w:hint="eastAsia"/>
        </w:rPr>
        <w:t>各村村民自建住房在不超建筑限高</w:t>
      </w:r>
      <w:r>
        <w:t>12米的前提下，可根据本村规民约、风土人情、地理环境特点等因素合理确定各村住宅层高及限高，并体现在本村村庄规划或村规民约中。</w:t>
      </w:r>
    </w:p>
    <w:p>
      <w:r>
        <w:rPr>
          <w:rFonts w:hint="eastAsia"/>
        </w:rPr>
        <w:t>对于机场、风景名胜区、文物保护区、传统村落保护区等特殊地段的村民自建住宅，建筑限高还须符合其他相关部门的专项规定。</w:t>
      </w:r>
    </w:p>
    <w:p>
      <w:r>
        <w:rPr>
          <w:rFonts w:hint="eastAsia"/>
        </w:rPr>
        <w:t>平原地区室内外高差不宜大于</w:t>
      </w:r>
      <w:r>
        <w:t>0.45米、院落和街巷高差不宜大于0.3米</w:t>
      </w:r>
      <w:r>
        <w:rPr>
          <w:rFonts w:hint="eastAsia" w:hAnsi="仿宋_GB2312" w:cs="仿宋_GB2312"/>
        </w:rPr>
        <w:t>。</w:t>
      </w:r>
    </w:p>
    <w:p>
      <w:r>
        <w:t>农村村民自建住宅建筑临距应符合村规民约，不妨害相邻权、地役权，应保证相邻利益方房屋的正常采光和通行要求，并符合《农村防火规范（GB50039-2010）》规定。</w:t>
      </w:r>
      <w:r>
        <w:rPr>
          <w:rFonts w:hint="eastAsia"/>
        </w:rPr>
        <w:t>村民联排自建住房（并山）可不考虑山墙建筑间距。</w:t>
      </w:r>
    </w:p>
    <w:p>
      <w:r>
        <w:t>农村村民自建住宅临村内道路进行住宅建设，宜按下列原则退让道路。</w:t>
      </w:r>
      <w:r>
        <w:rPr>
          <w:rFonts w:hint="eastAsia"/>
        </w:rPr>
        <w:t>新建村民自建住房临路方向应与同侧相邻建筑外墙面边界齐平，保证沿路建筑的整齐美观。临路方向退缩距离如有村规民约的，按照村规民约约定退让距离执行。村规民约没有约定的，按照正向临路方向退缩不宜小于</w:t>
      </w:r>
      <w:r>
        <w:t>2米(以道路边线为基准)，侧向临路方向退缩不宜小于1米(以道路中边线为基准)规定执行。</w:t>
      </w:r>
      <w:r>
        <w:rPr>
          <w:rFonts w:hint="eastAsia"/>
        </w:rPr>
        <w:t>村民自建住房与其他公共建筑、企业、仓储等建筑间距离，须符合建筑防火规范。</w:t>
      </w:r>
    </w:p>
    <w:p>
      <w:r>
        <w:t>农村村民自建住房可按照</w:t>
      </w:r>
      <w:r>
        <w:rPr>
          <w:rFonts w:hint="eastAsia"/>
        </w:rPr>
        <w:t>村庄规划推荐</w:t>
      </w:r>
      <w:r>
        <w:t>的农村住房设计图集建设或自行聘请设计单位进行。自行设计的，建筑风貌应与本村建筑风貌一致，符合村规民约，尊重本村居民居住习惯。村民自建低层经营性建筑或三层（含）以上住宅的，必须由有资质建筑设计单位进行设计，并按有关建筑规范要求施工。</w:t>
      </w:r>
    </w:p>
    <w:p>
      <w:r>
        <w:t>鼓励开展“空心村”、闲置用地整治，集约节约用地。为节约集约用地，对宅基地特别紧张的村庄，集体经济组织可通过综合整治，本着村民自愿的原则，统筹建设多层村民集中住宅楼，实现户有所居。</w:t>
      </w:r>
      <w:r>
        <w:rPr>
          <w:rFonts w:hint="eastAsia"/>
        </w:rPr>
        <w:t>村民集中住宅楼只限本村村民，不得对外销售、租赁。</w:t>
      </w:r>
    </w:p>
    <w:p>
      <w:r>
        <w:t>村民集中住宅楼、保障性租赁住房可按下列指标控制</w:t>
      </w:r>
      <w:r>
        <w:rPr>
          <w:rFonts w:hint="eastAsia"/>
        </w:rPr>
        <w:t>。</w:t>
      </w:r>
    </w:p>
    <w:tbl>
      <w:tblPr>
        <w:tblStyle w:val="32"/>
        <w:tblpPr w:leftFromText="180" w:rightFromText="180" w:vertAnchor="text" w:horzAnchor="page" w:tblpX="1821" w:tblpY="286"/>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4"/>
        <w:gridCol w:w="1328"/>
        <w:gridCol w:w="1464"/>
        <w:gridCol w:w="1464"/>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5000" w:type="pct"/>
            <w:gridSpan w:val="5"/>
          </w:tcPr>
          <w:p>
            <w:pPr>
              <w:pStyle w:val="108"/>
              <w:rPr>
                <w:sz w:val="24"/>
                <w:szCs w:val="24"/>
              </w:rPr>
            </w:pPr>
            <w:r>
              <w:rPr>
                <w:rFonts w:hint="eastAsia"/>
                <w:szCs w:val="28"/>
              </w:rPr>
              <w:t>专栏1</w:t>
            </w:r>
            <w:r>
              <w:rPr>
                <w:szCs w:val="28"/>
              </w:rPr>
              <w:t>4-5</w:t>
            </w:r>
            <w:r>
              <w:rPr>
                <w:rFonts w:hint="eastAsia"/>
                <w:szCs w:val="28"/>
              </w:rPr>
              <w:t>：村庄集中住宅楼、保障性租赁住房建设指标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58" w:type="pct"/>
            <w:vAlign w:val="center"/>
          </w:tcPr>
          <w:p>
            <w:pPr>
              <w:pStyle w:val="105"/>
              <w:rPr>
                <w:rFonts w:ascii="楷体_GB2312" w:hAnsi="楷体_GB2312" w:eastAsia="楷体_GB2312" w:cs="楷体_GB2312"/>
                <w:sz w:val="24"/>
                <w:szCs w:val="24"/>
                <w:lang w:bidi="ar"/>
              </w:rPr>
            </w:pPr>
            <w:r>
              <w:rPr>
                <w:rFonts w:hint="eastAsia" w:ascii="楷体_GB2312" w:hAnsi="楷体_GB2312" w:eastAsia="楷体_GB2312" w:cs="楷体_GB2312"/>
                <w:sz w:val="24"/>
                <w:szCs w:val="24"/>
                <w:lang w:bidi="ar"/>
              </w:rPr>
              <w:t>容积率</w:t>
            </w:r>
          </w:p>
        </w:tc>
        <w:tc>
          <w:tcPr>
            <w:tcW w:w="779" w:type="pct"/>
            <w:vAlign w:val="center"/>
          </w:tcPr>
          <w:p>
            <w:pPr>
              <w:pStyle w:val="105"/>
              <w:rPr>
                <w:rFonts w:ascii="楷体_GB2312" w:hAnsi="楷体_GB2312" w:eastAsia="楷体_GB2312" w:cs="楷体_GB2312"/>
                <w:sz w:val="24"/>
                <w:szCs w:val="24"/>
                <w:lang w:bidi="ar"/>
              </w:rPr>
            </w:pPr>
            <w:r>
              <w:rPr>
                <w:rFonts w:hint="eastAsia" w:ascii="楷体_GB2312" w:hAnsi="楷体_GB2312" w:eastAsia="楷体_GB2312" w:cs="楷体_GB2312"/>
                <w:sz w:val="24"/>
                <w:szCs w:val="24"/>
                <w:lang w:bidi="ar"/>
              </w:rPr>
              <w:t>建筑密度</w:t>
            </w:r>
          </w:p>
        </w:tc>
        <w:tc>
          <w:tcPr>
            <w:tcW w:w="859" w:type="pct"/>
            <w:vAlign w:val="center"/>
          </w:tcPr>
          <w:p>
            <w:pPr>
              <w:pStyle w:val="105"/>
              <w:rPr>
                <w:rFonts w:ascii="楷体_GB2312" w:hAnsi="楷体_GB2312" w:eastAsia="楷体_GB2312" w:cs="楷体_GB2312"/>
                <w:sz w:val="24"/>
                <w:szCs w:val="24"/>
                <w:lang w:bidi="ar"/>
              </w:rPr>
            </w:pPr>
            <w:r>
              <w:rPr>
                <w:rFonts w:hint="eastAsia" w:ascii="楷体_GB2312" w:hAnsi="楷体_GB2312" w:eastAsia="楷体_GB2312" w:cs="楷体_GB2312"/>
                <w:sz w:val="24"/>
                <w:szCs w:val="24"/>
                <w:lang w:bidi="ar"/>
              </w:rPr>
              <w:t>绿化率</w:t>
            </w:r>
          </w:p>
        </w:tc>
        <w:tc>
          <w:tcPr>
            <w:tcW w:w="859" w:type="pct"/>
            <w:vAlign w:val="center"/>
          </w:tcPr>
          <w:p>
            <w:pPr>
              <w:pStyle w:val="105"/>
              <w:rPr>
                <w:rFonts w:ascii="楷体_GB2312" w:hAnsi="楷体_GB2312" w:eastAsia="楷体_GB2312" w:cs="楷体_GB2312"/>
                <w:sz w:val="24"/>
                <w:szCs w:val="24"/>
                <w:lang w:bidi="ar"/>
              </w:rPr>
            </w:pPr>
            <w:r>
              <w:rPr>
                <w:rFonts w:hint="eastAsia" w:ascii="楷体_GB2312" w:hAnsi="楷体_GB2312" w:eastAsia="楷体_GB2312" w:cs="楷体_GB2312"/>
                <w:sz w:val="24"/>
                <w:szCs w:val="24"/>
                <w:lang w:bidi="ar"/>
              </w:rPr>
              <w:t>建筑高度</w:t>
            </w:r>
          </w:p>
        </w:tc>
        <w:tc>
          <w:tcPr>
            <w:tcW w:w="1245" w:type="pct"/>
            <w:vAlign w:val="center"/>
          </w:tcPr>
          <w:p>
            <w:pPr>
              <w:pStyle w:val="105"/>
              <w:rPr>
                <w:rFonts w:ascii="楷体_GB2312" w:hAnsi="楷体_GB2312" w:eastAsia="楷体_GB2312" w:cs="楷体_GB2312"/>
                <w:sz w:val="24"/>
                <w:szCs w:val="24"/>
                <w:lang w:bidi="ar"/>
              </w:rPr>
            </w:pPr>
            <w:r>
              <w:rPr>
                <w:rFonts w:hint="eastAsia" w:ascii="楷体_GB2312" w:hAnsi="楷体_GB2312" w:eastAsia="楷体_GB2312" w:cs="楷体_GB2312"/>
                <w:sz w:val="24"/>
                <w:szCs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258" w:type="pct"/>
            <w:vAlign w:val="center"/>
          </w:tcPr>
          <w:p>
            <w:pPr>
              <w:pStyle w:val="105"/>
              <w:rPr>
                <w:rFonts w:ascii="楷体_GB2312" w:hAnsi="楷体_GB2312" w:eastAsia="楷体_GB2312" w:cs="楷体_GB2312"/>
                <w:sz w:val="24"/>
                <w:szCs w:val="24"/>
                <w:lang w:bidi="ar"/>
              </w:rPr>
            </w:pPr>
            <w:r>
              <w:rPr>
                <w:rFonts w:hint="eastAsia" w:ascii="楷体_GB2312" w:hAnsi="楷体_GB2312" w:eastAsia="楷体_GB2312" w:cs="楷体_GB2312"/>
                <w:sz w:val="24"/>
                <w:szCs w:val="24"/>
                <w:lang w:bidi="ar"/>
              </w:rPr>
              <w:t>1.0-1.5</w:t>
            </w:r>
          </w:p>
        </w:tc>
        <w:tc>
          <w:tcPr>
            <w:tcW w:w="779" w:type="pct"/>
            <w:vAlign w:val="center"/>
          </w:tcPr>
          <w:p>
            <w:pPr>
              <w:pStyle w:val="105"/>
              <w:rPr>
                <w:rFonts w:ascii="楷体_GB2312" w:hAnsi="楷体_GB2312" w:eastAsia="楷体_GB2312" w:cs="楷体_GB2312"/>
                <w:sz w:val="24"/>
                <w:szCs w:val="24"/>
                <w:lang w:bidi="ar"/>
              </w:rPr>
            </w:pPr>
            <w:r>
              <w:rPr>
                <w:rFonts w:hint="eastAsia" w:ascii="楷体_GB2312" w:hAnsi="楷体_GB2312" w:eastAsia="楷体_GB2312" w:cs="楷体_GB2312"/>
                <w:sz w:val="24"/>
                <w:szCs w:val="24"/>
                <w:lang w:bidi="ar"/>
              </w:rPr>
              <w:t>＜35%</w:t>
            </w:r>
          </w:p>
        </w:tc>
        <w:tc>
          <w:tcPr>
            <w:tcW w:w="859" w:type="pct"/>
            <w:vAlign w:val="center"/>
          </w:tcPr>
          <w:p>
            <w:pPr>
              <w:pStyle w:val="105"/>
              <w:rPr>
                <w:rFonts w:ascii="楷体_GB2312" w:hAnsi="楷体_GB2312" w:eastAsia="楷体_GB2312" w:cs="楷体_GB2312"/>
                <w:sz w:val="24"/>
                <w:szCs w:val="24"/>
                <w:lang w:bidi="ar"/>
              </w:rPr>
            </w:pPr>
            <w:r>
              <w:rPr>
                <w:rFonts w:hint="eastAsia" w:ascii="楷体_GB2312" w:hAnsi="楷体_GB2312" w:eastAsia="楷体_GB2312" w:cs="楷体_GB2312"/>
                <w:sz w:val="24"/>
                <w:szCs w:val="24"/>
                <w:lang w:bidi="ar"/>
              </w:rPr>
              <w:t>＞30%</w:t>
            </w:r>
          </w:p>
        </w:tc>
        <w:tc>
          <w:tcPr>
            <w:tcW w:w="859" w:type="pct"/>
            <w:vAlign w:val="center"/>
          </w:tcPr>
          <w:p>
            <w:pPr>
              <w:pStyle w:val="105"/>
              <w:rPr>
                <w:rFonts w:ascii="楷体_GB2312" w:hAnsi="楷体_GB2312" w:eastAsia="楷体_GB2312" w:cs="楷体_GB2312"/>
                <w:sz w:val="24"/>
                <w:szCs w:val="24"/>
                <w:lang w:bidi="ar"/>
              </w:rPr>
            </w:pPr>
            <w:r>
              <w:rPr>
                <w:rFonts w:hint="eastAsia" w:ascii="楷体_GB2312" w:hAnsi="楷体_GB2312" w:eastAsia="楷体_GB2312" w:cs="楷体_GB2312"/>
                <w:sz w:val="24"/>
                <w:szCs w:val="24"/>
                <w:lang w:bidi="ar"/>
              </w:rPr>
              <w:t>＜24米</w:t>
            </w:r>
          </w:p>
        </w:tc>
        <w:tc>
          <w:tcPr>
            <w:tcW w:w="1245" w:type="pct"/>
            <w:vAlign w:val="center"/>
          </w:tcPr>
          <w:p>
            <w:pPr>
              <w:pStyle w:val="105"/>
              <w:rPr>
                <w:rFonts w:ascii="楷体_GB2312" w:hAnsi="楷体_GB2312" w:eastAsia="楷体_GB2312" w:cs="楷体_GB2312"/>
                <w:sz w:val="24"/>
                <w:szCs w:val="24"/>
                <w:lang w:bidi="ar"/>
              </w:rPr>
            </w:pPr>
            <w:r>
              <w:rPr>
                <w:rFonts w:hint="eastAsia" w:ascii="楷体_GB2312" w:hAnsi="楷体_GB2312" w:eastAsia="楷体_GB2312" w:cs="楷体_GB2312"/>
                <w:sz w:val="24"/>
                <w:szCs w:val="24"/>
                <w:lang w:bidi="ar"/>
              </w:rPr>
              <w:t>建议不超6层</w:t>
            </w:r>
          </w:p>
        </w:tc>
      </w:tr>
    </w:tbl>
    <w:p>
      <w:r>
        <w:t>村民集中住宅楼、保障性租赁住房建筑间距、建筑退让及其他配套设施设置可参照城市居住区有关标准执行。</w:t>
      </w:r>
    </w:p>
    <w:p>
      <w:r>
        <w:rPr>
          <w:rFonts w:hint="eastAsia"/>
        </w:rPr>
        <w:t>3.村庄基础设施</w:t>
      </w:r>
    </w:p>
    <w:p>
      <w:r>
        <w:t>落实镇国土空间规划规划确定的区域性基础设施，在梳理村庄现状设施的基础上，结合实际需求，明确道路、给排水、环卫等设施的设置要求。</w:t>
      </w:r>
    </w:p>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68"/>
        <w:gridCol w:w="1868"/>
        <w:gridCol w:w="1423"/>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217" w:type="dxa"/>
            <w:gridSpan w:val="5"/>
            <w:vAlign w:val="center"/>
          </w:tcPr>
          <w:p>
            <w:pPr>
              <w:pStyle w:val="108"/>
              <w:rPr>
                <w:sz w:val="24"/>
                <w:szCs w:val="24"/>
                <w:lang w:bidi="ar"/>
              </w:rPr>
            </w:pPr>
            <w:r>
              <w:rPr>
                <w:rFonts w:hint="eastAsia"/>
                <w:szCs w:val="28"/>
                <w:lang w:bidi="ar"/>
              </w:rPr>
              <w:t>专栏1</w:t>
            </w:r>
            <w:r>
              <w:rPr>
                <w:szCs w:val="28"/>
                <w:lang w:bidi="ar"/>
              </w:rPr>
              <w:t>4-6</w:t>
            </w:r>
            <w:r>
              <w:rPr>
                <w:rFonts w:hint="eastAsia"/>
                <w:szCs w:val="28"/>
                <w:lang w:bidi="ar"/>
              </w:rPr>
              <w:t>：村庄基础设施分类及项目基本配置表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restart"/>
            <w:vAlign w:val="center"/>
          </w:tcPr>
          <w:p>
            <w:pPr>
              <w:pStyle w:val="105"/>
              <w:rPr>
                <w:sz w:val="24"/>
                <w:szCs w:val="24"/>
                <w:lang w:bidi="ar"/>
              </w:rPr>
            </w:pPr>
            <w:r>
              <w:rPr>
                <w:rFonts w:hint="eastAsia"/>
                <w:sz w:val="24"/>
                <w:szCs w:val="24"/>
                <w:lang w:bidi="ar"/>
              </w:rPr>
              <w:t>类别</w:t>
            </w:r>
          </w:p>
        </w:tc>
        <w:tc>
          <w:tcPr>
            <w:tcW w:w="2268" w:type="dxa"/>
            <w:vMerge w:val="restart"/>
            <w:vAlign w:val="center"/>
          </w:tcPr>
          <w:p>
            <w:pPr>
              <w:pStyle w:val="105"/>
              <w:rPr>
                <w:sz w:val="24"/>
                <w:szCs w:val="24"/>
                <w:lang w:bidi="ar"/>
              </w:rPr>
            </w:pPr>
            <w:r>
              <w:rPr>
                <w:rFonts w:hint="eastAsia"/>
                <w:sz w:val="24"/>
                <w:szCs w:val="24"/>
                <w:lang w:bidi="ar"/>
              </w:rPr>
              <w:t>项目</w:t>
            </w:r>
          </w:p>
        </w:tc>
        <w:tc>
          <w:tcPr>
            <w:tcW w:w="4394" w:type="dxa"/>
            <w:gridSpan w:val="3"/>
            <w:vAlign w:val="center"/>
          </w:tcPr>
          <w:p>
            <w:pPr>
              <w:pStyle w:val="105"/>
              <w:rPr>
                <w:sz w:val="24"/>
                <w:szCs w:val="24"/>
                <w:lang w:bidi="ar"/>
              </w:rPr>
            </w:pPr>
            <w:r>
              <w:rPr>
                <w:rFonts w:hint="eastAsia"/>
                <w:sz w:val="24"/>
                <w:szCs w:val="24"/>
                <w:lang w:bidi="ar"/>
              </w:rPr>
              <w:t>基础设施项目配置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vAlign w:val="center"/>
          </w:tcPr>
          <w:p>
            <w:pPr>
              <w:pStyle w:val="105"/>
              <w:rPr>
                <w:sz w:val="24"/>
                <w:szCs w:val="24"/>
                <w:lang w:bidi="ar"/>
              </w:rPr>
            </w:pPr>
          </w:p>
        </w:tc>
        <w:tc>
          <w:tcPr>
            <w:tcW w:w="2268" w:type="dxa"/>
            <w:vMerge w:val="continue"/>
            <w:vAlign w:val="center"/>
          </w:tcPr>
          <w:p>
            <w:pPr>
              <w:pStyle w:val="105"/>
              <w:rPr>
                <w:sz w:val="24"/>
                <w:szCs w:val="24"/>
                <w:lang w:bidi="ar"/>
              </w:rPr>
            </w:pPr>
          </w:p>
        </w:tc>
        <w:tc>
          <w:tcPr>
            <w:tcW w:w="1868" w:type="dxa"/>
            <w:vAlign w:val="center"/>
          </w:tcPr>
          <w:p>
            <w:pPr>
              <w:pStyle w:val="105"/>
              <w:rPr>
                <w:sz w:val="24"/>
                <w:szCs w:val="24"/>
                <w:lang w:bidi="ar"/>
              </w:rPr>
            </w:pPr>
            <w:r>
              <w:rPr>
                <w:rFonts w:hint="eastAsia"/>
                <w:sz w:val="24"/>
                <w:szCs w:val="24"/>
                <w:lang w:bidi="ar"/>
              </w:rPr>
              <w:t>集聚提升类</w:t>
            </w:r>
          </w:p>
        </w:tc>
        <w:tc>
          <w:tcPr>
            <w:tcW w:w="1423" w:type="dxa"/>
            <w:vAlign w:val="center"/>
          </w:tcPr>
          <w:p>
            <w:pPr>
              <w:pStyle w:val="105"/>
              <w:rPr>
                <w:sz w:val="24"/>
                <w:szCs w:val="24"/>
                <w:lang w:bidi="ar"/>
              </w:rPr>
            </w:pPr>
            <w:r>
              <w:rPr>
                <w:rFonts w:hint="eastAsia"/>
                <w:sz w:val="24"/>
                <w:szCs w:val="24"/>
                <w:lang w:bidi="ar"/>
              </w:rPr>
              <w:t>特色保护类</w:t>
            </w:r>
          </w:p>
        </w:tc>
        <w:tc>
          <w:tcPr>
            <w:tcW w:w="1103" w:type="dxa"/>
            <w:vAlign w:val="center"/>
          </w:tcPr>
          <w:p>
            <w:pPr>
              <w:pStyle w:val="105"/>
              <w:rPr>
                <w:sz w:val="24"/>
                <w:szCs w:val="24"/>
                <w:lang w:bidi="ar"/>
              </w:rPr>
            </w:pPr>
            <w:r>
              <w:rPr>
                <w:rFonts w:hint="eastAsia"/>
                <w:sz w:val="24"/>
                <w:szCs w:val="24"/>
                <w:lang w:bidi="ar"/>
              </w:rPr>
              <w:t>整治改善类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restart"/>
            <w:vAlign w:val="center"/>
          </w:tcPr>
          <w:p>
            <w:pPr>
              <w:pStyle w:val="105"/>
              <w:rPr>
                <w:sz w:val="24"/>
                <w:szCs w:val="24"/>
                <w:lang w:bidi="ar"/>
              </w:rPr>
            </w:pPr>
            <w:r>
              <w:rPr>
                <w:rFonts w:hint="eastAsia"/>
                <w:sz w:val="24"/>
                <w:szCs w:val="24"/>
                <w:lang w:bidi="ar"/>
              </w:rPr>
              <w:t>道路交通</w:t>
            </w:r>
          </w:p>
        </w:tc>
        <w:tc>
          <w:tcPr>
            <w:tcW w:w="2268" w:type="dxa"/>
            <w:vAlign w:val="center"/>
          </w:tcPr>
          <w:p>
            <w:pPr>
              <w:pStyle w:val="105"/>
              <w:rPr>
                <w:sz w:val="24"/>
                <w:szCs w:val="24"/>
                <w:lang w:bidi="ar"/>
              </w:rPr>
            </w:pPr>
            <w:r>
              <w:rPr>
                <w:rFonts w:hint="eastAsia"/>
                <w:sz w:val="24"/>
                <w:szCs w:val="24"/>
                <w:lang w:bidi="ar"/>
              </w:rPr>
              <w:t>公交站点</w:t>
            </w:r>
          </w:p>
        </w:tc>
        <w:tc>
          <w:tcPr>
            <w:tcW w:w="1868" w:type="dxa"/>
            <w:vAlign w:val="center"/>
          </w:tcPr>
          <w:p>
            <w:pPr>
              <w:pStyle w:val="105"/>
              <w:rPr>
                <w:sz w:val="24"/>
                <w:szCs w:val="24"/>
                <w:lang w:bidi="ar"/>
              </w:rPr>
            </w:pPr>
            <w:r>
              <w:rPr>
                <w:rFonts w:hint="eastAsia"/>
                <w:sz w:val="24"/>
                <w:szCs w:val="24"/>
                <w:lang w:bidi="ar"/>
              </w:rPr>
              <w:t>●</w:t>
            </w:r>
          </w:p>
        </w:tc>
        <w:tc>
          <w:tcPr>
            <w:tcW w:w="1423" w:type="dxa"/>
            <w:vAlign w:val="center"/>
          </w:tcPr>
          <w:p>
            <w:pPr>
              <w:pStyle w:val="105"/>
              <w:rPr>
                <w:sz w:val="24"/>
                <w:szCs w:val="24"/>
                <w:lang w:bidi="ar"/>
              </w:rPr>
            </w:pPr>
            <w:r>
              <w:rPr>
                <w:rFonts w:hint="eastAsia"/>
                <w:sz w:val="24"/>
                <w:szCs w:val="24"/>
                <w:lang w:bidi="ar"/>
              </w:rPr>
              <w:t>○</w:t>
            </w:r>
          </w:p>
        </w:tc>
        <w:tc>
          <w:tcPr>
            <w:tcW w:w="1103" w:type="dxa"/>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vAlign w:val="center"/>
          </w:tcPr>
          <w:p>
            <w:pPr>
              <w:pStyle w:val="105"/>
              <w:rPr>
                <w:sz w:val="24"/>
                <w:szCs w:val="24"/>
                <w:lang w:bidi="ar"/>
              </w:rPr>
            </w:pPr>
          </w:p>
        </w:tc>
        <w:tc>
          <w:tcPr>
            <w:tcW w:w="2268" w:type="dxa"/>
            <w:vAlign w:val="center"/>
          </w:tcPr>
          <w:p>
            <w:pPr>
              <w:pStyle w:val="105"/>
              <w:rPr>
                <w:sz w:val="24"/>
                <w:szCs w:val="24"/>
                <w:lang w:bidi="ar"/>
              </w:rPr>
            </w:pPr>
            <w:r>
              <w:rPr>
                <w:rFonts w:hint="eastAsia"/>
                <w:sz w:val="24"/>
                <w:szCs w:val="24"/>
                <w:lang w:bidi="ar"/>
              </w:rPr>
              <w:t>停车场</w:t>
            </w:r>
          </w:p>
        </w:tc>
        <w:tc>
          <w:tcPr>
            <w:tcW w:w="1868" w:type="dxa"/>
            <w:vAlign w:val="center"/>
          </w:tcPr>
          <w:p>
            <w:pPr>
              <w:pStyle w:val="105"/>
              <w:rPr>
                <w:sz w:val="24"/>
                <w:szCs w:val="24"/>
                <w:lang w:bidi="ar"/>
              </w:rPr>
            </w:pPr>
            <w:r>
              <w:rPr>
                <w:rFonts w:hint="eastAsia"/>
                <w:sz w:val="24"/>
                <w:szCs w:val="24"/>
                <w:lang w:bidi="ar"/>
              </w:rPr>
              <w:t>●</w:t>
            </w:r>
          </w:p>
        </w:tc>
        <w:tc>
          <w:tcPr>
            <w:tcW w:w="1423" w:type="dxa"/>
            <w:vAlign w:val="center"/>
          </w:tcPr>
          <w:p>
            <w:pPr>
              <w:pStyle w:val="105"/>
              <w:rPr>
                <w:sz w:val="24"/>
                <w:szCs w:val="24"/>
                <w:lang w:bidi="ar"/>
              </w:rPr>
            </w:pPr>
            <w:r>
              <w:rPr>
                <w:rFonts w:hint="eastAsia"/>
                <w:sz w:val="24"/>
                <w:szCs w:val="24"/>
                <w:lang w:bidi="ar"/>
              </w:rPr>
              <w:t>●</w:t>
            </w:r>
          </w:p>
        </w:tc>
        <w:tc>
          <w:tcPr>
            <w:tcW w:w="1103" w:type="dxa"/>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restart"/>
            <w:vAlign w:val="center"/>
          </w:tcPr>
          <w:p>
            <w:pPr>
              <w:pStyle w:val="105"/>
              <w:rPr>
                <w:sz w:val="24"/>
                <w:szCs w:val="24"/>
                <w:lang w:bidi="ar"/>
              </w:rPr>
            </w:pPr>
            <w:r>
              <w:rPr>
                <w:rFonts w:hint="eastAsia"/>
                <w:sz w:val="24"/>
                <w:szCs w:val="24"/>
                <w:lang w:bidi="ar"/>
              </w:rPr>
              <w:t>市政设施</w:t>
            </w:r>
          </w:p>
        </w:tc>
        <w:tc>
          <w:tcPr>
            <w:tcW w:w="2268" w:type="dxa"/>
            <w:vAlign w:val="center"/>
          </w:tcPr>
          <w:p>
            <w:pPr>
              <w:pStyle w:val="105"/>
              <w:rPr>
                <w:sz w:val="24"/>
                <w:szCs w:val="24"/>
                <w:lang w:bidi="ar"/>
              </w:rPr>
            </w:pPr>
            <w:r>
              <w:rPr>
                <w:rFonts w:hint="eastAsia"/>
                <w:sz w:val="24"/>
                <w:szCs w:val="24"/>
                <w:lang w:bidi="ar"/>
              </w:rPr>
              <w:t>变压器，配电室</w:t>
            </w:r>
          </w:p>
        </w:tc>
        <w:tc>
          <w:tcPr>
            <w:tcW w:w="1868" w:type="dxa"/>
            <w:vAlign w:val="center"/>
          </w:tcPr>
          <w:p>
            <w:pPr>
              <w:pStyle w:val="105"/>
              <w:rPr>
                <w:sz w:val="24"/>
                <w:szCs w:val="24"/>
                <w:lang w:bidi="ar"/>
              </w:rPr>
            </w:pPr>
            <w:r>
              <w:rPr>
                <w:rFonts w:hint="eastAsia"/>
                <w:sz w:val="24"/>
                <w:szCs w:val="24"/>
                <w:lang w:bidi="ar"/>
              </w:rPr>
              <w:t>●</w:t>
            </w:r>
          </w:p>
        </w:tc>
        <w:tc>
          <w:tcPr>
            <w:tcW w:w="1423" w:type="dxa"/>
            <w:vAlign w:val="center"/>
          </w:tcPr>
          <w:p>
            <w:pPr>
              <w:pStyle w:val="105"/>
              <w:rPr>
                <w:sz w:val="24"/>
                <w:szCs w:val="24"/>
                <w:lang w:bidi="ar"/>
              </w:rPr>
            </w:pPr>
            <w:r>
              <w:rPr>
                <w:rFonts w:hint="eastAsia"/>
                <w:sz w:val="24"/>
                <w:szCs w:val="24"/>
                <w:lang w:bidi="ar"/>
              </w:rPr>
              <w:t>●</w:t>
            </w:r>
          </w:p>
        </w:tc>
        <w:tc>
          <w:tcPr>
            <w:tcW w:w="1103" w:type="dxa"/>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vAlign w:val="center"/>
          </w:tcPr>
          <w:p>
            <w:pPr>
              <w:pStyle w:val="105"/>
              <w:rPr>
                <w:sz w:val="24"/>
                <w:szCs w:val="24"/>
                <w:lang w:bidi="ar"/>
              </w:rPr>
            </w:pPr>
          </w:p>
        </w:tc>
        <w:tc>
          <w:tcPr>
            <w:tcW w:w="2268" w:type="dxa"/>
            <w:vAlign w:val="center"/>
          </w:tcPr>
          <w:p>
            <w:pPr>
              <w:pStyle w:val="105"/>
              <w:rPr>
                <w:sz w:val="24"/>
                <w:szCs w:val="24"/>
                <w:lang w:bidi="ar"/>
              </w:rPr>
            </w:pPr>
            <w:r>
              <w:rPr>
                <w:rFonts w:hint="eastAsia"/>
                <w:sz w:val="24"/>
                <w:szCs w:val="24"/>
                <w:lang w:bidi="ar"/>
              </w:rPr>
              <w:t>污水处理设施</w:t>
            </w:r>
          </w:p>
        </w:tc>
        <w:tc>
          <w:tcPr>
            <w:tcW w:w="1868" w:type="dxa"/>
            <w:vAlign w:val="center"/>
          </w:tcPr>
          <w:p>
            <w:pPr>
              <w:pStyle w:val="105"/>
              <w:rPr>
                <w:sz w:val="24"/>
                <w:szCs w:val="24"/>
                <w:lang w:bidi="ar"/>
              </w:rPr>
            </w:pPr>
            <w:r>
              <w:rPr>
                <w:rFonts w:hint="eastAsia"/>
                <w:sz w:val="24"/>
                <w:szCs w:val="24"/>
                <w:lang w:bidi="ar"/>
              </w:rPr>
              <w:t>●</w:t>
            </w:r>
          </w:p>
        </w:tc>
        <w:tc>
          <w:tcPr>
            <w:tcW w:w="1423" w:type="dxa"/>
            <w:vAlign w:val="center"/>
          </w:tcPr>
          <w:p>
            <w:pPr>
              <w:pStyle w:val="105"/>
              <w:rPr>
                <w:sz w:val="24"/>
                <w:szCs w:val="24"/>
                <w:lang w:bidi="ar"/>
              </w:rPr>
            </w:pPr>
            <w:r>
              <w:rPr>
                <w:rFonts w:hint="eastAsia"/>
                <w:sz w:val="24"/>
                <w:szCs w:val="24"/>
                <w:lang w:bidi="ar"/>
              </w:rPr>
              <w:t>●</w:t>
            </w:r>
          </w:p>
        </w:tc>
        <w:tc>
          <w:tcPr>
            <w:tcW w:w="1103" w:type="dxa"/>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vAlign w:val="center"/>
          </w:tcPr>
          <w:p>
            <w:pPr>
              <w:pStyle w:val="105"/>
              <w:rPr>
                <w:sz w:val="24"/>
                <w:szCs w:val="24"/>
                <w:lang w:bidi="ar"/>
              </w:rPr>
            </w:pPr>
          </w:p>
        </w:tc>
        <w:tc>
          <w:tcPr>
            <w:tcW w:w="2268" w:type="dxa"/>
            <w:vAlign w:val="center"/>
          </w:tcPr>
          <w:p>
            <w:pPr>
              <w:pStyle w:val="105"/>
              <w:rPr>
                <w:sz w:val="24"/>
                <w:szCs w:val="24"/>
                <w:lang w:bidi="ar"/>
              </w:rPr>
            </w:pPr>
            <w:r>
              <w:rPr>
                <w:rFonts w:hint="eastAsia"/>
                <w:sz w:val="24"/>
                <w:szCs w:val="24"/>
                <w:lang w:bidi="ar"/>
              </w:rPr>
              <w:t>水泵房</w:t>
            </w:r>
          </w:p>
        </w:tc>
        <w:tc>
          <w:tcPr>
            <w:tcW w:w="4394" w:type="dxa"/>
            <w:gridSpan w:val="3"/>
            <w:vAlign w:val="center"/>
          </w:tcPr>
          <w:p>
            <w:pPr>
              <w:pStyle w:val="105"/>
              <w:rPr>
                <w:sz w:val="24"/>
                <w:szCs w:val="24"/>
                <w:lang w:bidi="ar"/>
              </w:rPr>
            </w:pPr>
            <w:r>
              <w:rPr>
                <w:rFonts w:hint="eastAsia"/>
                <w:sz w:val="24"/>
                <w:szCs w:val="24"/>
                <w:lang w:bidi="ar"/>
              </w:rPr>
              <w:t>非集中供水村庄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restart"/>
            <w:vAlign w:val="center"/>
          </w:tcPr>
          <w:p>
            <w:pPr>
              <w:pStyle w:val="105"/>
              <w:rPr>
                <w:sz w:val="24"/>
                <w:szCs w:val="24"/>
                <w:lang w:bidi="ar"/>
              </w:rPr>
            </w:pPr>
            <w:r>
              <w:rPr>
                <w:rFonts w:hint="eastAsia"/>
                <w:sz w:val="24"/>
                <w:szCs w:val="24"/>
                <w:lang w:bidi="ar"/>
              </w:rPr>
              <w:t>环境卫生</w:t>
            </w:r>
          </w:p>
        </w:tc>
        <w:tc>
          <w:tcPr>
            <w:tcW w:w="2268" w:type="dxa"/>
            <w:vAlign w:val="center"/>
          </w:tcPr>
          <w:p>
            <w:pPr>
              <w:pStyle w:val="105"/>
              <w:rPr>
                <w:sz w:val="24"/>
                <w:szCs w:val="24"/>
                <w:lang w:bidi="ar"/>
              </w:rPr>
            </w:pPr>
            <w:r>
              <w:rPr>
                <w:rFonts w:hint="eastAsia"/>
                <w:sz w:val="24"/>
                <w:szCs w:val="24"/>
                <w:lang w:bidi="ar"/>
              </w:rPr>
              <w:t>垃圾收集点</w:t>
            </w:r>
          </w:p>
        </w:tc>
        <w:tc>
          <w:tcPr>
            <w:tcW w:w="1868" w:type="dxa"/>
            <w:vAlign w:val="center"/>
          </w:tcPr>
          <w:p>
            <w:pPr>
              <w:pStyle w:val="105"/>
              <w:rPr>
                <w:sz w:val="24"/>
                <w:szCs w:val="24"/>
                <w:lang w:bidi="ar"/>
              </w:rPr>
            </w:pPr>
            <w:r>
              <w:rPr>
                <w:rFonts w:hint="eastAsia"/>
                <w:sz w:val="24"/>
                <w:szCs w:val="24"/>
                <w:lang w:bidi="ar"/>
              </w:rPr>
              <w:t>●</w:t>
            </w:r>
          </w:p>
        </w:tc>
        <w:tc>
          <w:tcPr>
            <w:tcW w:w="1423" w:type="dxa"/>
            <w:vAlign w:val="center"/>
          </w:tcPr>
          <w:p>
            <w:pPr>
              <w:pStyle w:val="105"/>
              <w:rPr>
                <w:sz w:val="24"/>
                <w:szCs w:val="24"/>
                <w:lang w:bidi="ar"/>
              </w:rPr>
            </w:pPr>
            <w:r>
              <w:rPr>
                <w:rFonts w:hint="eastAsia"/>
                <w:sz w:val="24"/>
                <w:szCs w:val="24"/>
                <w:lang w:bidi="ar"/>
              </w:rPr>
              <w:t>●</w:t>
            </w:r>
          </w:p>
        </w:tc>
        <w:tc>
          <w:tcPr>
            <w:tcW w:w="1103" w:type="dxa"/>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vMerge w:val="continue"/>
            <w:vAlign w:val="center"/>
          </w:tcPr>
          <w:p>
            <w:pPr>
              <w:pStyle w:val="105"/>
              <w:rPr>
                <w:sz w:val="24"/>
                <w:szCs w:val="24"/>
                <w:lang w:bidi="ar"/>
              </w:rPr>
            </w:pPr>
          </w:p>
        </w:tc>
        <w:tc>
          <w:tcPr>
            <w:tcW w:w="2268" w:type="dxa"/>
            <w:vAlign w:val="center"/>
          </w:tcPr>
          <w:p>
            <w:pPr>
              <w:pStyle w:val="105"/>
              <w:rPr>
                <w:sz w:val="24"/>
                <w:szCs w:val="24"/>
                <w:lang w:bidi="ar"/>
              </w:rPr>
            </w:pPr>
            <w:r>
              <w:rPr>
                <w:rFonts w:hint="eastAsia"/>
                <w:sz w:val="24"/>
                <w:szCs w:val="24"/>
                <w:lang w:bidi="ar"/>
              </w:rPr>
              <w:t>公厕</w:t>
            </w:r>
          </w:p>
        </w:tc>
        <w:tc>
          <w:tcPr>
            <w:tcW w:w="1868" w:type="dxa"/>
            <w:vAlign w:val="center"/>
          </w:tcPr>
          <w:p>
            <w:pPr>
              <w:pStyle w:val="105"/>
              <w:rPr>
                <w:sz w:val="24"/>
                <w:szCs w:val="24"/>
                <w:lang w:bidi="ar"/>
              </w:rPr>
            </w:pPr>
            <w:r>
              <w:rPr>
                <w:rFonts w:hint="eastAsia"/>
                <w:sz w:val="24"/>
                <w:szCs w:val="24"/>
                <w:lang w:bidi="ar"/>
              </w:rPr>
              <w:t>●</w:t>
            </w:r>
          </w:p>
        </w:tc>
        <w:tc>
          <w:tcPr>
            <w:tcW w:w="1423" w:type="dxa"/>
            <w:vAlign w:val="center"/>
          </w:tcPr>
          <w:p>
            <w:pPr>
              <w:pStyle w:val="105"/>
              <w:rPr>
                <w:sz w:val="24"/>
                <w:szCs w:val="24"/>
                <w:lang w:bidi="ar"/>
              </w:rPr>
            </w:pPr>
            <w:r>
              <w:rPr>
                <w:rFonts w:hint="eastAsia"/>
                <w:sz w:val="24"/>
                <w:szCs w:val="24"/>
                <w:lang w:bidi="ar"/>
              </w:rPr>
              <w:t>●</w:t>
            </w:r>
          </w:p>
        </w:tc>
        <w:tc>
          <w:tcPr>
            <w:tcW w:w="1103" w:type="dxa"/>
            <w:vAlign w:val="center"/>
          </w:tcPr>
          <w:p>
            <w:pPr>
              <w:pStyle w:val="105"/>
              <w:rPr>
                <w:sz w:val="24"/>
                <w:szCs w:val="24"/>
                <w:lang w:bidi="ar"/>
              </w:rPr>
            </w:pPr>
            <w:r>
              <w:rPr>
                <w:rFonts w:hint="eastAsia"/>
                <w:sz w:val="24"/>
                <w:szCs w:val="24"/>
                <w:lang w:bidi="ar"/>
              </w:rPr>
              <w:t>○</w:t>
            </w:r>
          </w:p>
        </w:tc>
      </w:tr>
    </w:tbl>
    <w:p>
      <w:pPr>
        <w:autoSpaceDE w:val="0"/>
        <w:autoSpaceDN w:val="0"/>
        <w:ind w:firstLine="420"/>
        <w:jc w:val="left"/>
        <w:rPr>
          <w:rFonts w:ascii="楷体" w:hAnsi="楷体" w:eastAsia="楷体" w:cs="楷体"/>
          <w:kern w:val="0"/>
          <w:sz w:val="21"/>
          <w:szCs w:val="21"/>
        </w:rPr>
      </w:pPr>
      <w:r>
        <w:rPr>
          <w:rFonts w:hint="eastAsia" w:ascii="楷体" w:hAnsi="楷体" w:eastAsia="楷体" w:cs="楷体"/>
          <w:kern w:val="0"/>
          <w:sz w:val="21"/>
          <w:szCs w:val="21"/>
        </w:rPr>
        <w:t>注： ●——为应设的内容  ○——为可设的内容</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1045"/>
        <w:gridCol w:w="3185"/>
        <w:gridCol w:w="2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7" w:type="dxa"/>
            <w:gridSpan w:val="4"/>
          </w:tcPr>
          <w:p>
            <w:pPr>
              <w:pStyle w:val="108"/>
              <w:rPr>
                <w:szCs w:val="28"/>
                <w:lang w:bidi="ar"/>
              </w:rPr>
            </w:pPr>
            <w:r>
              <w:rPr>
                <w:rFonts w:hint="eastAsia"/>
                <w:szCs w:val="28"/>
                <w:lang w:bidi="ar"/>
              </w:rPr>
              <w:t>专栏1</w:t>
            </w:r>
            <w:r>
              <w:rPr>
                <w:szCs w:val="28"/>
                <w:lang w:bidi="ar"/>
              </w:rPr>
              <w:t>4-7</w:t>
            </w:r>
            <w:r>
              <w:rPr>
                <w:rFonts w:hint="eastAsia"/>
                <w:szCs w:val="28"/>
                <w:lang w:bidi="ar"/>
              </w:rPr>
              <w:t>：村庄基础设施配置内容表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tcPr>
          <w:p>
            <w:pPr>
              <w:pStyle w:val="105"/>
              <w:rPr>
                <w:sz w:val="24"/>
                <w:szCs w:val="24"/>
                <w:lang w:bidi="ar"/>
              </w:rPr>
            </w:pPr>
            <w:r>
              <w:rPr>
                <w:rFonts w:hint="eastAsia"/>
                <w:sz w:val="24"/>
                <w:szCs w:val="24"/>
                <w:lang w:bidi="ar"/>
              </w:rPr>
              <w:t>类别</w:t>
            </w:r>
          </w:p>
        </w:tc>
        <w:tc>
          <w:tcPr>
            <w:tcW w:w="1045" w:type="dxa"/>
          </w:tcPr>
          <w:p>
            <w:pPr>
              <w:pStyle w:val="105"/>
              <w:rPr>
                <w:sz w:val="24"/>
                <w:szCs w:val="24"/>
                <w:lang w:bidi="ar"/>
              </w:rPr>
            </w:pPr>
            <w:r>
              <w:rPr>
                <w:rFonts w:hint="eastAsia"/>
                <w:sz w:val="24"/>
                <w:szCs w:val="24"/>
                <w:lang w:bidi="ar"/>
              </w:rPr>
              <w:t>项目</w:t>
            </w:r>
          </w:p>
        </w:tc>
        <w:tc>
          <w:tcPr>
            <w:tcW w:w="3185" w:type="dxa"/>
          </w:tcPr>
          <w:p>
            <w:pPr>
              <w:pStyle w:val="105"/>
              <w:rPr>
                <w:sz w:val="24"/>
                <w:szCs w:val="24"/>
                <w:lang w:bidi="ar"/>
              </w:rPr>
            </w:pPr>
            <w:r>
              <w:rPr>
                <w:rFonts w:hint="eastAsia"/>
                <w:sz w:val="24"/>
                <w:szCs w:val="24"/>
                <w:lang w:bidi="ar"/>
              </w:rPr>
              <w:t>配置方式</w:t>
            </w:r>
          </w:p>
        </w:tc>
        <w:tc>
          <w:tcPr>
            <w:tcW w:w="2915" w:type="dxa"/>
          </w:tcPr>
          <w:p>
            <w:pPr>
              <w:pStyle w:val="105"/>
              <w:rPr>
                <w:sz w:val="24"/>
                <w:szCs w:val="24"/>
                <w:lang w:bidi="ar"/>
              </w:rPr>
            </w:pPr>
            <w:r>
              <w:rPr>
                <w:rFonts w:hint="eastAsia"/>
                <w:sz w:val="24"/>
                <w:szCs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restart"/>
            <w:vAlign w:val="center"/>
          </w:tcPr>
          <w:p>
            <w:pPr>
              <w:pStyle w:val="105"/>
              <w:rPr>
                <w:sz w:val="24"/>
                <w:szCs w:val="24"/>
                <w:lang w:bidi="ar"/>
              </w:rPr>
            </w:pPr>
            <w:r>
              <w:rPr>
                <w:rFonts w:hint="eastAsia"/>
                <w:sz w:val="24"/>
                <w:szCs w:val="24"/>
                <w:lang w:bidi="ar"/>
              </w:rPr>
              <w:t>道路交通</w:t>
            </w:r>
          </w:p>
        </w:tc>
        <w:tc>
          <w:tcPr>
            <w:tcW w:w="1045" w:type="dxa"/>
            <w:vAlign w:val="center"/>
          </w:tcPr>
          <w:p>
            <w:pPr>
              <w:pStyle w:val="105"/>
              <w:rPr>
                <w:sz w:val="24"/>
                <w:szCs w:val="24"/>
                <w:lang w:bidi="ar"/>
              </w:rPr>
            </w:pPr>
            <w:r>
              <w:rPr>
                <w:rFonts w:hint="eastAsia"/>
                <w:sz w:val="24"/>
                <w:szCs w:val="24"/>
                <w:lang w:bidi="ar"/>
              </w:rPr>
              <w:t>公交站点</w:t>
            </w:r>
          </w:p>
        </w:tc>
        <w:tc>
          <w:tcPr>
            <w:tcW w:w="3185" w:type="dxa"/>
            <w:vAlign w:val="center"/>
          </w:tcPr>
          <w:p>
            <w:pPr>
              <w:pStyle w:val="105"/>
              <w:rPr>
                <w:sz w:val="24"/>
                <w:szCs w:val="24"/>
                <w:lang w:bidi="ar"/>
              </w:rPr>
            </w:pPr>
            <w:r>
              <w:rPr>
                <w:rFonts w:hint="eastAsia"/>
                <w:sz w:val="24"/>
                <w:szCs w:val="24"/>
                <w:lang w:bidi="ar"/>
              </w:rPr>
              <w:t>满足公交车辆运行安全要求，同时尽可能不影响其他交通工具在道路的通行。</w:t>
            </w:r>
          </w:p>
        </w:tc>
        <w:tc>
          <w:tcPr>
            <w:tcW w:w="2915" w:type="dxa"/>
          </w:tcPr>
          <w:p>
            <w:pPr>
              <w:pStyle w:val="105"/>
              <w:rPr>
                <w:sz w:val="24"/>
                <w:szCs w:val="24"/>
                <w:lang w:bidi="ar"/>
              </w:rPr>
            </w:pPr>
            <w:r>
              <w:rPr>
                <w:rFonts w:hint="eastAsia"/>
                <w:sz w:val="24"/>
                <w:szCs w:val="24"/>
              </w:rPr>
              <w:t>宜设置在道路使用面积较富裕而人口又比较集中的村居点或村委会附近。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2" w:type="dxa"/>
            <w:vMerge w:val="continue"/>
            <w:vAlign w:val="center"/>
          </w:tcPr>
          <w:p>
            <w:pPr>
              <w:pStyle w:val="105"/>
              <w:rPr>
                <w:sz w:val="24"/>
                <w:szCs w:val="24"/>
                <w:lang w:bidi="ar"/>
              </w:rPr>
            </w:pPr>
          </w:p>
        </w:tc>
        <w:tc>
          <w:tcPr>
            <w:tcW w:w="1045" w:type="dxa"/>
            <w:vAlign w:val="center"/>
          </w:tcPr>
          <w:p>
            <w:pPr>
              <w:pStyle w:val="105"/>
              <w:rPr>
                <w:sz w:val="24"/>
                <w:szCs w:val="24"/>
                <w:lang w:bidi="ar"/>
              </w:rPr>
            </w:pPr>
            <w:r>
              <w:rPr>
                <w:rFonts w:hint="eastAsia"/>
                <w:sz w:val="24"/>
                <w:szCs w:val="24"/>
                <w:lang w:bidi="ar"/>
              </w:rPr>
              <w:t>停车场</w:t>
            </w:r>
          </w:p>
        </w:tc>
        <w:tc>
          <w:tcPr>
            <w:tcW w:w="3185" w:type="dxa"/>
            <w:vAlign w:val="center"/>
          </w:tcPr>
          <w:p>
            <w:pPr>
              <w:pStyle w:val="105"/>
              <w:rPr>
                <w:sz w:val="24"/>
                <w:szCs w:val="24"/>
                <w:lang w:bidi="ar"/>
              </w:rPr>
            </w:pPr>
            <w:r>
              <w:rPr>
                <w:rFonts w:hint="eastAsia"/>
                <w:sz w:val="24"/>
                <w:szCs w:val="24"/>
              </w:rPr>
              <w:t>结合村庄实际，灵活设施</w:t>
            </w:r>
          </w:p>
        </w:tc>
        <w:tc>
          <w:tcPr>
            <w:tcW w:w="2915" w:type="dxa"/>
          </w:tcPr>
          <w:p>
            <w:pPr>
              <w:pStyle w:val="105"/>
              <w:rPr>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2" w:type="dxa"/>
            <w:vMerge w:val="restart"/>
            <w:vAlign w:val="center"/>
          </w:tcPr>
          <w:p>
            <w:pPr>
              <w:pStyle w:val="105"/>
              <w:rPr>
                <w:sz w:val="24"/>
                <w:szCs w:val="24"/>
                <w:lang w:bidi="ar"/>
              </w:rPr>
            </w:pPr>
            <w:r>
              <w:rPr>
                <w:rFonts w:hint="eastAsia"/>
                <w:sz w:val="24"/>
                <w:szCs w:val="24"/>
                <w:lang w:bidi="ar"/>
              </w:rPr>
              <w:t>市政设施</w:t>
            </w:r>
          </w:p>
        </w:tc>
        <w:tc>
          <w:tcPr>
            <w:tcW w:w="1045" w:type="dxa"/>
            <w:vAlign w:val="center"/>
          </w:tcPr>
          <w:p>
            <w:pPr>
              <w:pStyle w:val="105"/>
              <w:rPr>
                <w:sz w:val="24"/>
                <w:szCs w:val="24"/>
                <w:lang w:bidi="ar"/>
              </w:rPr>
            </w:pPr>
            <w:r>
              <w:rPr>
                <w:rFonts w:hint="eastAsia"/>
                <w:sz w:val="24"/>
                <w:szCs w:val="24"/>
                <w:lang w:bidi="ar"/>
              </w:rPr>
              <w:t>变压器、配电室</w:t>
            </w:r>
          </w:p>
        </w:tc>
        <w:tc>
          <w:tcPr>
            <w:tcW w:w="3185" w:type="dxa"/>
            <w:vAlign w:val="center"/>
          </w:tcPr>
          <w:p>
            <w:pPr>
              <w:pStyle w:val="105"/>
              <w:rPr>
                <w:sz w:val="24"/>
                <w:szCs w:val="24"/>
              </w:rPr>
            </w:pPr>
            <w:r>
              <w:rPr>
                <w:rFonts w:hint="eastAsia"/>
                <w:sz w:val="24"/>
                <w:szCs w:val="24"/>
              </w:rPr>
              <w:t>供电半径以不超过500m为宜。</w:t>
            </w:r>
          </w:p>
        </w:tc>
        <w:tc>
          <w:tcPr>
            <w:tcW w:w="2915" w:type="dxa"/>
          </w:tcPr>
          <w:p>
            <w:pPr>
              <w:pStyle w:val="105"/>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1152" w:type="dxa"/>
            <w:vMerge w:val="continue"/>
            <w:vAlign w:val="center"/>
          </w:tcPr>
          <w:p>
            <w:pPr>
              <w:pStyle w:val="105"/>
              <w:rPr>
                <w:sz w:val="24"/>
                <w:szCs w:val="24"/>
                <w:lang w:bidi="ar"/>
              </w:rPr>
            </w:pPr>
          </w:p>
        </w:tc>
        <w:tc>
          <w:tcPr>
            <w:tcW w:w="1045" w:type="dxa"/>
            <w:vAlign w:val="center"/>
          </w:tcPr>
          <w:p>
            <w:pPr>
              <w:pStyle w:val="105"/>
              <w:rPr>
                <w:sz w:val="24"/>
                <w:szCs w:val="24"/>
                <w:lang w:bidi="ar"/>
              </w:rPr>
            </w:pPr>
            <w:r>
              <w:rPr>
                <w:rFonts w:hint="eastAsia"/>
                <w:sz w:val="24"/>
                <w:szCs w:val="24"/>
                <w:lang w:bidi="ar"/>
              </w:rPr>
              <w:t>村庄排水</w:t>
            </w:r>
          </w:p>
        </w:tc>
        <w:tc>
          <w:tcPr>
            <w:tcW w:w="3185" w:type="dxa"/>
            <w:vAlign w:val="center"/>
          </w:tcPr>
          <w:p>
            <w:pPr>
              <w:pStyle w:val="105"/>
              <w:rPr>
                <w:sz w:val="24"/>
                <w:szCs w:val="24"/>
              </w:rPr>
            </w:pPr>
            <w:r>
              <w:rPr>
                <w:rFonts w:hint="eastAsia"/>
                <w:sz w:val="24"/>
                <w:szCs w:val="24"/>
              </w:rPr>
              <w:t>污水量按生活用水量的75%～90%计算。</w:t>
            </w:r>
          </w:p>
        </w:tc>
        <w:tc>
          <w:tcPr>
            <w:tcW w:w="2915" w:type="dxa"/>
          </w:tcPr>
          <w:p>
            <w:pPr>
              <w:pStyle w:val="105"/>
              <w:rPr>
                <w:sz w:val="24"/>
                <w:szCs w:val="24"/>
              </w:rPr>
            </w:pPr>
            <w:r>
              <w:rPr>
                <w:rFonts w:hint="eastAsia"/>
                <w:sz w:val="24"/>
                <w:szCs w:val="24"/>
              </w:rPr>
              <w:t>鼓励雨水采用自然下渗或排水明沟等方式收集，污水根据不同村庄实际，采用盖板渠、管网等方式进行收集。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152" w:type="dxa"/>
            <w:vMerge w:val="continue"/>
            <w:vAlign w:val="center"/>
          </w:tcPr>
          <w:p>
            <w:pPr>
              <w:pStyle w:val="105"/>
              <w:rPr>
                <w:sz w:val="24"/>
                <w:szCs w:val="24"/>
                <w:lang w:bidi="ar"/>
              </w:rPr>
            </w:pPr>
          </w:p>
        </w:tc>
        <w:tc>
          <w:tcPr>
            <w:tcW w:w="1045" w:type="dxa"/>
            <w:vAlign w:val="center"/>
          </w:tcPr>
          <w:p>
            <w:pPr>
              <w:pStyle w:val="105"/>
              <w:rPr>
                <w:sz w:val="24"/>
                <w:szCs w:val="24"/>
                <w:lang w:bidi="ar"/>
              </w:rPr>
            </w:pPr>
            <w:r>
              <w:rPr>
                <w:rFonts w:hint="eastAsia"/>
                <w:sz w:val="24"/>
                <w:szCs w:val="24"/>
                <w:lang w:bidi="ar"/>
              </w:rPr>
              <w:t>水泵房</w:t>
            </w:r>
          </w:p>
        </w:tc>
        <w:tc>
          <w:tcPr>
            <w:tcW w:w="3185" w:type="dxa"/>
            <w:vAlign w:val="center"/>
          </w:tcPr>
          <w:p>
            <w:pPr>
              <w:pStyle w:val="105"/>
              <w:rPr>
                <w:sz w:val="24"/>
                <w:szCs w:val="24"/>
              </w:rPr>
            </w:pPr>
            <w:r>
              <w:rPr>
                <w:rFonts w:hint="eastAsia"/>
                <w:sz w:val="24"/>
                <w:szCs w:val="24"/>
              </w:rPr>
              <w:t>泵房的主要通道宽度不应小于1.2米。</w:t>
            </w:r>
          </w:p>
        </w:tc>
        <w:tc>
          <w:tcPr>
            <w:tcW w:w="2915" w:type="dxa"/>
            <w:vAlign w:val="center"/>
          </w:tcPr>
          <w:p>
            <w:pPr>
              <w:pStyle w:val="105"/>
              <w:rPr>
                <w:sz w:val="24"/>
                <w:szCs w:val="24"/>
              </w:rPr>
            </w:pPr>
            <w:r>
              <w:rPr>
                <w:rFonts w:hint="eastAsia"/>
                <w:sz w:val="24"/>
                <w:szCs w:val="24"/>
              </w:rPr>
              <w:t>非集中供水村庄</w:t>
            </w:r>
          </w:p>
          <w:p>
            <w:pPr>
              <w:pStyle w:val="105"/>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152" w:type="dxa"/>
            <w:vMerge w:val="restart"/>
            <w:vAlign w:val="center"/>
          </w:tcPr>
          <w:p>
            <w:pPr>
              <w:pStyle w:val="105"/>
              <w:rPr>
                <w:sz w:val="24"/>
                <w:szCs w:val="24"/>
                <w:lang w:bidi="ar"/>
              </w:rPr>
            </w:pPr>
            <w:r>
              <w:rPr>
                <w:rFonts w:hint="eastAsia"/>
                <w:sz w:val="24"/>
                <w:szCs w:val="24"/>
                <w:lang w:bidi="ar"/>
              </w:rPr>
              <w:t>环境卫生</w:t>
            </w:r>
          </w:p>
        </w:tc>
        <w:tc>
          <w:tcPr>
            <w:tcW w:w="1045" w:type="dxa"/>
            <w:vAlign w:val="center"/>
          </w:tcPr>
          <w:p>
            <w:pPr>
              <w:pStyle w:val="105"/>
              <w:rPr>
                <w:sz w:val="24"/>
                <w:szCs w:val="24"/>
                <w:lang w:bidi="ar"/>
              </w:rPr>
            </w:pPr>
            <w:r>
              <w:rPr>
                <w:rFonts w:hint="eastAsia"/>
                <w:sz w:val="24"/>
                <w:szCs w:val="24"/>
                <w:lang w:bidi="ar"/>
              </w:rPr>
              <w:t>垃圾筒</w:t>
            </w:r>
          </w:p>
        </w:tc>
        <w:tc>
          <w:tcPr>
            <w:tcW w:w="3185" w:type="dxa"/>
            <w:vAlign w:val="center"/>
          </w:tcPr>
          <w:p>
            <w:pPr>
              <w:pStyle w:val="105"/>
              <w:rPr>
                <w:sz w:val="24"/>
                <w:szCs w:val="24"/>
              </w:rPr>
            </w:pPr>
            <w:r>
              <w:rPr>
                <w:rFonts w:hint="eastAsia"/>
                <w:sz w:val="24"/>
                <w:szCs w:val="24"/>
              </w:rPr>
              <w:t>服务半径一般不超过70m。</w:t>
            </w:r>
          </w:p>
        </w:tc>
        <w:tc>
          <w:tcPr>
            <w:tcW w:w="2915" w:type="dxa"/>
            <w:vAlign w:val="center"/>
          </w:tcPr>
          <w:p>
            <w:pPr>
              <w:pStyle w:val="105"/>
              <w:rPr>
                <w:sz w:val="24"/>
                <w:szCs w:val="24"/>
              </w:rPr>
            </w:pPr>
            <w:r>
              <w:rPr>
                <w:rFonts w:hint="eastAsia"/>
                <w:sz w:val="24"/>
                <w:szCs w:val="24"/>
              </w:rPr>
              <w:t>五星支部村庄服务半径一般不超过50m。</w:t>
            </w:r>
          </w:p>
          <w:p>
            <w:pPr>
              <w:pStyle w:val="105"/>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152" w:type="dxa"/>
            <w:vMerge w:val="continue"/>
            <w:vAlign w:val="center"/>
          </w:tcPr>
          <w:p>
            <w:pPr>
              <w:pStyle w:val="105"/>
              <w:rPr>
                <w:sz w:val="24"/>
                <w:szCs w:val="24"/>
                <w:lang w:bidi="ar"/>
              </w:rPr>
            </w:pPr>
          </w:p>
        </w:tc>
        <w:tc>
          <w:tcPr>
            <w:tcW w:w="1045" w:type="dxa"/>
            <w:vAlign w:val="center"/>
          </w:tcPr>
          <w:p>
            <w:pPr>
              <w:pStyle w:val="105"/>
              <w:rPr>
                <w:sz w:val="24"/>
                <w:szCs w:val="24"/>
                <w:lang w:bidi="ar"/>
              </w:rPr>
            </w:pPr>
            <w:r>
              <w:rPr>
                <w:rFonts w:hint="eastAsia"/>
                <w:sz w:val="24"/>
                <w:szCs w:val="24"/>
                <w:lang w:bidi="ar"/>
              </w:rPr>
              <w:t>公厕</w:t>
            </w:r>
          </w:p>
        </w:tc>
        <w:tc>
          <w:tcPr>
            <w:tcW w:w="3185" w:type="dxa"/>
            <w:vAlign w:val="center"/>
          </w:tcPr>
          <w:p>
            <w:pPr>
              <w:pStyle w:val="105"/>
              <w:rPr>
                <w:sz w:val="24"/>
                <w:szCs w:val="24"/>
              </w:rPr>
            </w:pPr>
            <w:r>
              <w:rPr>
                <w:rFonts w:hint="eastAsia"/>
                <w:sz w:val="24"/>
                <w:szCs w:val="24"/>
              </w:rPr>
              <w:t>每村至少设置一个。</w:t>
            </w:r>
          </w:p>
        </w:tc>
        <w:tc>
          <w:tcPr>
            <w:tcW w:w="2915" w:type="dxa"/>
            <w:vAlign w:val="center"/>
          </w:tcPr>
          <w:p>
            <w:pPr>
              <w:pStyle w:val="105"/>
              <w:rPr>
                <w:sz w:val="24"/>
                <w:szCs w:val="24"/>
              </w:rPr>
            </w:pPr>
            <w:r>
              <w:rPr>
                <w:rFonts w:hint="eastAsia"/>
                <w:sz w:val="24"/>
                <w:szCs w:val="24"/>
              </w:rPr>
              <w:t>建筑面积不大于60平米。</w:t>
            </w:r>
          </w:p>
        </w:tc>
      </w:tr>
    </w:tbl>
    <w:p>
      <w:pPr>
        <w:rPr>
          <w:lang w:bidi="ar"/>
        </w:rPr>
      </w:pPr>
      <w:r>
        <w:rPr>
          <w:rFonts w:hint="eastAsia"/>
          <w:lang w:bidi="ar"/>
        </w:rPr>
        <w:t>4.村庄公共服务设施</w:t>
      </w:r>
    </w:p>
    <w:p>
      <w:pPr>
        <w:rPr>
          <w:lang w:bidi="ar"/>
        </w:rPr>
      </w:pPr>
      <w:r>
        <w:rPr>
          <w:rFonts w:hint="eastAsia"/>
          <w:lang w:bidi="ar"/>
        </w:rPr>
        <w:t>公共服务设施应根据村庄分类、当地村民的生产生活习惯和地域乡土风貌特色设置。可参照下表设置。</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1989"/>
        <w:gridCol w:w="1563"/>
        <w:gridCol w:w="1422"/>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5"/>
            <w:vAlign w:val="center"/>
          </w:tcPr>
          <w:p>
            <w:pPr>
              <w:pStyle w:val="108"/>
              <w:rPr>
                <w:szCs w:val="28"/>
                <w:lang w:bidi="ar"/>
              </w:rPr>
            </w:pPr>
            <w:r>
              <w:rPr>
                <w:rFonts w:hint="eastAsia"/>
                <w:szCs w:val="28"/>
                <w:lang w:bidi="ar"/>
              </w:rPr>
              <w:t>专栏1</w:t>
            </w:r>
            <w:r>
              <w:rPr>
                <w:szCs w:val="28"/>
                <w:lang w:bidi="ar"/>
              </w:rPr>
              <w:t>4-8</w:t>
            </w:r>
            <w:r>
              <w:rPr>
                <w:rFonts w:hint="eastAsia"/>
                <w:szCs w:val="28"/>
                <w:lang w:bidi="ar"/>
              </w:rPr>
              <w:t>：村庄公共服务设施分类及项目基本配置表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Merge w:val="restart"/>
            <w:vAlign w:val="center"/>
          </w:tcPr>
          <w:p>
            <w:pPr>
              <w:pStyle w:val="105"/>
              <w:rPr>
                <w:sz w:val="24"/>
                <w:szCs w:val="24"/>
                <w:lang w:bidi="ar"/>
              </w:rPr>
            </w:pPr>
            <w:r>
              <w:rPr>
                <w:rFonts w:hint="eastAsia"/>
                <w:sz w:val="24"/>
                <w:szCs w:val="24"/>
                <w:lang w:bidi="ar"/>
              </w:rPr>
              <w:t>类别</w:t>
            </w:r>
          </w:p>
        </w:tc>
        <w:tc>
          <w:tcPr>
            <w:tcW w:w="1167" w:type="pct"/>
            <w:vMerge w:val="restart"/>
            <w:vAlign w:val="center"/>
          </w:tcPr>
          <w:p>
            <w:pPr>
              <w:pStyle w:val="105"/>
              <w:rPr>
                <w:sz w:val="24"/>
                <w:szCs w:val="24"/>
                <w:lang w:bidi="ar"/>
              </w:rPr>
            </w:pPr>
            <w:r>
              <w:rPr>
                <w:rFonts w:hint="eastAsia"/>
                <w:sz w:val="24"/>
                <w:szCs w:val="24"/>
                <w:lang w:bidi="ar"/>
              </w:rPr>
              <w:t>项目</w:t>
            </w:r>
          </w:p>
        </w:tc>
        <w:tc>
          <w:tcPr>
            <w:tcW w:w="2584" w:type="pct"/>
            <w:gridSpan w:val="3"/>
          </w:tcPr>
          <w:p>
            <w:pPr>
              <w:pStyle w:val="105"/>
              <w:rPr>
                <w:sz w:val="24"/>
                <w:szCs w:val="24"/>
                <w:lang w:bidi="ar"/>
              </w:rPr>
            </w:pPr>
            <w:r>
              <w:rPr>
                <w:rFonts w:hint="eastAsia"/>
                <w:sz w:val="24"/>
                <w:szCs w:val="24"/>
                <w:lang w:bidi="ar"/>
              </w:rPr>
              <w:t>公共设施项目配置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Merge w:val="continue"/>
          </w:tcPr>
          <w:p>
            <w:pPr>
              <w:pStyle w:val="105"/>
              <w:rPr>
                <w:sz w:val="24"/>
                <w:szCs w:val="24"/>
                <w:lang w:bidi="ar"/>
              </w:rPr>
            </w:pPr>
          </w:p>
        </w:tc>
        <w:tc>
          <w:tcPr>
            <w:tcW w:w="1167" w:type="pct"/>
            <w:vMerge w:val="continue"/>
          </w:tcPr>
          <w:p>
            <w:pPr>
              <w:pStyle w:val="105"/>
              <w:rPr>
                <w:sz w:val="24"/>
                <w:szCs w:val="24"/>
                <w:lang w:bidi="ar"/>
              </w:rPr>
            </w:pPr>
          </w:p>
        </w:tc>
        <w:tc>
          <w:tcPr>
            <w:tcW w:w="917" w:type="pct"/>
          </w:tcPr>
          <w:p>
            <w:pPr>
              <w:pStyle w:val="105"/>
              <w:rPr>
                <w:sz w:val="24"/>
                <w:szCs w:val="24"/>
                <w:lang w:bidi="ar"/>
              </w:rPr>
            </w:pPr>
            <w:r>
              <w:rPr>
                <w:rFonts w:hint="eastAsia"/>
                <w:sz w:val="24"/>
                <w:szCs w:val="24"/>
                <w:lang w:bidi="ar"/>
              </w:rPr>
              <w:t>集聚提升类</w:t>
            </w:r>
          </w:p>
        </w:tc>
        <w:tc>
          <w:tcPr>
            <w:tcW w:w="834" w:type="pct"/>
          </w:tcPr>
          <w:p>
            <w:pPr>
              <w:pStyle w:val="105"/>
              <w:rPr>
                <w:sz w:val="24"/>
                <w:szCs w:val="24"/>
                <w:lang w:bidi="ar"/>
              </w:rPr>
            </w:pPr>
            <w:r>
              <w:rPr>
                <w:rFonts w:hint="eastAsia"/>
                <w:sz w:val="24"/>
                <w:szCs w:val="24"/>
                <w:lang w:bidi="ar"/>
              </w:rPr>
              <w:t>特色保护类</w:t>
            </w:r>
          </w:p>
        </w:tc>
        <w:tc>
          <w:tcPr>
            <w:tcW w:w="834" w:type="pct"/>
          </w:tcPr>
          <w:p>
            <w:pPr>
              <w:pStyle w:val="105"/>
              <w:rPr>
                <w:sz w:val="24"/>
                <w:szCs w:val="24"/>
                <w:lang w:bidi="ar"/>
              </w:rPr>
            </w:pPr>
            <w:r>
              <w:rPr>
                <w:rFonts w:hint="eastAsia"/>
                <w:sz w:val="24"/>
                <w:szCs w:val="24"/>
                <w:lang w:bidi="ar"/>
              </w:rPr>
              <w:t>整治改善类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Align w:val="center"/>
          </w:tcPr>
          <w:p>
            <w:pPr>
              <w:pStyle w:val="105"/>
              <w:rPr>
                <w:sz w:val="24"/>
                <w:szCs w:val="24"/>
                <w:lang w:bidi="ar"/>
              </w:rPr>
            </w:pPr>
            <w:r>
              <w:rPr>
                <w:rFonts w:hint="eastAsia"/>
                <w:sz w:val="24"/>
                <w:szCs w:val="24"/>
                <w:lang w:bidi="ar"/>
              </w:rPr>
              <w:t>行政管理</w:t>
            </w:r>
          </w:p>
        </w:tc>
        <w:tc>
          <w:tcPr>
            <w:tcW w:w="1167" w:type="pct"/>
            <w:vAlign w:val="center"/>
          </w:tcPr>
          <w:p>
            <w:pPr>
              <w:pStyle w:val="105"/>
              <w:rPr>
                <w:sz w:val="24"/>
                <w:szCs w:val="24"/>
                <w:lang w:bidi="ar"/>
              </w:rPr>
            </w:pPr>
            <w:r>
              <w:rPr>
                <w:rFonts w:hint="eastAsia"/>
                <w:sz w:val="24"/>
                <w:szCs w:val="24"/>
                <w:lang w:bidi="ar"/>
              </w:rPr>
              <w:t>村委会</w:t>
            </w:r>
          </w:p>
        </w:tc>
        <w:tc>
          <w:tcPr>
            <w:tcW w:w="917"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Merge w:val="restart"/>
            <w:vAlign w:val="center"/>
          </w:tcPr>
          <w:p>
            <w:pPr>
              <w:pStyle w:val="105"/>
              <w:rPr>
                <w:sz w:val="24"/>
                <w:szCs w:val="24"/>
                <w:lang w:bidi="ar"/>
              </w:rPr>
            </w:pPr>
            <w:r>
              <w:rPr>
                <w:rFonts w:hint="eastAsia"/>
                <w:sz w:val="24"/>
                <w:szCs w:val="24"/>
                <w:lang w:bidi="ar"/>
              </w:rPr>
              <w:t>教育机构</w:t>
            </w:r>
          </w:p>
        </w:tc>
        <w:tc>
          <w:tcPr>
            <w:tcW w:w="1167" w:type="pct"/>
            <w:vAlign w:val="center"/>
          </w:tcPr>
          <w:p>
            <w:pPr>
              <w:pStyle w:val="105"/>
              <w:rPr>
                <w:sz w:val="24"/>
                <w:szCs w:val="24"/>
                <w:lang w:bidi="ar"/>
              </w:rPr>
            </w:pPr>
            <w:r>
              <w:rPr>
                <w:rFonts w:hint="eastAsia"/>
                <w:sz w:val="24"/>
                <w:szCs w:val="24"/>
                <w:lang w:bidi="ar"/>
              </w:rPr>
              <w:t>小学</w:t>
            </w:r>
          </w:p>
        </w:tc>
        <w:tc>
          <w:tcPr>
            <w:tcW w:w="917"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Merge w:val="continue"/>
            <w:vAlign w:val="center"/>
          </w:tcPr>
          <w:p>
            <w:pPr>
              <w:pStyle w:val="105"/>
              <w:rPr>
                <w:sz w:val="24"/>
                <w:szCs w:val="24"/>
                <w:lang w:bidi="ar"/>
              </w:rPr>
            </w:pPr>
          </w:p>
        </w:tc>
        <w:tc>
          <w:tcPr>
            <w:tcW w:w="1167" w:type="pct"/>
            <w:vAlign w:val="center"/>
          </w:tcPr>
          <w:p>
            <w:pPr>
              <w:pStyle w:val="105"/>
              <w:rPr>
                <w:sz w:val="24"/>
                <w:szCs w:val="24"/>
                <w:lang w:bidi="ar"/>
              </w:rPr>
            </w:pPr>
            <w:r>
              <w:rPr>
                <w:rFonts w:hint="eastAsia"/>
                <w:sz w:val="24"/>
                <w:szCs w:val="24"/>
                <w:lang w:bidi="ar"/>
              </w:rPr>
              <w:t>幼儿园</w:t>
            </w:r>
          </w:p>
        </w:tc>
        <w:tc>
          <w:tcPr>
            <w:tcW w:w="917"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Merge w:val="continue"/>
            <w:vAlign w:val="center"/>
          </w:tcPr>
          <w:p>
            <w:pPr>
              <w:pStyle w:val="105"/>
              <w:rPr>
                <w:sz w:val="24"/>
                <w:szCs w:val="24"/>
                <w:lang w:bidi="ar"/>
              </w:rPr>
            </w:pPr>
          </w:p>
        </w:tc>
        <w:tc>
          <w:tcPr>
            <w:tcW w:w="1167" w:type="pct"/>
            <w:vAlign w:val="center"/>
          </w:tcPr>
          <w:p>
            <w:pPr>
              <w:pStyle w:val="105"/>
              <w:rPr>
                <w:sz w:val="24"/>
                <w:szCs w:val="24"/>
                <w:lang w:bidi="ar"/>
              </w:rPr>
            </w:pPr>
            <w:r>
              <w:rPr>
                <w:rFonts w:hint="eastAsia"/>
                <w:sz w:val="24"/>
                <w:szCs w:val="24"/>
                <w:lang w:bidi="ar"/>
              </w:rPr>
              <w:t>托儿所</w:t>
            </w:r>
          </w:p>
        </w:tc>
        <w:tc>
          <w:tcPr>
            <w:tcW w:w="917"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Align w:val="center"/>
          </w:tcPr>
          <w:p>
            <w:pPr>
              <w:pStyle w:val="105"/>
              <w:rPr>
                <w:sz w:val="24"/>
                <w:szCs w:val="24"/>
                <w:lang w:bidi="ar"/>
              </w:rPr>
            </w:pPr>
            <w:r>
              <w:rPr>
                <w:rFonts w:hint="eastAsia"/>
                <w:sz w:val="24"/>
                <w:szCs w:val="24"/>
                <w:lang w:bidi="ar"/>
              </w:rPr>
              <w:t>文化科技</w:t>
            </w:r>
          </w:p>
        </w:tc>
        <w:tc>
          <w:tcPr>
            <w:tcW w:w="1167" w:type="pct"/>
            <w:vAlign w:val="center"/>
          </w:tcPr>
          <w:p>
            <w:pPr>
              <w:pStyle w:val="105"/>
              <w:rPr>
                <w:sz w:val="24"/>
                <w:szCs w:val="24"/>
                <w:lang w:bidi="ar"/>
              </w:rPr>
            </w:pPr>
            <w:r>
              <w:rPr>
                <w:rFonts w:hint="eastAsia"/>
                <w:sz w:val="24"/>
                <w:szCs w:val="24"/>
                <w:lang w:bidi="ar"/>
              </w:rPr>
              <w:t>文化大院</w:t>
            </w:r>
          </w:p>
        </w:tc>
        <w:tc>
          <w:tcPr>
            <w:tcW w:w="917"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Align w:val="center"/>
          </w:tcPr>
          <w:p>
            <w:pPr>
              <w:pStyle w:val="105"/>
              <w:rPr>
                <w:sz w:val="24"/>
                <w:szCs w:val="24"/>
                <w:lang w:bidi="ar"/>
              </w:rPr>
            </w:pPr>
            <w:r>
              <w:rPr>
                <w:rFonts w:hint="eastAsia"/>
                <w:sz w:val="24"/>
                <w:szCs w:val="24"/>
                <w:lang w:bidi="ar"/>
              </w:rPr>
              <w:t>体育设施</w:t>
            </w:r>
          </w:p>
        </w:tc>
        <w:tc>
          <w:tcPr>
            <w:tcW w:w="1167" w:type="pct"/>
            <w:vAlign w:val="center"/>
          </w:tcPr>
          <w:p>
            <w:pPr>
              <w:pStyle w:val="105"/>
              <w:rPr>
                <w:sz w:val="24"/>
                <w:szCs w:val="24"/>
                <w:lang w:bidi="ar"/>
              </w:rPr>
            </w:pPr>
            <w:r>
              <w:rPr>
                <w:rFonts w:hint="eastAsia"/>
                <w:sz w:val="24"/>
                <w:szCs w:val="24"/>
                <w:lang w:bidi="ar"/>
              </w:rPr>
              <w:t>休闲运动广场</w:t>
            </w:r>
          </w:p>
        </w:tc>
        <w:tc>
          <w:tcPr>
            <w:tcW w:w="917"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Align w:val="center"/>
          </w:tcPr>
          <w:p>
            <w:pPr>
              <w:pStyle w:val="105"/>
              <w:rPr>
                <w:sz w:val="24"/>
                <w:szCs w:val="24"/>
                <w:lang w:bidi="ar"/>
              </w:rPr>
            </w:pPr>
            <w:r>
              <w:rPr>
                <w:rFonts w:hint="eastAsia"/>
                <w:sz w:val="24"/>
                <w:szCs w:val="24"/>
                <w:lang w:bidi="ar"/>
              </w:rPr>
              <w:t>医疗设施</w:t>
            </w:r>
          </w:p>
        </w:tc>
        <w:tc>
          <w:tcPr>
            <w:tcW w:w="1167" w:type="pct"/>
            <w:vAlign w:val="center"/>
          </w:tcPr>
          <w:p>
            <w:pPr>
              <w:pStyle w:val="105"/>
              <w:rPr>
                <w:sz w:val="24"/>
                <w:szCs w:val="24"/>
                <w:lang w:bidi="ar"/>
              </w:rPr>
            </w:pPr>
            <w:r>
              <w:rPr>
                <w:rFonts w:hint="eastAsia"/>
                <w:sz w:val="24"/>
                <w:szCs w:val="24"/>
                <w:lang w:bidi="ar"/>
              </w:rPr>
              <w:t>村卫生室</w:t>
            </w:r>
          </w:p>
        </w:tc>
        <w:tc>
          <w:tcPr>
            <w:tcW w:w="917"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Align w:val="center"/>
          </w:tcPr>
          <w:p>
            <w:pPr>
              <w:pStyle w:val="105"/>
              <w:rPr>
                <w:sz w:val="24"/>
                <w:szCs w:val="24"/>
                <w:lang w:bidi="ar"/>
              </w:rPr>
            </w:pPr>
            <w:r>
              <w:rPr>
                <w:rFonts w:hint="eastAsia"/>
                <w:sz w:val="24"/>
                <w:szCs w:val="24"/>
                <w:lang w:bidi="ar"/>
              </w:rPr>
              <w:t>社会保障</w:t>
            </w:r>
          </w:p>
        </w:tc>
        <w:tc>
          <w:tcPr>
            <w:tcW w:w="1167" w:type="pct"/>
            <w:vAlign w:val="center"/>
          </w:tcPr>
          <w:p>
            <w:pPr>
              <w:pStyle w:val="105"/>
              <w:rPr>
                <w:sz w:val="24"/>
                <w:szCs w:val="24"/>
                <w:lang w:bidi="ar"/>
              </w:rPr>
            </w:pPr>
            <w:r>
              <w:rPr>
                <w:rFonts w:hint="eastAsia"/>
                <w:sz w:val="24"/>
                <w:szCs w:val="24"/>
                <w:lang w:bidi="ar"/>
              </w:rPr>
              <w:t>日间照料中心</w:t>
            </w:r>
          </w:p>
        </w:tc>
        <w:tc>
          <w:tcPr>
            <w:tcW w:w="917"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Merge w:val="restart"/>
            <w:vAlign w:val="center"/>
          </w:tcPr>
          <w:p>
            <w:pPr>
              <w:pStyle w:val="105"/>
              <w:rPr>
                <w:sz w:val="24"/>
                <w:szCs w:val="24"/>
                <w:lang w:bidi="ar"/>
              </w:rPr>
            </w:pPr>
            <w:r>
              <w:rPr>
                <w:rFonts w:hint="eastAsia"/>
                <w:sz w:val="24"/>
                <w:szCs w:val="24"/>
                <w:lang w:bidi="ar"/>
              </w:rPr>
              <w:t>商业服务</w:t>
            </w:r>
          </w:p>
        </w:tc>
        <w:tc>
          <w:tcPr>
            <w:tcW w:w="1167" w:type="pct"/>
            <w:vAlign w:val="center"/>
          </w:tcPr>
          <w:p>
            <w:pPr>
              <w:pStyle w:val="105"/>
              <w:rPr>
                <w:sz w:val="24"/>
                <w:szCs w:val="24"/>
                <w:lang w:bidi="ar"/>
              </w:rPr>
            </w:pPr>
            <w:r>
              <w:rPr>
                <w:rFonts w:hint="eastAsia"/>
                <w:sz w:val="24"/>
                <w:szCs w:val="24"/>
                <w:lang w:bidi="ar"/>
              </w:rPr>
              <w:t>小卖部</w:t>
            </w:r>
          </w:p>
        </w:tc>
        <w:tc>
          <w:tcPr>
            <w:tcW w:w="917"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Merge w:val="continue"/>
            <w:vAlign w:val="center"/>
          </w:tcPr>
          <w:p>
            <w:pPr>
              <w:pStyle w:val="105"/>
              <w:rPr>
                <w:sz w:val="24"/>
                <w:szCs w:val="24"/>
                <w:lang w:bidi="ar"/>
              </w:rPr>
            </w:pPr>
          </w:p>
        </w:tc>
        <w:tc>
          <w:tcPr>
            <w:tcW w:w="1167" w:type="pct"/>
            <w:vAlign w:val="center"/>
          </w:tcPr>
          <w:p>
            <w:pPr>
              <w:pStyle w:val="105"/>
              <w:rPr>
                <w:sz w:val="24"/>
                <w:szCs w:val="24"/>
                <w:lang w:bidi="ar"/>
              </w:rPr>
            </w:pPr>
            <w:r>
              <w:rPr>
                <w:rFonts w:hint="eastAsia"/>
                <w:sz w:val="24"/>
                <w:szCs w:val="24"/>
                <w:lang w:bidi="ar"/>
              </w:rPr>
              <w:t>小型超市</w:t>
            </w:r>
          </w:p>
        </w:tc>
        <w:tc>
          <w:tcPr>
            <w:tcW w:w="917"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Merge w:val="continue"/>
            <w:vAlign w:val="center"/>
          </w:tcPr>
          <w:p>
            <w:pPr>
              <w:pStyle w:val="105"/>
              <w:rPr>
                <w:sz w:val="24"/>
                <w:szCs w:val="24"/>
                <w:lang w:bidi="ar"/>
              </w:rPr>
            </w:pPr>
          </w:p>
        </w:tc>
        <w:tc>
          <w:tcPr>
            <w:tcW w:w="1167" w:type="pct"/>
            <w:vAlign w:val="center"/>
          </w:tcPr>
          <w:p>
            <w:pPr>
              <w:pStyle w:val="105"/>
              <w:rPr>
                <w:sz w:val="24"/>
                <w:szCs w:val="24"/>
                <w:lang w:bidi="ar"/>
              </w:rPr>
            </w:pPr>
            <w:r>
              <w:rPr>
                <w:rFonts w:hint="eastAsia"/>
                <w:sz w:val="24"/>
                <w:szCs w:val="24"/>
                <w:lang w:bidi="ar"/>
              </w:rPr>
              <w:t>餐饮、特产店</w:t>
            </w:r>
          </w:p>
        </w:tc>
        <w:tc>
          <w:tcPr>
            <w:tcW w:w="917"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Merge w:val="continue"/>
            <w:vAlign w:val="center"/>
          </w:tcPr>
          <w:p>
            <w:pPr>
              <w:pStyle w:val="105"/>
              <w:rPr>
                <w:sz w:val="24"/>
                <w:szCs w:val="24"/>
                <w:lang w:bidi="ar"/>
              </w:rPr>
            </w:pPr>
          </w:p>
        </w:tc>
        <w:tc>
          <w:tcPr>
            <w:tcW w:w="1167" w:type="pct"/>
            <w:vAlign w:val="center"/>
          </w:tcPr>
          <w:p>
            <w:pPr>
              <w:pStyle w:val="105"/>
              <w:rPr>
                <w:sz w:val="24"/>
                <w:szCs w:val="24"/>
                <w:lang w:bidi="ar"/>
              </w:rPr>
            </w:pPr>
            <w:r>
              <w:rPr>
                <w:rFonts w:hint="eastAsia"/>
                <w:sz w:val="24"/>
                <w:szCs w:val="24"/>
                <w:lang w:bidi="ar"/>
              </w:rPr>
              <w:t>旅馆、招待所</w:t>
            </w:r>
          </w:p>
        </w:tc>
        <w:tc>
          <w:tcPr>
            <w:tcW w:w="917"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r>
    </w:tbl>
    <w:p>
      <w:pPr>
        <w:ind w:firstLine="420"/>
        <w:jc w:val="left"/>
        <w:rPr>
          <w:rFonts w:ascii="楷体" w:hAnsi="楷体" w:eastAsia="楷体" w:cs="楷体"/>
          <w:sz w:val="21"/>
          <w:szCs w:val="21"/>
        </w:rPr>
      </w:pPr>
      <w:r>
        <w:rPr>
          <w:rFonts w:hint="eastAsia" w:ascii="楷体" w:hAnsi="楷体" w:eastAsia="楷体" w:cs="楷体"/>
          <w:kern w:val="0"/>
          <w:sz w:val="21"/>
          <w:szCs w:val="21"/>
          <w:lang w:bidi="ar"/>
        </w:rPr>
        <w:t>注： ●—为应设的内容○—为可设的内容</w:t>
      </w:r>
    </w:p>
    <w:p>
      <w:pPr>
        <w:rPr>
          <w:lang w:bidi="ar"/>
        </w:rPr>
      </w:pPr>
      <w:r>
        <w:rPr>
          <w:rFonts w:hint="eastAsia"/>
          <w:lang w:bidi="ar"/>
        </w:rPr>
        <w:t>配置标准应根据村庄类别配置村庄公共设施，村庄主要公共设施的单项设施用地面积可参考下表规定。</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1313"/>
        <w:gridCol w:w="1843"/>
        <w:gridCol w:w="4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297" w:type="dxa"/>
            <w:gridSpan w:val="4"/>
            <w:vAlign w:val="center"/>
          </w:tcPr>
          <w:p>
            <w:pPr>
              <w:pStyle w:val="108"/>
              <w:rPr>
                <w:sz w:val="24"/>
                <w:szCs w:val="24"/>
                <w:lang w:bidi="ar"/>
              </w:rPr>
            </w:pPr>
            <w:r>
              <w:rPr>
                <w:rFonts w:hint="eastAsia"/>
                <w:szCs w:val="28"/>
                <w:lang w:bidi="ar"/>
              </w:rPr>
              <w:t>专栏1</w:t>
            </w:r>
            <w:r>
              <w:rPr>
                <w:szCs w:val="28"/>
                <w:lang w:bidi="ar"/>
              </w:rPr>
              <w:t>2-9</w:t>
            </w:r>
            <w:r>
              <w:rPr>
                <w:rFonts w:hint="eastAsia"/>
                <w:szCs w:val="28"/>
                <w:lang w:bidi="ar"/>
              </w:rPr>
              <w:t>：村庄公共设施用地面积参考指标（单位：平方米）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92" w:type="dxa"/>
            <w:vAlign w:val="center"/>
          </w:tcPr>
          <w:p>
            <w:pPr>
              <w:pStyle w:val="105"/>
              <w:rPr>
                <w:sz w:val="24"/>
                <w:szCs w:val="24"/>
                <w:lang w:bidi="ar"/>
              </w:rPr>
            </w:pPr>
            <w:r>
              <w:rPr>
                <w:rFonts w:hint="eastAsia"/>
                <w:sz w:val="24"/>
                <w:szCs w:val="24"/>
                <w:lang w:bidi="ar"/>
              </w:rPr>
              <w:t>类别</w:t>
            </w:r>
          </w:p>
        </w:tc>
        <w:tc>
          <w:tcPr>
            <w:tcW w:w="1313" w:type="dxa"/>
            <w:vAlign w:val="center"/>
          </w:tcPr>
          <w:p>
            <w:pPr>
              <w:pStyle w:val="105"/>
              <w:rPr>
                <w:sz w:val="24"/>
                <w:szCs w:val="24"/>
                <w:lang w:bidi="ar"/>
              </w:rPr>
            </w:pPr>
            <w:r>
              <w:rPr>
                <w:rFonts w:hint="eastAsia"/>
                <w:sz w:val="24"/>
                <w:szCs w:val="24"/>
                <w:lang w:bidi="ar"/>
              </w:rPr>
              <w:t>设施名称</w:t>
            </w:r>
          </w:p>
        </w:tc>
        <w:tc>
          <w:tcPr>
            <w:tcW w:w="1843" w:type="dxa"/>
            <w:vAlign w:val="center"/>
          </w:tcPr>
          <w:p>
            <w:pPr>
              <w:pStyle w:val="105"/>
              <w:rPr>
                <w:sz w:val="24"/>
                <w:szCs w:val="24"/>
                <w:lang w:bidi="ar"/>
              </w:rPr>
            </w:pPr>
            <w:r>
              <w:rPr>
                <w:rFonts w:hint="eastAsia"/>
                <w:sz w:val="24"/>
                <w:szCs w:val="24"/>
                <w:lang w:bidi="ar"/>
              </w:rPr>
              <w:t>建筑面积</w:t>
            </w:r>
          </w:p>
        </w:tc>
        <w:tc>
          <w:tcPr>
            <w:tcW w:w="4049" w:type="dxa"/>
            <w:vAlign w:val="center"/>
          </w:tcPr>
          <w:p>
            <w:pPr>
              <w:pStyle w:val="105"/>
              <w:rPr>
                <w:sz w:val="24"/>
                <w:szCs w:val="24"/>
                <w:lang w:bidi="ar"/>
              </w:rPr>
            </w:pPr>
            <w:r>
              <w:rPr>
                <w:rFonts w:hint="eastAsia"/>
                <w:sz w:val="24"/>
                <w:szCs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Align w:val="center"/>
          </w:tcPr>
          <w:p>
            <w:pPr>
              <w:pStyle w:val="105"/>
              <w:rPr>
                <w:sz w:val="24"/>
                <w:szCs w:val="24"/>
                <w:lang w:bidi="ar"/>
              </w:rPr>
            </w:pPr>
            <w:r>
              <w:rPr>
                <w:rFonts w:hint="eastAsia"/>
                <w:sz w:val="24"/>
                <w:szCs w:val="24"/>
                <w:lang w:bidi="ar"/>
              </w:rPr>
              <w:t>行政管理</w:t>
            </w:r>
          </w:p>
        </w:tc>
        <w:tc>
          <w:tcPr>
            <w:tcW w:w="1313" w:type="dxa"/>
            <w:vAlign w:val="center"/>
          </w:tcPr>
          <w:p>
            <w:pPr>
              <w:pStyle w:val="105"/>
              <w:rPr>
                <w:sz w:val="24"/>
                <w:szCs w:val="24"/>
                <w:lang w:bidi="ar"/>
              </w:rPr>
            </w:pPr>
            <w:r>
              <w:rPr>
                <w:rFonts w:hint="eastAsia"/>
                <w:sz w:val="24"/>
                <w:szCs w:val="24"/>
                <w:lang w:bidi="ar"/>
              </w:rPr>
              <w:t>村委会</w:t>
            </w:r>
          </w:p>
        </w:tc>
        <w:tc>
          <w:tcPr>
            <w:tcW w:w="1843" w:type="dxa"/>
            <w:vAlign w:val="center"/>
          </w:tcPr>
          <w:p>
            <w:pPr>
              <w:pStyle w:val="105"/>
              <w:rPr>
                <w:sz w:val="24"/>
                <w:szCs w:val="24"/>
                <w:lang w:bidi="ar"/>
              </w:rPr>
            </w:pPr>
            <w:r>
              <w:rPr>
                <w:rFonts w:hint="eastAsia"/>
                <w:sz w:val="24"/>
                <w:szCs w:val="24"/>
                <w:lang w:bidi="ar"/>
              </w:rPr>
              <w:t>200-500</w:t>
            </w:r>
          </w:p>
        </w:tc>
        <w:tc>
          <w:tcPr>
            <w:tcW w:w="4049" w:type="dxa"/>
            <w:vAlign w:val="center"/>
          </w:tcPr>
          <w:p>
            <w:pPr>
              <w:pStyle w:val="105"/>
              <w:rPr>
                <w:sz w:val="24"/>
                <w:szCs w:val="24"/>
                <w:lang w:bidi="ar"/>
              </w:rPr>
            </w:pPr>
            <w:r>
              <w:rPr>
                <w:rFonts w:hint="eastAsia"/>
                <w:sz w:val="24"/>
                <w:szCs w:val="24"/>
              </w:rPr>
              <w:t>宜布置在方便出入、便于办事的地点，原则上独立于村民住宅。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Merge w:val="restart"/>
            <w:vAlign w:val="center"/>
          </w:tcPr>
          <w:p>
            <w:pPr>
              <w:pStyle w:val="105"/>
              <w:rPr>
                <w:sz w:val="24"/>
                <w:szCs w:val="24"/>
                <w:lang w:bidi="ar"/>
              </w:rPr>
            </w:pPr>
            <w:r>
              <w:rPr>
                <w:rFonts w:hint="eastAsia"/>
                <w:sz w:val="24"/>
                <w:szCs w:val="24"/>
                <w:lang w:bidi="ar"/>
              </w:rPr>
              <w:t>教育机构</w:t>
            </w:r>
          </w:p>
        </w:tc>
        <w:tc>
          <w:tcPr>
            <w:tcW w:w="1313" w:type="dxa"/>
            <w:vAlign w:val="center"/>
          </w:tcPr>
          <w:p>
            <w:pPr>
              <w:pStyle w:val="105"/>
              <w:rPr>
                <w:sz w:val="24"/>
                <w:szCs w:val="24"/>
                <w:lang w:bidi="ar"/>
              </w:rPr>
            </w:pPr>
            <w:r>
              <w:rPr>
                <w:rFonts w:hint="eastAsia"/>
                <w:sz w:val="24"/>
                <w:szCs w:val="24"/>
                <w:lang w:bidi="ar"/>
              </w:rPr>
              <w:t>小学</w:t>
            </w:r>
          </w:p>
        </w:tc>
        <w:tc>
          <w:tcPr>
            <w:tcW w:w="1843" w:type="dxa"/>
            <w:vAlign w:val="center"/>
          </w:tcPr>
          <w:p>
            <w:pPr>
              <w:pStyle w:val="105"/>
              <w:rPr>
                <w:sz w:val="24"/>
                <w:szCs w:val="24"/>
                <w:lang w:bidi="ar"/>
              </w:rPr>
            </w:pPr>
            <w:r>
              <w:rPr>
                <w:rFonts w:hint="eastAsia"/>
                <w:sz w:val="24"/>
                <w:szCs w:val="24"/>
                <w:lang w:bidi="ar"/>
              </w:rPr>
              <w:t>4000-8000</w:t>
            </w:r>
          </w:p>
        </w:tc>
        <w:tc>
          <w:tcPr>
            <w:tcW w:w="4049" w:type="dxa"/>
            <w:vAlign w:val="center"/>
          </w:tcPr>
          <w:p>
            <w:pPr>
              <w:pStyle w:val="105"/>
              <w:rPr>
                <w:sz w:val="24"/>
                <w:szCs w:val="24"/>
              </w:rPr>
            </w:pPr>
            <w:r>
              <w:rPr>
                <w:rFonts w:hint="eastAsia"/>
                <w:sz w:val="24"/>
                <w:szCs w:val="24"/>
              </w:rPr>
              <w:t>应独立占地。可根据乡村生活圈配置要求采取多村合设的方式。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092" w:type="dxa"/>
            <w:vMerge w:val="continue"/>
            <w:vAlign w:val="center"/>
          </w:tcPr>
          <w:p>
            <w:pPr>
              <w:pStyle w:val="105"/>
              <w:rPr>
                <w:sz w:val="24"/>
                <w:szCs w:val="24"/>
                <w:lang w:bidi="ar"/>
              </w:rPr>
            </w:pPr>
          </w:p>
        </w:tc>
        <w:tc>
          <w:tcPr>
            <w:tcW w:w="1313" w:type="dxa"/>
            <w:vAlign w:val="center"/>
          </w:tcPr>
          <w:p>
            <w:pPr>
              <w:pStyle w:val="105"/>
              <w:rPr>
                <w:sz w:val="24"/>
                <w:szCs w:val="24"/>
                <w:lang w:bidi="ar"/>
              </w:rPr>
            </w:pPr>
            <w:r>
              <w:rPr>
                <w:rFonts w:hint="eastAsia"/>
                <w:sz w:val="24"/>
                <w:szCs w:val="24"/>
                <w:lang w:bidi="ar"/>
              </w:rPr>
              <w:t>幼儿园</w:t>
            </w:r>
          </w:p>
        </w:tc>
        <w:tc>
          <w:tcPr>
            <w:tcW w:w="1843" w:type="dxa"/>
            <w:vAlign w:val="center"/>
          </w:tcPr>
          <w:p>
            <w:pPr>
              <w:pStyle w:val="105"/>
              <w:rPr>
                <w:sz w:val="24"/>
                <w:szCs w:val="24"/>
                <w:lang w:bidi="ar"/>
              </w:rPr>
            </w:pPr>
            <w:r>
              <w:rPr>
                <w:rFonts w:hint="eastAsia"/>
                <w:sz w:val="24"/>
                <w:szCs w:val="24"/>
                <w:lang w:bidi="ar"/>
              </w:rPr>
              <w:t>600-1800</w:t>
            </w:r>
          </w:p>
        </w:tc>
        <w:tc>
          <w:tcPr>
            <w:tcW w:w="4049" w:type="dxa"/>
            <w:vAlign w:val="center"/>
          </w:tcPr>
          <w:p>
            <w:pPr>
              <w:pStyle w:val="105"/>
              <w:rPr>
                <w:sz w:val="24"/>
                <w:szCs w:val="24"/>
              </w:rPr>
            </w:pPr>
            <w:r>
              <w:rPr>
                <w:rFonts w:hint="eastAsia"/>
                <w:sz w:val="24"/>
                <w:szCs w:val="24"/>
              </w:rPr>
              <w:t>独立设置或与绿地结合设置。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Merge w:val="continue"/>
            <w:vAlign w:val="center"/>
          </w:tcPr>
          <w:p>
            <w:pPr>
              <w:pStyle w:val="105"/>
              <w:rPr>
                <w:sz w:val="24"/>
                <w:szCs w:val="24"/>
                <w:lang w:bidi="ar"/>
              </w:rPr>
            </w:pPr>
          </w:p>
        </w:tc>
        <w:tc>
          <w:tcPr>
            <w:tcW w:w="1313" w:type="dxa"/>
            <w:vAlign w:val="center"/>
          </w:tcPr>
          <w:p>
            <w:pPr>
              <w:pStyle w:val="105"/>
              <w:rPr>
                <w:sz w:val="24"/>
                <w:szCs w:val="24"/>
                <w:lang w:bidi="ar"/>
              </w:rPr>
            </w:pPr>
            <w:r>
              <w:rPr>
                <w:rFonts w:hint="eastAsia"/>
                <w:sz w:val="24"/>
                <w:szCs w:val="24"/>
                <w:lang w:bidi="ar"/>
              </w:rPr>
              <w:t>托儿所</w:t>
            </w:r>
          </w:p>
        </w:tc>
        <w:tc>
          <w:tcPr>
            <w:tcW w:w="1843" w:type="dxa"/>
            <w:vAlign w:val="center"/>
          </w:tcPr>
          <w:p>
            <w:pPr>
              <w:pStyle w:val="105"/>
              <w:rPr>
                <w:sz w:val="24"/>
                <w:szCs w:val="24"/>
                <w:lang w:bidi="ar"/>
              </w:rPr>
            </w:pPr>
            <w:r>
              <w:rPr>
                <w:rFonts w:hint="eastAsia"/>
                <w:sz w:val="24"/>
                <w:szCs w:val="24"/>
                <w:lang w:bidi="ar"/>
              </w:rPr>
              <w:t>600-1800</w:t>
            </w:r>
          </w:p>
        </w:tc>
        <w:tc>
          <w:tcPr>
            <w:tcW w:w="4049" w:type="dxa"/>
            <w:vAlign w:val="center"/>
          </w:tcPr>
          <w:p>
            <w:pPr>
              <w:pStyle w:val="105"/>
              <w:rPr>
                <w:sz w:val="24"/>
                <w:szCs w:val="24"/>
              </w:rPr>
            </w:pPr>
            <w:r>
              <w:rPr>
                <w:rFonts w:hint="eastAsia"/>
                <w:sz w:val="24"/>
                <w:szCs w:val="24"/>
              </w:rPr>
              <w:t>独立设置或与幼儿园、绿地等结合设置。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Align w:val="center"/>
          </w:tcPr>
          <w:p>
            <w:pPr>
              <w:pStyle w:val="105"/>
              <w:rPr>
                <w:sz w:val="24"/>
                <w:szCs w:val="24"/>
                <w:lang w:bidi="ar"/>
              </w:rPr>
            </w:pPr>
            <w:r>
              <w:rPr>
                <w:rFonts w:hint="eastAsia"/>
                <w:sz w:val="24"/>
                <w:szCs w:val="24"/>
                <w:lang w:bidi="ar"/>
              </w:rPr>
              <w:t>文化科技</w:t>
            </w:r>
          </w:p>
        </w:tc>
        <w:tc>
          <w:tcPr>
            <w:tcW w:w="1313" w:type="dxa"/>
            <w:vAlign w:val="center"/>
          </w:tcPr>
          <w:p>
            <w:pPr>
              <w:pStyle w:val="105"/>
              <w:rPr>
                <w:sz w:val="24"/>
                <w:szCs w:val="24"/>
                <w:lang w:bidi="ar"/>
              </w:rPr>
            </w:pPr>
            <w:r>
              <w:rPr>
                <w:rFonts w:hint="eastAsia"/>
                <w:sz w:val="24"/>
                <w:szCs w:val="24"/>
                <w:lang w:bidi="ar"/>
              </w:rPr>
              <w:t>文化大院</w:t>
            </w:r>
          </w:p>
        </w:tc>
        <w:tc>
          <w:tcPr>
            <w:tcW w:w="1843" w:type="dxa"/>
            <w:vAlign w:val="center"/>
          </w:tcPr>
          <w:p>
            <w:pPr>
              <w:pStyle w:val="105"/>
              <w:rPr>
                <w:sz w:val="24"/>
                <w:szCs w:val="24"/>
                <w:lang w:bidi="ar"/>
              </w:rPr>
            </w:pPr>
            <w:r>
              <w:rPr>
                <w:rFonts w:hint="eastAsia"/>
                <w:sz w:val="24"/>
                <w:szCs w:val="24"/>
                <w:lang w:bidi="ar"/>
              </w:rPr>
              <w:t>200-800</w:t>
            </w:r>
          </w:p>
        </w:tc>
        <w:tc>
          <w:tcPr>
            <w:tcW w:w="4049" w:type="dxa"/>
            <w:vAlign w:val="center"/>
          </w:tcPr>
          <w:p>
            <w:pPr>
              <w:pStyle w:val="105"/>
              <w:rPr>
                <w:sz w:val="24"/>
                <w:szCs w:val="24"/>
              </w:rPr>
            </w:pPr>
            <w:r>
              <w:rPr>
                <w:rFonts w:hint="eastAsia"/>
                <w:sz w:val="24"/>
                <w:szCs w:val="24"/>
              </w:rPr>
              <w:t>应包括科技服务、图书阅览等功能。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Align w:val="center"/>
          </w:tcPr>
          <w:p>
            <w:pPr>
              <w:pStyle w:val="105"/>
              <w:rPr>
                <w:sz w:val="24"/>
                <w:szCs w:val="24"/>
                <w:lang w:bidi="ar"/>
              </w:rPr>
            </w:pPr>
            <w:r>
              <w:rPr>
                <w:rFonts w:hint="eastAsia"/>
                <w:sz w:val="24"/>
                <w:szCs w:val="24"/>
                <w:lang w:bidi="ar"/>
              </w:rPr>
              <w:t>体育设施</w:t>
            </w:r>
          </w:p>
        </w:tc>
        <w:tc>
          <w:tcPr>
            <w:tcW w:w="1313" w:type="dxa"/>
            <w:vAlign w:val="center"/>
          </w:tcPr>
          <w:p>
            <w:pPr>
              <w:pStyle w:val="105"/>
              <w:rPr>
                <w:sz w:val="24"/>
                <w:szCs w:val="24"/>
                <w:lang w:bidi="ar"/>
              </w:rPr>
            </w:pPr>
            <w:r>
              <w:rPr>
                <w:rFonts w:hint="eastAsia"/>
                <w:sz w:val="24"/>
                <w:szCs w:val="24"/>
                <w:lang w:bidi="ar"/>
              </w:rPr>
              <w:t>休闲运动广场</w:t>
            </w:r>
          </w:p>
        </w:tc>
        <w:tc>
          <w:tcPr>
            <w:tcW w:w="1843" w:type="dxa"/>
            <w:vAlign w:val="center"/>
          </w:tcPr>
          <w:p>
            <w:pPr>
              <w:pStyle w:val="105"/>
              <w:rPr>
                <w:sz w:val="24"/>
                <w:szCs w:val="24"/>
                <w:lang w:bidi="ar"/>
              </w:rPr>
            </w:pPr>
            <w:r>
              <w:rPr>
                <w:rFonts w:hint="eastAsia"/>
                <w:sz w:val="24"/>
                <w:szCs w:val="24"/>
                <w:lang w:bidi="ar"/>
              </w:rPr>
              <w:t>600-2000</w:t>
            </w:r>
          </w:p>
          <w:p>
            <w:pPr>
              <w:pStyle w:val="105"/>
              <w:rPr>
                <w:sz w:val="24"/>
                <w:szCs w:val="24"/>
                <w:lang w:bidi="ar"/>
              </w:rPr>
            </w:pPr>
            <w:r>
              <w:rPr>
                <w:rFonts w:hint="eastAsia"/>
                <w:sz w:val="24"/>
                <w:szCs w:val="24"/>
                <w:lang w:bidi="ar"/>
              </w:rPr>
              <w:t>（用地面积）</w:t>
            </w:r>
          </w:p>
        </w:tc>
        <w:tc>
          <w:tcPr>
            <w:tcW w:w="4049" w:type="dxa"/>
            <w:vAlign w:val="center"/>
          </w:tcPr>
          <w:p>
            <w:pPr>
              <w:pStyle w:val="105"/>
              <w:rPr>
                <w:sz w:val="24"/>
                <w:szCs w:val="24"/>
              </w:rPr>
            </w:pPr>
            <w:r>
              <w:rPr>
                <w:rFonts w:hint="eastAsia"/>
                <w:sz w:val="24"/>
                <w:szCs w:val="24"/>
              </w:rPr>
              <w:t>可与绿地结合建设。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092" w:type="dxa"/>
            <w:vAlign w:val="center"/>
          </w:tcPr>
          <w:p>
            <w:pPr>
              <w:pStyle w:val="105"/>
              <w:rPr>
                <w:sz w:val="24"/>
                <w:szCs w:val="24"/>
                <w:lang w:bidi="ar"/>
              </w:rPr>
            </w:pPr>
            <w:r>
              <w:rPr>
                <w:rFonts w:hint="eastAsia"/>
                <w:sz w:val="24"/>
                <w:szCs w:val="24"/>
                <w:lang w:bidi="ar"/>
              </w:rPr>
              <w:t>医疗设施</w:t>
            </w:r>
          </w:p>
        </w:tc>
        <w:tc>
          <w:tcPr>
            <w:tcW w:w="1313" w:type="dxa"/>
            <w:vAlign w:val="center"/>
          </w:tcPr>
          <w:p>
            <w:pPr>
              <w:pStyle w:val="105"/>
              <w:rPr>
                <w:sz w:val="24"/>
                <w:szCs w:val="24"/>
                <w:lang w:bidi="ar"/>
              </w:rPr>
            </w:pPr>
            <w:r>
              <w:rPr>
                <w:rFonts w:hint="eastAsia"/>
                <w:sz w:val="24"/>
                <w:szCs w:val="24"/>
                <w:lang w:bidi="ar"/>
              </w:rPr>
              <w:t>村卫生室</w:t>
            </w:r>
          </w:p>
        </w:tc>
        <w:tc>
          <w:tcPr>
            <w:tcW w:w="1843" w:type="dxa"/>
            <w:vAlign w:val="center"/>
          </w:tcPr>
          <w:p>
            <w:pPr>
              <w:pStyle w:val="105"/>
              <w:rPr>
                <w:sz w:val="24"/>
                <w:szCs w:val="24"/>
                <w:lang w:bidi="ar"/>
              </w:rPr>
            </w:pPr>
            <w:r>
              <w:rPr>
                <w:rFonts w:hint="eastAsia"/>
                <w:sz w:val="24"/>
                <w:szCs w:val="24"/>
                <w:lang w:bidi="ar"/>
              </w:rPr>
              <w:t>50-100</w:t>
            </w:r>
          </w:p>
        </w:tc>
        <w:tc>
          <w:tcPr>
            <w:tcW w:w="4049" w:type="dxa"/>
            <w:vAlign w:val="center"/>
          </w:tcPr>
          <w:p>
            <w:pPr>
              <w:pStyle w:val="105"/>
              <w:rPr>
                <w:sz w:val="24"/>
                <w:szCs w:val="24"/>
              </w:rPr>
            </w:pPr>
            <w:r>
              <w:rPr>
                <w:rFonts w:hint="eastAsia"/>
                <w:sz w:val="24"/>
                <w:szCs w:val="24"/>
              </w:rPr>
              <w:t>原则上一个行政村设置一所村卫生室，人口较多或者居住分散的行政村可酌情增设;人口较少或面积较小的行政村，可与相邻行政村联合设置村卫生室。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092" w:type="dxa"/>
            <w:vAlign w:val="center"/>
          </w:tcPr>
          <w:p>
            <w:pPr>
              <w:pStyle w:val="105"/>
              <w:rPr>
                <w:sz w:val="24"/>
                <w:szCs w:val="24"/>
                <w:lang w:bidi="ar"/>
              </w:rPr>
            </w:pPr>
            <w:r>
              <w:rPr>
                <w:rFonts w:hint="eastAsia"/>
                <w:sz w:val="24"/>
                <w:szCs w:val="24"/>
                <w:lang w:bidi="ar"/>
              </w:rPr>
              <w:t>社会保障</w:t>
            </w:r>
          </w:p>
        </w:tc>
        <w:tc>
          <w:tcPr>
            <w:tcW w:w="1313" w:type="dxa"/>
            <w:vAlign w:val="center"/>
          </w:tcPr>
          <w:p>
            <w:pPr>
              <w:pStyle w:val="105"/>
              <w:rPr>
                <w:sz w:val="24"/>
                <w:szCs w:val="24"/>
                <w:lang w:bidi="ar"/>
              </w:rPr>
            </w:pPr>
            <w:r>
              <w:rPr>
                <w:rFonts w:hint="eastAsia"/>
                <w:sz w:val="24"/>
                <w:szCs w:val="24"/>
                <w:lang w:bidi="ar"/>
              </w:rPr>
              <w:t>日间照料中心</w:t>
            </w:r>
          </w:p>
        </w:tc>
        <w:tc>
          <w:tcPr>
            <w:tcW w:w="1843" w:type="dxa"/>
            <w:vAlign w:val="center"/>
          </w:tcPr>
          <w:p>
            <w:pPr>
              <w:pStyle w:val="105"/>
              <w:rPr>
                <w:sz w:val="24"/>
                <w:szCs w:val="24"/>
                <w:lang w:bidi="ar"/>
              </w:rPr>
            </w:pPr>
            <w:r>
              <w:rPr>
                <w:rFonts w:hint="eastAsia"/>
                <w:sz w:val="24"/>
                <w:szCs w:val="24"/>
                <w:lang w:bidi="ar"/>
              </w:rPr>
              <w:t>200-800</w:t>
            </w:r>
          </w:p>
        </w:tc>
        <w:tc>
          <w:tcPr>
            <w:tcW w:w="4049" w:type="dxa"/>
            <w:vAlign w:val="center"/>
          </w:tcPr>
          <w:p>
            <w:pPr>
              <w:pStyle w:val="105"/>
              <w:rPr>
                <w:sz w:val="24"/>
                <w:szCs w:val="24"/>
              </w:rPr>
            </w:pPr>
            <w:r>
              <w:rPr>
                <w:rFonts w:hint="eastAsia"/>
                <w:sz w:val="24"/>
                <w:szCs w:val="24"/>
              </w:rPr>
              <w:t>宜综合设置。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092" w:type="dxa"/>
            <w:vMerge w:val="restart"/>
            <w:vAlign w:val="center"/>
          </w:tcPr>
          <w:p>
            <w:pPr>
              <w:pStyle w:val="105"/>
              <w:rPr>
                <w:sz w:val="24"/>
                <w:szCs w:val="24"/>
                <w:lang w:bidi="ar"/>
              </w:rPr>
            </w:pPr>
            <w:r>
              <w:rPr>
                <w:rFonts w:hint="eastAsia"/>
                <w:sz w:val="24"/>
                <w:szCs w:val="24"/>
                <w:lang w:bidi="ar"/>
              </w:rPr>
              <w:t>商业服务</w:t>
            </w:r>
          </w:p>
        </w:tc>
        <w:tc>
          <w:tcPr>
            <w:tcW w:w="1313" w:type="dxa"/>
            <w:vAlign w:val="center"/>
          </w:tcPr>
          <w:p>
            <w:pPr>
              <w:pStyle w:val="105"/>
              <w:rPr>
                <w:sz w:val="24"/>
                <w:szCs w:val="24"/>
                <w:lang w:bidi="ar"/>
              </w:rPr>
            </w:pPr>
            <w:r>
              <w:rPr>
                <w:rFonts w:hint="eastAsia"/>
                <w:sz w:val="24"/>
                <w:szCs w:val="24"/>
                <w:lang w:bidi="ar"/>
              </w:rPr>
              <w:t>小卖部</w:t>
            </w:r>
          </w:p>
        </w:tc>
        <w:tc>
          <w:tcPr>
            <w:tcW w:w="1843" w:type="dxa"/>
            <w:vAlign w:val="center"/>
          </w:tcPr>
          <w:p>
            <w:pPr>
              <w:pStyle w:val="105"/>
              <w:rPr>
                <w:sz w:val="24"/>
                <w:szCs w:val="24"/>
                <w:lang w:bidi="ar"/>
              </w:rPr>
            </w:pPr>
            <w:r>
              <w:rPr>
                <w:rFonts w:hint="eastAsia"/>
                <w:sz w:val="24"/>
                <w:szCs w:val="24"/>
                <w:lang w:bidi="ar"/>
              </w:rPr>
              <w:t>300-1000</w:t>
            </w:r>
          </w:p>
        </w:tc>
        <w:tc>
          <w:tcPr>
            <w:tcW w:w="4049" w:type="dxa"/>
            <w:vAlign w:val="center"/>
          </w:tcPr>
          <w:p>
            <w:pPr>
              <w:pStyle w:val="105"/>
              <w:rPr>
                <w:sz w:val="24"/>
                <w:szCs w:val="24"/>
              </w:rPr>
            </w:pPr>
            <w:r>
              <w:rPr>
                <w:rFonts w:hint="eastAsia"/>
                <w:sz w:val="24"/>
                <w:szCs w:val="24"/>
              </w:rPr>
              <w:t>宜综合设置。各行政村设一处，村域面积较大或集中农村居民点较分散情况下可多点设置。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092" w:type="dxa"/>
            <w:vMerge w:val="continue"/>
            <w:vAlign w:val="center"/>
          </w:tcPr>
          <w:p>
            <w:pPr>
              <w:pStyle w:val="105"/>
              <w:rPr>
                <w:sz w:val="24"/>
                <w:szCs w:val="24"/>
                <w:lang w:bidi="ar"/>
              </w:rPr>
            </w:pPr>
          </w:p>
        </w:tc>
        <w:tc>
          <w:tcPr>
            <w:tcW w:w="1313" w:type="dxa"/>
            <w:vAlign w:val="center"/>
          </w:tcPr>
          <w:p>
            <w:pPr>
              <w:pStyle w:val="105"/>
              <w:rPr>
                <w:sz w:val="24"/>
                <w:szCs w:val="24"/>
                <w:lang w:bidi="ar"/>
              </w:rPr>
            </w:pPr>
            <w:r>
              <w:rPr>
                <w:rFonts w:hint="eastAsia"/>
                <w:sz w:val="24"/>
                <w:szCs w:val="24"/>
                <w:lang w:bidi="ar"/>
              </w:rPr>
              <w:t>小型超市</w:t>
            </w:r>
          </w:p>
        </w:tc>
        <w:tc>
          <w:tcPr>
            <w:tcW w:w="1843" w:type="dxa"/>
            <w:vAlign w:val="center"/>
          </w:tcPr>
          <w:p>
            <w:pPr>
              <w:pStyle w:val="105"/>
              <w:rPr>
                <w:sz w:val="24"/>
                <w:szCs w:val="24"/>
                <w:lang w:bidi="ar"/>
              </w:rPr>
            </w:pPr>
            <w:r>
              <w:rPr>
                <w:rFonts w:hint="eastAsia"/>
                <w:sz w:val="24"/>
                <w:szCs w:val="24"/>
                <w:lang w:bidi="ar"/>
              </w:rPr>
              <w:t>500-800</w:t>
            </w:r>
          </w:p>
        </w:tc>
        <w:tc>
          <w:tcPr>
            <w:tcW w:w="4049" w:type="dxa"/>
            <w:vAlign w:val="center"/>
          </w:tcPr>
          <w:p>
            <w:pPr>
              <w:pStyle w:val="105"/>
              <w:rPr>
                <w:sz w:val="24"/>
                <w:szCs w:val="24"/>
              </w:rPr>
            </w:pPr>
            <w:r>
              <w:rPr>
                <w:rFonts w:hint="eastAsia"/>
                <w:sz w:val="24"/>
                <w:szCs w:val="24"/>
              </w:rPr>
              <w:t>根据村庄规模设置。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092" w:type="dxa"/>
            <w:vMerge w:val="continue"/>
            <w:vAlign w:val="center"/>
          </w:tcPr>
          <w:p>
            <w:pPr>
              <w:pStyle w:val="105"/>
              <w:rPr>
                <w:sz w:val="24"/>
                <w:szCs w:val="24"/>
                <w:lang w:bidi="ar"/>
              </w:rPr>
            </w:pPr>
          </w:p>
        </w:tc>
        <w:tc>
          <w:tcPr>
            <w:tcW w:w="1313" w:type="dxa"/>
            <w:vAlign w:val="center"/>
          </w:tcPr>
          <w:p>
            <w:pPr>
              <w:pStyle w:val="105"/>
              <w:rPr>
                <w:sz w:val="24"/>
                <w:szCs w:val="24"/>
                <w:lang w:bidi="ar"/>
              </w:rPr>
            </w:pPr>
            <w:r>
              <w:rPr>
                <w:rFonts w:hint="eastAsia"/>
                <w:sz w:val="24"/>
                <w:szCs w:val="24"/>
                <w:lang w:bidi="ar"/>
              </w:rPr>
              <w:t>餐饮、特产店</w:t>
            </w:r>
          </w:p>
        </w:tc>
        <w:tc>
          <w:tcPr>
            <w:tcW w:w="1843" w:type="dxa"/>
            <w:vAlign w:val="center"/>
          </w:tcPr>
          <w:p>
            <w:pPr>
              <w:pStyle w:val="105"/>
              <w:rPr>
                <w:sz w:val="24"/>
                <w:szCs w:val="24"/>
                <w:lang w:bidi="ar"/>
              </w:rPr>
            </w:pPr>
            <w:r>
              <w:rPr>
                <w:rFonts w:hint="eastAsia"/>
                <w:sz w:val="24"/>
                <w:szCs w:val="24"/>
                <w:lang w:bidi="ar"/>
              </w:rPr>
              <w:t>——</w:t>
            </w:r>
          </w:p>
        </w:tc>
        <w:tc>
          <w:tcPr>
            <w:tcW w:w="4049" w:type="dxa"/>
            <w:vAlign w:val="center"/>
          </w:tcPr>
          <w:p>
            <w:pPr>
              <w:pStyle w:val="105"/>
              <w:rPr>
                <w:sz w:val="24"/>
                <w:szCs w:val="24"/>
              </w:rPr>
            </w:pPr>
            <w:r>
              <w:rPr>
                <w:rFonts w:hint="eastAsia"/>
                <w:sz w:val="24"/>
                <w:szCs w:val="24"/>
              </w:rPr>
              <w:t>根据需求设置。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092" w:type="dxa"/>
            <w:vMerge w:val="continue"/>
            <w:vAlign w:val="center"/>
          </w:tcPr>
          <w:p>
            <w:pPr>
              <w:pStyle w:val="105"/>
              <w:rPr>
                <w:sz w:val="24"/>
                <w:szCs w:val="24"/>
                <w:lang w:bidi="ar"/>
              </w:rPr>
            </w:pPr>
          </w:p>
        </w:tc>
        <w:tc>
          <w:tcPr>
            <w:tcW w:w="1313" w:type="dxa"/>
            <w:vAlign w:val="center"/>
          </w:tcPr>
          <w:p>
            <w:pPr>
              <w:pStyle w:val="105"/>
              <w:rPr>
                <w:sz w:val="24"/>
                <w:szCs w:val="24"/>
                <w:lang w:bidi="ar"/>
              </w:rPr>
            </w:pPr>
            <w:r>
              <w:rPr>
                <w:rFonts w:hint="eastAsia"/>
                <w:sz w:val="24"/>
                <w:szCs w:val="24"/>
                <w:lang w:bidi="ar"/>
              </w:rPr>
              <w:t>旅馆、招待所</w:t>
            </w:r>
          </w:p>
        </w:tc>
        <w:tc>
          <w:tcPr>
            <w:tcW w:w="1843" w:type="dxa"/>
            <w:vAlign w:val="center"/>
          </w:tcPr>
          <w:p>
            <w:pPr>
              <w:pStyle w:val="105"/>
              <w:rPr>
                <w:sz w:val="24"/>
                <w:szCs w:val="24"/>
                <w:lang w:bidi="ar"/>
              </w:rPr>
            </w:pPr>
            <w:r>
              <w:rPr>
                <w:rFonts w:hint="eastAsia"/>
                <w:sz w:val="24"/>
                <w:szCs w:val="24"/>
                <w:lang w:bidi="ar"/>
              </w:rPr>
              <w:t>——</w:t>
            </w:r>
          </w:p>
        </w:tc>
        <w:tc>
          <w:tcPr>
            <w:tcW w:w="4049" w:type="dxa"/>
            <w:vAlign w:val="center"/>
          </w:tcPr>
          <w:p>
            <w:pPr>
              <w:pStyle w:val="105"/>
              <w:rPr>
                <w:sz w:val="24"/>
                <w:szCs w:val="24"/>
              </w:rPr>
            </w:pPr>
            <w:r>
              <w:rPr>
                <w:rFonts w:hint="eastAsia"/>
                <w:sz w:val="24"/>
                <w:szCs w:val="24"/>
              </w:rPr>
              <w:t>根据需求设置</w:t>
            </w:r>
          </w:p>
        </w:tc>
      </w:tr>
    </w:tbl>
    <w:p>
      <w:r>
        <w:rPr>
          <w:rFonts w:hint="eastAsia"/>
        </w:rPr>
        <w:t>村庄公共服务建筑建设强度控制指标可参照下表执行。</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1660"/>
        <w:gridCol w:w="1660"/>
        <w:gridCol w:w="1658"/>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8297" w:type="dxa"/>
            <w:gridSpan w:val="5"/>
          </w:tcPr>
          <w:p>
            <w:pPr>
              <w:pStyle w:val="108"/>
              <w:rPr>
                <w:rFonts w:ascii="仿宋" w:hAnsi="仿宋" w:eastAsia="仿宋" w:cs="仿宋"/>
                <w:sz w:val="24"/>
                <w:szCs w:val="24"/>
              </w:rPr>
            </w:pPr>
            <w:r>
              <w:rPr>
                <w:rFonts w:hint="eastAsia"/>
                <w:szCs w:val="28"/>
                <w:lang w:bidi="ar"/>
              </w:rPr>
              <w:t>专栏1</w:t>
            </w:r>
            <w:r>
              <w:rPr>
                <w:szCs w:val="28"/>
                <w:lang w:bidi="ar"/>
              </w:rPr>
              <w:t>4-10</w:t>
            </w:r>
            <w:r>
              <w:rPr>
                <w:rFonts w:hint="eastAsia"/>
                <w:szCs w:val="28"/>
                <w:lang w:bidi="ar"/>
              </w:rPr>
              <w:t>：公共服务建筑建设控制指标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661" w:type="dxa"/>
            <w:vAlign w:val="center"/>
          </w:tcPr>
          <w:p>
            <w:pPr>
              <w:pStyle w:val="105"/>
              <w:rPr>
                <w:sz w:val="24"/>
                <w:szCs w:val="24"/>
                <w:lang w:bidi="ar"/>
              </w:rPr>
            </w:pPr>
            <w:r>
              <w:rPr>
                <w:rFonts w:hint="eastAsia"/>
                <w:sz w:val="24"/>
                <w:szCs w:val="24"/>
                <w:lang w:bidi="ar"/>
              </w:rPr>
              <w:t>容积率</w:t>
            </w:r>
          </w:p>
        </w:tc>
        <w:tc>
          <w:tcPr>
            <w:tcW w:w="1660" w:type="dxa"/>
            <w:vAlign w:val="center"/>
          </w:tcPr>
          <w:p>
            <w:pPr>
              <w:pStyle w:val="105"/>
              <w:rPr>
                <w:sz w:val="24"/>
                <w:szCs w:val="24"/>
                <w:lang w:bidi="ar"/>
              </w:rPr>
            </w:pPr>
            <w:r>
              <w:rPr>
                <w:rFonts w:hint="eastAsia"/>
                <w:sz w:val="24"/>
                <w:szCs w:val="24"/>
                <w:lang w:bidi="ar"/>
              </w:rPr>
              <w:t>建筑密度</w:t>
            </w:r>
          </w:p>
        </w:tc>
        <w:tc>
          <w:tcPr>
            <w:tcW w:w="1660" w:type="dxa"/>
            <w:vAlign w:val="center"/>
          </w:tcPr>
          <w:p>
            <w:pPr>
              <w:pStyle w:val="105"/>
              <w:rPr>
                <w:sz w:val="24"/>
                <w:szCs w:val="24"/>
                <w:lang w:bidi="ar"/>
              </w:rPr>
            </w:pPr>
            <w:r>
              <w:rPr>
                <w:rFonts w:hint="eastAsia"/>
                <w:sz w:val="24"/>
                <w:szCs w:val="24"/>
                <w:lang w:bidi="ar"/>
              </w:rPr>
              <w:t>绿化率</w:t>
            </w:r>
          </w:p>
        </w:tc>
        <w:tc>
          <w:tcPr>
            <w:tcW w:w="1658" w:type="dxa"/>
            <w:vAlign w:val="center"/>
          </w:tcPr>
          <w:p>
            <w:pPr>
              <w:pStyle w:val="105"/>
              <w:rPr>
                <w:sz w:val="24"/>
                <w:szCs w:val="24"/>
                <w:lang w:bidi="ar"/>
              </w:rPr>
            </w:pPr>
            <w:r>
              <w:rPr>
                <w:rFonts w:hint="eastAsia"/>
                <w:sz w:val="24"/>
                <w:szCs w:val="24"/>
                <w:lang w:bidi="ar"/>
              </w:rPr>
              <w:t>建筑高度</w:t>
            </w:r>
          </w:p>
        </w:tc>
        <w:tc>
          <w:tcPr>
            <w:tcW w:w="1658" w:type="dxa"/>
            <w:vAlign w:val="center"/>
          </w:tcPr>
          <w:p>
            <w:pPr>
              <w:pStyle w:val="105"/>
              <w:rPr>
                <w:sz w:val="24"/>
                <w:szCs w:val="24"/>
                <w:lang w:bidi="ar"/>
              </w:rPr>
            </w:pPr>
            <w:r>
              <w:rPr>
                <w:rFonts w:hint="eastAsia"/>
                <w:sz w:val="24"/>
                <w:szCs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661" w:type="dxa"/>
            <w:vAlign w:val="center"/>
          </w:tcPr>
          <w:p>
            <w:pPr>
              <w:pStyle w:val="105"/>
              <w:rPr>
                <w:sz w:val="24"/>
                <w:szCs w:val="24"/>
                <w:lang w:bidi="ar"/>
              </w:rPr>
            </w:pPr>
            <w:r>
              <w:rPr>
                <w:rFonts w:hint="eastAsia"/>
                <w:sz w:val="24"/>
                <w:szCs w:val="24"/>
                <w:lang w:bidi="ar"/>
              </w:rPr>
              <w:t>＜1.5</w:t>
            </w:r>
          </w:p>
        </w:tc>
        <w:tc>
          <w:tcPr>
            <w:tcW w:w="1660" w:type="dxa"/>
            <w:vAlign w:val="center"/>
          </w:tcPr>
          <w:p>
            <w:pPr>
              <w:pStyle w:val="105"/>
              <w:rPr>
                <w:sz w:val="24"/>
                <w:szCs w:val="24"/>
                <w:lang w:bidi="ar"/>
              </w:rPr>
            </w:pPr>
            <w:r>
              <w:rPr>
                <w:rFonts w:hint="eastAsia"/>
                <w:sz w:val="24"/>
                <w:szCs w:val="24"/>
                <w:lang w:bidi="ar"/>
              </w:rPr>
              <w:t>＜40%</w:t>
            </w:r>
          </w:p>
        </w:tc>
        <w:tc>
          <w:tcPr>
            <w:tcW w:w="1660" w:type="dxa"/>
            <w:vAlign w:val="center"/>
          </w:tcPr>
          <w:p>
            <w:pPr>
              <w:pStyle w:val="105"/>
              <w:rPr>
                <w:sz w:val="24"/>
                <w:szCs w:val="24"/>
                <w:lang w:bidi="ar"/>
              </w:rPr>
            </w:pPr>
            <w:r>
              <w:rPr>
                <w:rFonts w:hint="eastAsia"/>
                <w:sz w:val="24"/>
                <w:szCs w:val="24"/>
                <w:lang w:bidi="ar"/>
              </w:rPr>
              <w:t>＞30%</w:t>
            </w:r>
          </w:p>
        </w:tc>
        <w:tc>
          <w:tcPr>
            <w:tcW w:w="1658" w:type="dxa"/>
            <w:vAlign w:val="center"/>
          </w:tcPr>
          <w:p>
            <w:pPr>
              <w:pStyle w:val="105"/>
              <w:rPr>
                <w:sz w:val="24"/>
                <w:szCs w:val="24"/>
                <w:lang w:bidi="ar"/>
              </w:rPr>
            </w:pPr>
            <w:r>
              <w:rPr>
                <w:rFonts w:hint="eastAsia"/>
                <w:sz w:val="24"/>
                <w:szCs w:val="24"/>
                <w:lang w:bidi="ar"/>
              </w:rPr>
              <w:t>＜15米</w:t>
            </w:r>
          </w:p>
        </w:tc>
        <w:tc>
          <w:tcPr>
            <w:tcW w:w="1658" w:type="dxa"/>
            <w:vAlign w:val="center"/>
          </w:tcPr>
          <w:p>
            <w:pPr>
              <w:pStyle w:val="105"/>
              <w:rPr>
                <w:sz w:val="24"/>
                <w:szCs w:val="24"/>
                <w:lang w:bidi="ar"/>
              </w:rPr>
            </w:pPr>
            <w:r>
              <w:rPr>
                <w:rFonts w:hint="eastAsia"/>
                <w:sz w:val="24"/>
                <w:szCs w:val="24"/>
                <w:lang w:bidi="ar"/>
              </w:rPr>
              <w:t>一般不超过四层</w:t>
            </w:r>
          </w:p>
        </w:tc>
      </w:tr>
    </w:tbl>
    <w:p>
      <w:r>
        <w:rPr>
          <w:rFonts w:hint="eastAsia"/>
        </w:rPr>
        <w:t>公共服务建筑</w:t>
      </w:r>
      <w:r>
        <w:rPr>
          <w:rFonts w:hint="eastAsia"/>
          <w:kern w:val="0"/>
          <w:lang w:bidi="ar"/>
        </w:rPr>
        <w:t>间距、道路退让、边界退让须符合建筑防火消防安全和日照标准。</w:t>
      </w:r>
      <w:r>
        <w:rPr>
          <w:rFonts w:hint="eastAsia"/>
        </w:rPr>
        <w:t>公共服务建筑原址翻建、改造的，建筑面积不作限制，但须符合地块建设强度控制指标要求。</w:t>
      </w:r>
    </w:p>
    <w:p>
      <w:r>
        <w:rPr>
          <w:rFonts w:hint="eastAsia"/>
        </w:rPr>
        <w:t>鼓励利用村内空闲地、边角地，因地制宜，建设点式分散的小型绿地游园、活动</w:t>
      </w:r>
      <w:r>
        <w:t>广场</w:t>
      </w:r>
      <w:r>
        <w:rPr>
          <w:rFonts w:hint="eastAsia"/>
        </w:rPr>
        <w:t>、停车场等。游园、</w:t>
      </w:r>
      <w:r>
        <w:t>广场</w:t>
      </w:r>
      <w:r>
        <w:rPr>
          <w:rFonts w:hint="eastAsia"/>
        </w:rPr>
        <w:t>应</w:t>
      </w:r>
      <w:r>
        <w:t>当配备健身活动器材、儿童娱乐设施、休闲座椅等</w:t>
      </w:r>
      <w:r>
        <w:rPr>
          <w:rFonts w:hint="eastAsia"/>
        </w:rPr>
        <w:t>活动设施，</w:t>
      </w:r>
      <w:r>
        <w:t>提升村庄环境品质，增加村民休闲场所。</w:t>
      </w:r>
      <w:r>
        <w:rPr>
          <w:rFonts w:hint="eastAsia"/>
        </w:rPr>
        <w:t>村内游园、广场、停车场最大面积一般不超过2000平米；位于旅游景区或特色保护类游客较多的村庄，面积可适当增加。</w:t>
      </w:r>
    </w:p>
    <w:p>
      <w:r>
        <w:rPr>
          <w:rFonts w:hint="eastAsia"/>
        </w:rPr>
        <w:t>5.乡村产业管控</w:t>
      </w:r>
    </w:p>
    <w:p>
      <w:r>
        <w:rPr>
          <w:rFonts w:hint="eastAsia"/>
        </w:rPr>
        <w:t>乡村产业主要包括农业产业融合相关类项目和其他产业项目。</w:t>
      </w:r>
    </w:p>
    <w:p>
      <w:r>
        <w:rPr>
          <w:rFonts w:hint="eastAsia"/>
        </w:rPr>
        <w:t>农业产业融合相关类项目主要以农业农村资源为依托，拓展农业农村功能，延伸产业链条，涵盖农产品生产、加工、流通、就地消费等环节，用于农产品加工流通、农村休闲观光旅游、电子商务等混合融合的农村产业融合发展用地，土地用途可确定为工业用地、商业用地、物流仓储用地等。主要包括：农产品加工产业用地（包括农产品烘干、贮藏、保鲜、畜禽屠宰、冷链、净化、分捡、包装等产业）、生产性服务产业用地（包括农资配送、病虫害防治、农机作业服务、畜禽无害化处理与收集转运、畜禽粪污资源化利用、农产品流通、农产品仓储保鲜冷链物流设施、农业废弃物处理等产业）、生活性服务产业用地（包括乡村综合性服务网点、电商、快递、物流、商贸批发和零售等产业）、新产业新业态用地（包括“互联网+”现代农业、农产品电子商务、休闲农业和乡村旅游、民族风情旅游、红色文化与民俗文化、非遗传承、传统手工业、文化创意等新型业态用地；依托乡村资源优势，培育的农业特色小镇、地方特色产业用地）。</w:t>
      </w:r>
    </w:p>
    <w:p>
      <w:r>
        <w:rPr>
          <w:rFonts w:hint="eastAsia"/>
        </w:rPr>
        <w:t>农村产业融合相关类发展用地不得用于商品住宅、别墅、酒店、公寓等房地产开发，不得擅自改变用途或分割转让转租。</w:t>
      </w:r>
    </w:p>
    <w:p>
      <w:r>
        <w:rPr>
          <w:rFonts w:hint="eastAsia"/>
        </w:rPr>
        <w:t>农村产业融合类项目布局要求。项目规模较大、工业化程度高、分散布局配套设施成本高的产业项目要进产业园区。具有一定规模的农产品加工要向市区或有条件的乡镇城镇开发边界内集聚。直接服务种植养殖业的农产品加工、电子商务、仓储保鲜冷链、产地低温直销配送等产业，原则上应集中在行政村村庄建设边界内。利用农村本地资源开展农产品初加工、发展休闲观光旅游而必须的配套设施建设，可在不占用永久基本农田和生态保护红线、不突破国土空间规划建设用地指标等约束条件、不破坏生态环境和乡村风貌的前提下，在村庄建设边界外安排少量建设用地，实行比例和面积控制。符合环保政策的其他产业类项目，在不新建、扩建的条件下，可暂予以保留。集体经营性建设用地可以用于工业、商业、仓储、保障性租赁住房等经营性项目，不得用于房（地）产类开发、别墅类、私人会所等项目建设。</w:t>
      </w:r>
    </w:p>
    <w:p>
      <w:r>
        <w:rPr>
          <w:rFonts w:hint="eastAsia"/>
        </w:rPr>
        <w:t>本着节约集约用地的原则，乡村产业用地类项目建设强度一般符合以下规定。</w:t>
      </w:r>
    </w:p>
    <w:tbl>
      <w:tblPr>
        <w:tblStyle w:val="31"/>
        <w:tblW w:w="5000" w:type="pct"/>
        <w:tblInd w:w="0" w:type="dxa"/>
        <w:tblLayout w:type="autofit"/>
        <w:tblCellMar>
          <w:top w:w="0" w:type="dxa"/>
          <w:left w:w="108" w:type="dxa"/>
          <w:bottom w:w="0" w:type="dxa"/>
          <w:right w:w="108" w:type="dxa"/>
        </w:tblCellMar>
      </w:tblPr>
      <w:tblGrid>
        <w:gridCol w:w="1704"/>
        <w:gridCol w:w="1202"/>
        <w:gridCol w:w="2209"/>
        <w:gridCol w:w="2015"/>
        <w:gridCol w:w="1393"/>
      </w:tblGrid>
      <w:tr>
        <w:tblPrEx>
          <w:tblCellMar>
            <w:top w:w="0" w:type="dxa"/>
            <w:left w:w="108" w:type="dxa"/>
            <w:bottom w:w="0" w:type="dxa"/>
            <w:right w:w="108" w:type="dxa"/>
          </w:tblCellMar>
        </w:tblPrEx>
        <w:trPr>
          <w:trHeight w:val="37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pStyle w:val="108"/>
              <w:rPr>
                <w:rFonts w:ascii="仿宋_GB2312" w:hAnsi="仿宋_GB2312" w:cs="仿宋_GB2312"/>
              </w:rPr>
            </w:pPr>
            <w:r>
              <w:rPr>
                <w:rFonts w:hint="eastAsia" w:ascii="仿宋_GB2312" w:hAnsi="仿宋_GB2312" w:cs="仿宋_GB2312"/>
              </w:rPr>
              <w:t>专栏14-11：乡村产业用地建设控制指标</w:t>
            </w:r>
          </w:p>
        </w:tc>
      </w:tr>
      <w:tr>
        <w:tblPrEx>
          <w:tblCellMar>
            <w:top w:w="0" w:type="dxa"/>
            <w:left w:w="108" w:type="dxa"/>
            <w:bottom w:w="0" w:type="dxa"/>
            <w:right w:w="108" w:type="dxa"/>
          </w:tblCellMar>
        </w:tblPrEx>
        <w:trPr>
          <w:trHeight w:val="706" w:hRule="atLeast"/>
        </w:trPr>
        <w:tc>
          <w:tcPr>
            <w:tcW w:w="100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用地类型</w:t>
            </w:r>
          </w:p>
        </w:tc>
        <w:tc>
          <w:tcPr>
            <w:tcW w:w="705" w:type="pct"/>
            <w:tcBorders>
              <w:top w:val="single" w:color="auto" w:sz="4" w:space="0"/>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容积率</w:t>
            </w:r>
          </w:p>
        </w:tc>
        <w:tc>
          <w:tcPr>
            <w:tcW w:w="1296" w:type="pct"/>
            <w:tcBorders>
              <w:top w:val="single" w:color="auto" w:sz="4" w:space="0"/>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建筑密度（系数）</w:t>
            </w:r>
          </w:p>
        </w:tc>
        <w:tc>
          <w:tcPr>
            <w:tcW w:w="1182" w:type="pct"/>
            <w:tcBorders>
              <w:top w:val="single" w:color="auto" w:sz="4" w:space="0"/>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办公及配套设施用地所占比例</w:t>
            </w:r>
          </w:p>
        </w:tc>
        <w:tc>
          <w:tcPr>
            <w:tcW w:w="817" w:type="pct"/>
            <w:tcBorders>
              <w:top w:val="single" w:color="auto" w:sz="4" w:space="0"/>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建筑限高</w:t>
            </w:r>
          </w:p>
        </w:tc>
      </w:tr>
      <w:tr>
        <w:tblPrEx>
          <w:tblCellMar>
            <w:top w:w="0" w:type="dxa"/>
            <w:left w:w="108" w:type="dxa"/>
            <w:bottom w:w="0" w:type="dxa"/>
            <w:right w:w="108" w:type="dxa"/>
          </w:tblCellMar>
        </w:tblPrEx>
        <w:trPr>
          <w:trHeight w:val="288" w:hRule="atLeast"/>
        </w:trPr>
        <w:tc>
          <w:tcPr>
            <w:tcW w:w="1000" w:type="pct"/>
            <w:tcBorders>
              <w:top w:val="nil"/>
              <w:left w:val="single" w:color="auto" w:sz="4" w:space="0"/>
              <w:bottom w:val="single" w:color="auto" w:sz="4" w:space="0"/>
              <w:right w:val="single" w:color="auto" w:sz="4" w:space="0"/>
            </w:tcBorders>
            <w:shd w:val="clear" w:color="auto" w:fill="auto"/>
            <w:noWrap/>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工业</w:t>
            </w:r>
          </w:p>
        </w:tc>
        <w:tc>
          <w:tcPr>
            <w:tcW w:w="705"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＞1.0</w:t>
            </w:r>
          </w:p>
        </w:tc>
        <w:tc>
          <w:tcPr>
            <w:tcW w:w="1296"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＞40%</w:t>
            </w:r>
          </w:p>
        </w:tc>
        <w:tc>
          <w:tcPr>
            <w:tcW w:w="1182"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＜7%</w:t>
            </w:r>
          </w:p>
        </w:tc>
        <w:tc>
          <w:tcPr>
            <w:tcW w:w="817"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＜15</w:t>
            </w:r>
          </w:p>
        </w:tc>
      </w:tr>
      <w:tr>
        <w:tblPrEx>
          <w:tblCellMar>
            <w:top w:w="0" w:type="dxa"/>
            <w:left w:w="108" w:type="dxa"/>
            <w:bottom w:w="0" w:type="dxa"/>
            <w:right w:w="108" w:type="dxa"/>
          </w:tblCellMar>
        </w:tblPrEx>
        <w:trPr>
          <w:trHeight w:val="288" w:hRule="atLeast"/>
        </w:trPr>
        <w:tc>
          <w:tcPr>
            <w:tcW w:w="1000" w:type="pct"/>
            <w:tcBorders>
              <w:top w:val="nil"/>
              <w:left w:val="single" w:color="auto" w:sz="4" w:space="0"/>
              <w:bottom w:val="single" w:color="auto" w:sz="4" w:space="0"/>
              <w:right w:val="single" w:color="auto" w:sz="4" w:space="0"/>
            </w:tcBorders>
            <w:shd w:val="clear" w:color="auto" w:fill="auto"/>
            <w:noWrap/>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仓储</w:t>
            </w:r>
          </w:p>
        </w:tc>
        <w:tc>
          <w:tcPr>
            <w:tcW w:w="705"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＞1.0</w:t>
            </w:r>
          </w:p>
        </w:tc>
        <w:tc>
          <w:tcPr>
            <w:tcW w:w="1296"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＞40%</w:t>
            </w:r>
          </w:p>
        </w:tc>
        <w:tc>
          <w:tcPr>
            <w:tcW w:w="1182"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＜7%</w:t>
            </w:r>
          </w:p>
        </w:tc>
        <w:tc>
          <w:tcPr>
            <w:tcW w:w="817"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＜15</w:t>
            </w:r>
          </w:p>
        </w:tc>
      </w:tr>
      <w:tr>
        <w:tblPrEx>
          <w:tblCellMar>
            <w:top w:w="0" w:type="dxa"/>
            <w:left w:w="108" w:type="dxa"/>
            <w:bottom w:w="0" w:type="dxa"/>
            <w:right w:w="108" w:type="dxa"/>
          </w:tblCellMar>
        </w:tblPrEx>
        <w:trPr>
          <w:trHeight w:val="288" w:hRule="atLeast"/>
        </w:trPr>
        <w:tc>
          <w:tcPr>
            <w:tcW w:w="1000" w:type="pct"/>
            <w:tcBorders>
              <w:top w:val="nil"/>
              <w:left w:val="single" w:color="auto" w:sz="4" w:space="0"/>
              <w:bottom w:val="single" w:color="auto" w:sz="4" w:space="0"/>
              <w:right w:val="single" w:color="auto" w:sz="4" w:space="0"/>
            </w:tcBorders>
            <w:shd w:val="clear" w:color="auto" w:fill="auto"/>
            <w:noWrap/>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商业</w:t>
            </w:r>
          </w:p>
        </w:tc>
        <w:tc>
          <w:tcPr>
            <w:tcW w:w="705"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＜1.5</w:t>
            </w:r>
          </w:p>
        </w:tc>
        <w:tc>
          <w:tcPr>
            <w:tcW w:w="1296"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＜40%</w:t>
            </w:r>
          </w:p>
        </w:tc>
        <w:tc>
          <w:tcPr>
            <w:tcW w:w="1182"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＜20%</w:t>
            </w:r>
          </w:p>
        </w:tc>
        <w:tc>
          <w:tcPr>
            <w:tcW w:w="817"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＜15</w:t>
            </w:r>
          </w:p>
        </w:tc>
      </w:tr>
      <w:tr>
        <w:tblPrEx>
          <w:tblCellMar>
            <w:top w:w="0" w:type="dxa"/>
            <w:left w:w="108" w:type="dxa"/>
            <w:bottom w:w="0" w:type="dxa"/>
            <w:right w:w="108" w:type="dxa"/>
          </w:tblCellMar>
        </w:tblPrEx>
        <w:trPr>
          <w:trHeight w:val="288" w:hRule="atLeast"/>
        </w:trPr>
        <w:tc>
          <w:tcPr>
            <w:tcW w:w="1000" w:type="pct"/>
            <w:tcBorders>
              <w:top w:val="nil"/>
              <w:left w:val="single" w:color="auto" w:sz="4" w:space="0"/>
              <w:bottom w:val="single" w:color="auto" w:sz="4" w:space="0"/>
              <w:right w:val="single" w:color="auto" w:sz="4" w:space="0"/>
            </w:tcBorders>
            <w:shd w:val="clear" w:color="auto" w:fill="auto"/>
            <w:noWrap/>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其他</w:t>
            </w:r>
          </w:p>
        </w:tc>
        <w:tc>
          <w:tcPr>
            <w:tcW w:w="705"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＜1.5</w:t>
            </w:r>
          </w:p>
        </w:tc>
        <w:tc>
          <w:tcPr>
            <w:tcW w:w="1296"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＜35%</w:t>
            </w:r>
          </w:p>
        </w:tc>
        <w:tc>
          <w:tcPr>
            <w:tcW w:w="1182"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＞35%</w:t>
            </w:r>
          </w:p>
        </w:tc>
        <w:tc>
          <w:tcPr>
            <w:tcW w:w="817"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＜15</w:t>
            </w:r>
          </w:p>
        </w:tc>
      </w:tr>
    </w:tbl>
    <w:p>
      <w:r>
        <w:rPr>
          <w:rFonts w:hint="eastAsia"/>
        </w:rPr>
        <w:t>对于远离村庄居民点的产业类项目，在符合国家相关规定且不影响周边相邻方相关权益的情况下，建筑限高可适当提高，最高不超过24（不包括）米。畜牧养殖类产业须符合环保有关政策规定。</w:t>
      </w:r>
    </w:p>
    <w:p>
      <w:r>
        <w:rPr>
          <w:rFonts w:hint="eastAsia"/>
        </w:rPr>
        <w:t>产业类项目建筑间距、建筑退界须满消防规范规定，不影响周边相邻权益的日照采光要求。</w:t>
      </w:r>
    </w:p>
    <w:p>
      <w:r>
        <w:rPr>
          <w:rFonts w:hint="eastAsia"/>
        </w:rPr>
        <w:t>鼓励产业空间用地实行复合利用。他产业用地在符合环保、安全条件下，用地性质可兼容。</w:t>
      </w:r>
    </w:p>
    <w:p>
      <w:r>
        <w:rPr>
          <w:rFonts w:hint="eastAsia"/>
        </w:rPr>
        <w:t>镇国土空间规划或村庄规划中的“预留机动指标”，可用于保障暂时无法确定位置的村民居住、农村公共公益设施以及零星公散的农（矿）产品初加工、乡村文旅设施、农村新产业新业态等一二三产业融合发展用地需求。机动指标不得超过本镇预留机动指标。</w:t>
      </w:r>
    </w:p>
    <w:p>
      <w:r>
        <w:rPr>
          <w:rFonts w:hint="eastAsia"/>
        </w:rPr>
        <w:t>村庄规划确定的“留白”用地，经村民委会员讨论、镇乡村规划委员会审议通过，报自然资源和规划局同意后，可按程序报建相应项目。</w:t>
      </w:r>
    </w:p>
    <w:p>
      <w:r>
        <w:rPr>
          <w:rFonts w:hint="eastAsia"/>
        </w:rPr>
        <w:t>使用预留机动指标或留白用地的，除符合国土产业相关政策外，经市规划委员会审议。</w:t>
      </w:r>
    </w:p>
    <w:p>
      <w:r>
        <w:rPr>
          <w:rFonts w:hint="eastAsia"/>
        </w:rPr>
        <w:t>在产业类项目实施过程中，在不突破镇国土空间规划或村庄规划强制性指标情况下，为实现更好管控，可独立编制地块管控图则，报市规划委员会审议同意后实施。</w:t>
      </w:r>
    </w:p>
    <w:p>
      <w:r>
        <w:rPr>
          <w:rFonts w:hint="eastAsia"/>
        </w:rPr>
        <w:t>使用按程序使用“留白”或“预留机动指标”的，待用地手续批准后，更新国土空间“一张图”。</w:t>
      </w:r>
    </w:p>
    <w:p>
      <w:pPr>
        <w:pStyle w:val="4"/>
      </w:pPr>
      <w:r>
        <w:rPr>
          <w:rFonts w:hint="eastAsia"/>
        </w:rPr>
        <w:t>历史文化保护</w:t>
      </w:r>
    </w:p>
    <w:p>
      <w:r>
        <w:rPr>
          <w:rFonts w:hint="eastAsia"/>
        </w:rPr>
        <w:t>落实市、乡镇规划确定的历史文化保护控制线，加强</w:t>
      </w:r>
      <w:r>
        <w:rPr>
          <w:rFonts w:hint="eastAsia"/>
          <w:kern w:val="0"/>
          <w:lang w:bidi="ar"/>
        </w:rPr>
        <w:t>历史文化要素管控。</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4"/>
        <w:gridCol w:w="6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5000" w:type="pct"/>
            <w:gridSpan w:val="2"/>
            <w:vAlign w:val="center"/>
          </w:tcPr>
          <w:p>
            <w:pPr>
              <w:pStyle w:val="108"/>
              <w:rPr>
                <w:rFonts w:ascii="楷体_GB2312" w:hAnsi="楷体_GB2312" w:eastAsia="楷体_GB2312" w:cs="楷体_GB2312"/>
                <w:sz w:val="24"/>
                <w:szCs w:val="24"/>
                <w:lang w:val="zh-CN"/>
              </w:rPr>
            </w:pPr>
            <w:r>
              <w:rPr>
                <w:rFonts w:hint="eastAsia" w:ascii="楷体_GB2312" w:hAnsi="楷体_GB2312" w:eastAsia="楷体_GB2312" w:cs="楷体_GB2312"/>
                <w:szCs w:val="28"/>
                <w:lang w:val="zh-CN"/>
              </w:rPr>
              <w:t>专栏14-12：史文化要素管控要求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193" w:type="pct"/>
            <w:vAlign w:val="center"/>
          </w:tcPr>
          <w:p>
            <w:pPr>
              <w:pStyle w:val="105"/>
              <w:rPr>
                <w:rFonts w:ascii="楷体_GB2312" w:hAnsi="楷体_GB2312" w:eastAsia="楷体_GB2312" w:cs="楷体_GB2312"/>
                <w:sz w:val="24"/>
                <w:szCs w:val="24"/>
                <w:lang w:val="zh-CN"/>
              </w:rPr>
            </w:pPr>
            <w:r>
              <w:rPr>
                <w:rFonts w:hint="eastAsia" w:ascii="楷体_GB2312" w:hAnsi="楷体_GB2312" w:eastAsia="楷体_GB2312" w:cs="楷体_GB2312"/>
                <w:sz w:val="24"/>
                <w:szCs w:val="24"/>
                <w:lang w:val="zh-CN"/>
              </w:rPr>
              <w:t>历史文化要素</w:t>
            </w:r>
          </w:p>
        </w:tc>
        <w:tc>
          <w:tcPr>
            <w:tcW w:w="3807" w:type="pct"/>
            <w:vAlign w:val="center"/>
          </w:tcPr>
          <w:p>
            <w:pPr>
              <w:pStyle w:val="105"/>
              <w:rPr>
                <w:rFonts w:ascii="楷体_GB2312" w:hAnsi="楷体_GB2312" w:eastAsia="楷体_GB2312" w:cs="楷体_GB2312"/>
                <w:sz w:val="24"/>
                <w:szCs w:val="24"/>
                <w:lang w:val="zh-CN"/>
              </w:rPr>
            </w:pPr>
            <w:r>
              <w:rPr>
                <w:rFonts w:hint="eastAsia" w:ascii="楷体_GB2312" w:hAnsi="楷体_GB2312" w:eastAsia="楷体_GB2312" w:cs="楷体_GB2312"/>
                <w:sz w:val="24"/>
                <w:szCs w:val="24"/>
                <w:lang w:val="zh-CN"/>
              </w:rPr>
              <w:t>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193" w:type="pct"/>
            <w:vAlign w:val="center"/>
          </w:tcPr>
          <w:p>
            <w:pPr>
              <w:pStyle w:val="105"/>
              <w:rPr>
                <w:rFonts w:ascii="楷体_GB2312" w:hAnsi="楷体_GB2312" w:eastAsia="楷体_GB2312" w:cs="楷体_GB2312"/>
                <w:sz w:val="24"/>
                <w:szCs w:val="24"/>
                <w:lang w:val="zh-CN"/>
              </w:rPr>
            </w:pPr>
            <w:r>
              <w:rPr>
                <w:rFonts w:hint="eastAsia" w:ascii="楷体_GB2312" w:hAnsi="楷体_GB2312" w:eastAsia="楷体_GB2312" w:cs="楷体_GB2312"/>
                <w:sz w:val="24"/>
                <w:szCs w:val="24"/>
                <w:lang w:val="zh-CN"/>
              </w:rPr>
              <w:t>文物保护单位</w:t>
            </w:r>
          </w:p>
        </w:tc>
        <w:tc>
          <w:tcPr>
            <w:tcW w:w="3807" w:type="pct"/>
            <w:vAlign w:val="center"/>
          </w:tcPr>
          <w:p>
            <w:pPr>
              <w:pStyle w:val="105"/>
              <w:jc w:val="left"/>
              <w:rPr>
                <w:rFonts w:ascii="楷体_GB2312" w:hAnsi="楷体_GB2312" w:eastAsia="楷体_GB2312" w:cs="楷体_GB2312"/>
                <w:sz w:val="24"/>
                <w:szCs w:val="24"/>
                <w:lang w:val="zh-CN"/>
              </w:rPr>
            </w:pPr>
            <w:r>
              <w:rPr>
                <w:rFonts w:hint="eastAsia" w:ascii="楷体_GB2312" w:hAnsi="楷体_GB2312" w:eastAsia="楷体_GB2312" w:cs="楷体_GB2312"/>
                <w:sz w:val="24"/>
                <w:szCs w:val="24"/>
                <w:lang w:val="zh-CN"/>
              </w:rPr>
              <w:t>各级文物保护单位的保护范围和建设控制地带以及地下文物埋藏区的界线，以各级人民政府公布的保护范围、建设控制地带为准。应严格按照《文物法》相关规定和程序进行保护和修缮。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193" w:type="pct"/>
            <w:vAlign w:val="center"/>
          </w:tcPr>
          <w:p>
            <w:pPr>
              <w:pStyle w:val="105"/>
              <w:rPr>
                <w:rFonts w:ascii="楷体_GB2312" w:hAnsi="楷体_GB2312" w:eastAsia="楷体_GB2312" w:cs="楷体_GB2312"/>
                <w:sz w:val="24"/>
                <w:szCs w:val="24"/>
                <w:lang w:val="zh-CN"/>
              </w:rPr>
            </w:pPr>
            <w:r>
              <w:rPr>
                <w:rFonts w:hint="eastAsia" w:ascii="楷体_GB2312" w:hAnsi="楷体_GB2312" w:eastAsia="楷体_GB2312" w:cs="楷体_GB2312"/>
                <w:sz w:val="24"/>
                <w:szCs w:val="24"/>
                <w:lang w:val="zh-CN"/>
              </w:rPr>
              <w:t>历史建筑</w:t>
            </w:r>
          </w:p>
        </w:tc>
        <w:tc>
          <w:tcPr>
            <w:tcW w:w="3807" w:type="pct"/>
            <w:vAlign w:val="center"/>
          </w:tcPr>
          <w:p>
            <w:pPr>
              <w:pStyle w:val="105"/>
              <w:jc w:val="left"/>
              <w:rPr>
                <w:rFonts w:ascii="楷体_GB2312" w:hAnsi="楷体_GB2312" w:eastAsia="楷体_GB2312" w:cs="楷体_GB2312"/>
                <w:sz w:val="24"/>
                <w:szCs w:val="24"/>
                <w:lang w:val="zh-CN"/>
              </w:rPr>
            </w:pPr>
            <w:r>
              <w:rPr>
                <w:rFonts w:hint="eastAsia" w:ascii="楷体_GB2312" w:hAnsi="楷体_GB2312" w:eastAsia="楷体_GB2312" w:cs="楷体_GB2312"/>
                <w:sz w:val="24"/>
                <w:szCs w:val="24"/>
                <w:lang w:val="zh-CN"/>
              </w:rPr>
              <w:t>1）采取整体保护、严格保护的措施，确保整体风貌的完整性。</w:t>
            </w:r>
          </w:p>
          <w:p>
            <w:pPr>
              <w:pStyle w:val="105"/>
              <w:jc w:val="left"/>
              <w:rPr>
                <w:rFonts w:ascii="楷体_GB2312" w:hAnsi="楷体_GB2312" w:eastAsia="楷体_GB2312" w:cs="楷体_GB2312"/>
                <w:sz w:val="24"/>
                <w:szCs w:val="24"/>
                <w:lang w:val="zh-CN"/>
              </w:rPr>
            </w:pPr>
            <w:r>
              <w:rPr>
                <w:rFonts w:hint="eastAsia" w:ascii="楷体_GB2312" w:hAnsi="楷体_GB2312" w:eastAsia="楷体_GB2312" w:cs="楷体_GB2312"/>
                <w:sz w:val="24"/>
                <w:szCs w:val="24"/>
                <w:lang w:val="zh-CN"/>
              </w:rPr>
              <w:t>2）树立保护标志和其他保护设施，明确保护范围界线。</w:t>
            </w:r>
          </w:p>
          <w:p>
            <w:pPr>
              <w:pStyle w:val="105"/>
              <w:jc w:val="left"/>
              <w:rPr>
                <w:rFonts w:ascii="楷体_GB2312" w:hAnsi="楷体_GB2312" w:eastAsia="楷体_GB2312" w:cs="楷体_GB2312"/>
                <w:sz w:val="24"/>
                <w:szCs w:val="24"/>
                <w:lang w:val="zh-CN"/>
              </w:rPr>
            </w:pPr>
            <w:r>
              <w:rPr>
                <w:rFonts w:hint="eastAsia" w:ascii="楷体_GB2312" w:hAnsi="楷体_GB2312" w:eastAsia="楷体_GB2312" w:cs="楷体_GB2312"/>
                <w:sz w:val="24"/>
                <w:szCs w:val="24"/>
                <w:lang w:val="zh-CN"/>
              </w:rPr>
              <w:t>3）保护传统的街巷格局，保护街巷空间的比例、尺度和材质。</w:t>
            </w:r>
          </w:p>
          <w:p>
            <w:pPr>
              <w:pStyle w:val="105"/>
              <w:jc w:val="left"/>
              <w:rPr>
                <w:rFonts w:ascii="楷体_GB2312" w:hAnsi="楷体_GB2312" w:eastAsia="楷体_GB2312" w:cs="楷体_GB2312"/>
                <w:sz w:val="24"/>
                <w:szCs w:val="24"/>
                <w:lang w:val="zh-CN"/>
              </w:rPr>
            </w:pPr>
            <w:r>
              <w:rPr>
                <w:rFonts w:hint="eastAsia" w:ascii="楷体_GB2312" w:hAnsi="楷体_GB2312" w:eastAsia="楷体_GB2312" w:cs="楷体_GB2312"/>
                <w:sz w:val="24"/>
                <w:szCs w:val="24"/>
                <w:lang w:val="zh-CN"/>
              </w:rPr>
              <w:t>4）建筑处理应尊重历史，力求保持原貌，严格控制建筑形式、高度、体量、材料、色彩及比例、尺度。</w:t>
            </w:r>
          </w:p>
          <w:p>
            <w:pPr>
              <w:pStyle w:val="105"/>
              <w:jc w:val="left"/>
              <w:rPr>
                <w:rFonts w:ascii="楷体_GB2312" w:hAnsi="楷体_GB2312" w:eastAsia="楷体_GB2312" w:cs="楷体_GB2312"/>
                <w:sz w:val="24"/>
                <w:szCs w:val="24"/>
                <w:lang w:val="zh-CN"/>
              </w:rPr>
            </w:pPr>
            <w:r>
              <w:rPr>
                <w:rFonts w:hint="eastAsia" w:ascii="楷体_GB2312" w:hAnsi="楷体_GB2312" w:eastAsia="楷体_GB2312" w:cs="楷体_GB2312"/>
                <w:sz w:val="24"/>
                <w:szCs w:val="24"/>
                <w:lang w:val="zh-CN"/>
              </w:rPr>
              <w:t>5）传统建筑一般外部按历史风貌要求保护修缮，内部可进行既符合传统特点又适应现代生活需要的更新改造，改善使用条件。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193" w:type="pct"/>
            <w:vAlign w:val="center"/>
          </w:tcPr>
          <w:p>
            <w:pPr>
              <w:pStyle w:val="105"/>
              <w:rPr>
                <w:rFonts w:ascii="楷体_GB2312" w:hAnsi="楷体_GB2312" w:eastAsia="楷体_GB2312" w:cs="楷体_GB2312"/>
                <w:sz w:val="24"/>
                <w:szCs w:val="24"/>
                <w:lang w:val="zh-CN"/>
              </w:rPr>
            </w:pPr>
            <w:r>
              <w:rPr>
                <w:rFonts w:hint="eastAsia" w:ascii="楷体_GB2312" w:hAnsi="楷体_GB2312" w:eastAsia="楷体_GB2312" w:cs="楷体_GB2312"/>
                <w:sz w:val="24"/>
                <w:szCs w:val="24"/>
                <w:lang w:val="zh-CN"/>
              </w:rPr>
              <w:t>古井、古桥、古树</w:t>
            </w:r>
          </w:p>
        </w:tc>
        <w:tc>
          <w:tcPr>
            <w:tcW w:w="3807" w:type="pct"/>
            <w:vAlign w:val="center"/>
          </w:tcPr>
          <w:p>
            <w:pPr>
              <w:pStyle w:val="105"/>
              <w:jc w:val="left"/>
              <w:rPr>
                <w:rFonts w:ascii="楷体_GB2312" w:hAnsi="楷体_GB2312" w:eastAsia="楷体_GB2312" w:cs="楷体_GB2312"/>
                <w:sz w:val="24"/>
                <w:szCs w:val="24"/>
                <w:lang w:val="zh-CN"/>
              </w:rPr>
            </w:pPr>
            <w:r>
              <w:rPr>
                <w:rFonts w:hint="eastAsia" w:ascii="楷体_GB2312" w:hAnsi="楷体_GB2312" w:eastAsia="楷体_GB2312" w:cs="楷体_GB2312"/>
                <w:sz w:val="24"/>
                <w:szCs w:val="24"/>
                <w:lang w:val="zh-CN"/>
              </w:rPr>
              <w:t>对古井、古桥、古树等环境要素实行“挂牌”保护。</w:t>
            </w:r>
          </w:p>
        </w:tc>
      </w:tr>
    </w:tbl>
    <w:p>
      <w:r>
        <w:rPr>
          <w:rFonts w:hint="eastAsia"/>
        </w:rPr>
        <w:t>切实加强保护。保护范围内禁止新建其他无关建（构）筑物；不得损害历史文化街区、历史建筑、传统村落的原真性和完整性；不得破坏历史文化街区的历史肌理、历史街巷、空间尺度和景观环境 ,以及古井、古桥、古树等环境要素。</w:t>
      </w:r>
    </w:p>
    <w:p>
      <w:r>
        <w:rPr>
          <w:rFonts w:hint="eastAsia"/>
        </w:rPr>
        <w:t>全面修缮维护。采用“绣花”“织补”等微改造方式，充分利用修缮技艺传承人和传统工匠,结合建筑原有形制、结构、材料，运用传统工艺和现代技术，进行修缮加固，保护、延续传统建筑组群的传统格局特征和风貌特色，让不同时代的建筑完整保留城乡发展变迁的脉络，体现价值特色。</w:t>
      </w:r>
    </w:p>
    <w:p>
      <w:r>
        <w:rPr>
          <w:rFonts w:hint="eastAsia"/>
        </w:rPr>
        <w:t>合理开发利用。在风貌协调区，积极引进新业态，利用市场营销的手段，将新兴产业和传统商业引入历史文化街区和历史建筑中，把历史文化街区开发成为保存城乡记忆、延续历史文脉、滋养地域风格的重要载体和平台。坚持“留、改、拆”并举，以“保护、利用、提升”为主的原则,严防大拆大建、拆真建假。在保持历史建筑原有外观风貌、典型构件的基础上，改善内部空间品质，合理增设厨卫设施、适老化设施、消防安全设施等，通过加建、改建和添加设施等方式使之适应现代生产生活需要。保护开发传统村落,建设文化活动场地、老年活动场所、中小学社会实践教育基地、文创基地等公共服务设施，促进生态农业、乡村旅游发展，推动乡村振兴。系统梳理文物资源，深入挖掘其历史价值和旅游资源禀赋，将文物保护与乡村建设统筹结合。鼓励历史文化名城名镇博物馆建设，有条件的名村设立村史馆，通过专项陈列展览和各类教育活动，强化基本公共文化服务功能。</w:t>
      </w:r>
    </w:p>
    <w:p>
      <w:pPr>
        <w:pStyle w:val="4"/>
      </w:pPr>
      <w:r>
        <w:t>防灾减灾管控</w:t>
      </w:r>
    </w:p>
    <w:p>
      <w:r>
        <w:t>加强村庄消防设施建设。根据村庄规模、区域条件、经济发展状况等因素设置消防点。消防点应满足如下要求：</w:t>
      </w:r>
      <w:r>
        <w:rPr>
          <w:rFonts w:hint="eastAsia"/>
        </w:rPr>
        <w:t>有固定的地点和房屋建筑，并有明显标识。配备消防车、手抬机动泵、水枪、水带、灭火器、破拆工具等全部或部分消防设备。设置火警电话和消防值班人员。有专职、义务或志愿消防队员。</w:t>
      </w:r>
    </w:p>
    <w:p>
      <w:r>
        <w:t>村庄应配备消防水源、消防设备。消防水源可结合村庄实际环境条件，充分利用给水管网、水池、坑塘天然水源和消防水池等作为消防水源。充分利用满足一定灭火要求的农用车、洒水车、灌溉机动泵等农用设施作为消防装备的补充。</w:t>
      </w:r>
    </w:p>
    <w:p>
      <w:r>
        <w:t>各行政村应建立相应的消防安全组织，确定消防安全人员，制定防火安全制度，进行消防安全检查，开展消防安全教育，落实消防安全责任，配备必要的消防力量和消防器材装备。</w:t>
      </w:r>
    </w:p>
    <w:p>
      <w:r>
        <w:t>村庄范围内的建筑一般按照7度抗震烈度设防；供水供电等生命线工程按照8度抗震烈度设防，确保震时供水、供电、通讯、医务室等生命线工程设施的有效供给。</w:t>
      </w:r>
    </w:p>
    <w:p>
      <w:r>
        <w:t>村庄防洪及排涝标准按10年一遇设防。</w:t>
      </w:r>
    </w:p>
    <w:p>
      <w:r>
        <w:t>农村建设项目不得在地质灾害危险区、洪涝灾害频发区、河道管理范围内、地下采空区和地展断裂带等危险区域建设，应当避让蓄滞洪区等低洼地区。</w:t>
      </w:r>
    </w:p>
    <w:p>
      <w:pPr>
        <w:pStyle w:val="4"/>
      </w:pPr>
      <w:r>
        <w:t>环境综合整治管控</w:t>
      </w:r>
    </w:p>
    <w:p>
      <w:r>
        <w:t>加大村庄交通、供水、绿化、公共照明、医疗、垃圾处理、厕所、污水处理等基础设施和公共服务设施建设与整治，持续改善农村人居环境。</w:t>
      </w:r>
    </w:p>
    <w:p>
      <w:r>
        <w:t>围绕村庄道路、建筑风貌、村庄院落、坑塘水面、残垣断壁、环境卫生等重点，开展村庄环境综合整治，构建干净、整洁、有序的乡村空间，提升村庄整体品位。</w:t>
      </w:r>
    </w:p>
    <w:p>
      <w:r>
        <w:t>遵循村庄现有道路网格局，尊重原有道路肌理，避免大拆大建，对村庄道路进行改造、整治和提升。对破损的路面进行修整，对未硬化道路进行硬化，对未亮化的道路进行亮化，对空中凌乱线路进行整治整合提升，敷设各类管线，同步建设燃气、给、排水设施，营造良好的村庄交通环境，方便村民生活与出行。</w:t>
      </w:r>
    </w:p>
    <w:p>
      <w:r>
        <w:t>持续开展农村4G网络优化，加快推进农村5G网络建设，加强农村广电和移动基站建设与维护，提升农村网络覆盖质量，打造数字乡村、智慧乡村。</w:t>
      </w:r>
    </w:p>
    <w:p>
      <w:r>
        <w:t>重点清理侵街占道、私搭乱建等违章建筑和残垣断壁，街巷两侧禁止随意堆放物品，柴草、杂物、建筑材料等。有效利用村内空闲地、边角地等闲置建设用地，开展水旁、路旁、宅旁、村旁绿化，沿村庄主要道路种植乔木、灌木、地被等乡土植物，对重要节点进行整治绿化，建设小微游园、小微广场，提升村庄“颜值”。</w:t>
      </w:r>
    </w:p>
    <w:p>
      <w:r>
        <w:t>加大农村环卫设施建设，每村70-100米规划设置一个垃圾筒，集中设置一个垃圾收集点，建立一支专业环卫保洁队全，实现农村垃圾“村收、镇运、市处”。</w:t>
      </w:r>
    </w:p>
    <w:p>
      <w:r>
        <w:t>加快农村污水管网建设，因村制宜，整治废旧坑塘、河道、黑臭水体。推动生活污水治理、厕所粪污与绿色农业发展有机结合，提升农村治污水平。</w:t>
      </w:r>
    </w:p>
    <w:p>
      <w:r>
        <w:t>农村生活污水不得直接外排，宜经过化粪池或沼气池等污水处理设施处理达标后排放。</w:t>
      </w:r>
    </w:p>
    <w:p>
      <w:r>
        <w:t>围绕“去危房、整旧房、治违房、提风貌”的目的，重点开展房前屋后整治提升。对与村庄整体风貌不完全一致的建筑外观加以整修；对影响环境的危旧房和乱搭乱建的附房进行整治和拆除，消除安全隐患，提升村容村貌。</w:t>
      </w:r>
    </w:p>
    <w:p>
      <w:r>
        <w:rPr>
          <w:rFonts w:hint="eastAsia"/>
        </w:rPr>
        <w:t>（1）</w:t>
      </w:r>
      <w:r>
        <w:t>农业空间管控</w:t>
      </w:r>
    </w:p>
    <w:p>
      <w:pPr>
        <w:rPr>
          <w:lang w:bidi="ar"/>
        </w:rPr>
      </w:pPr>
      <w:r>
        <w:rPr>
          <w:rFonts w:hint="eastAsia"/>
          <w:lang w:bidi="ar"/>
        </w:rPr>
        <w:t>耕地和基本农田保护应严格遵守国家相关要求；耕地主要用于粮食和棉、油、糖、蔬菜等农产品及饲草饲料生产</w:t>
      </w:r>
      <w:r>
        <w:rPr>
          <w:lang w:bidi="ar"/>
        </w:rPr>
        <w:t>;在不破坏耕地耕作层且不造成耕地地类改变的前提下,可以适度种植其他农作物。</w:t>
      </w:r>
    </w:p>
    <w:p>
      <w:pPr>
        <w:rPr>
          <w:lang w:bidi="ar"/>
        </w:rPr>
      </w:pPr>
      <w:r>
        <w:rPr>
          <w:rFonts w:hint="eastAsia"/>
          <w:lang w:bidi="ar"/>
        </w:rPr>
        <w:t>设施农业建设尽量利用未利用地、低效闲置的土地以及工矿废弃地等土地，不占或少占耕地，避让永久基本农田。种植生产设施用地按照种植规模核定用地面积。作物生产的服务和直接关联设施用地，原则上不超过用地规模的</w:t>
      </w:r>
      <w:r>
        <w:rPr>
          <w:lang w:bidi="ar"/>
        </w:rPr>
        <w:t>10%，确因生产需要可适当增加，但不得超过15%，其中规模化粮食种植的直接关联设施用地，由当地自然资源主管部门会同农业农村主管部门根据农业生产需要合理确定。看护房应为单层，用地规模控制在22.5平方米以内。畜禽水产养殖生产设施用地按照养殖规模核定用地面积。畜禽养殖的直接关联用地原则上不超过用地规模的 20%，确因</w:t>
      </w:r>
      <w:r>
        <w:rPr>
          <w:rFonts w:hint="eastAsia"/>
          <w:lang w:bidi="ar"/>
        </w:rPr>
        <w:t>生产需要可适当增加，但不得超过</w:t>
      </w:r>
      <w:r>
        <w:rPr>
          <w:lang w:bidi="ar"/>
        </w:rPr>
        <w:t>50%；露天水产养殖池的直接关联用地原则上不超过用地规模的15%，确因生产需要可适当增加，但不得超过20%；工厂化水产养殖场的直接关联用地原则上不超过用地规模的20%，确因生产需要可适当增加，但不得超过25%。</w:t>
      </w:r>
    </w:p>
    <w:p>
      <w:pPr>
        <w:rPr>
          <w:lang w:bidi="ar"/>
        </w:rPr>
      </w:pPr>
      <w:r>
        <w:rPr>
          <w:rFonts w:hint="eastAsia"/>
          <w:lang w:bidi="ar"/>
        </w:rPr>
        <w:t>设施农业用地不再使用的，由经营者负责恢复原用途。设施农用地实行备案制。设施农业用地改为非农建设占用的，应依法办理建设用地审批手续。</w:t>
      </w:r>
    </w:p>
    <w:p>
      <w:r>
        <w:rPr>
          <w:rFonts w:hint="eastAsia"/>
        </w:rPr>
        <w:t>（2）</w:t>
      </w:r>
      <w:r>
        <w:t>生态空间管控</w:t>
      </w:r>
    </w:p>
    <w:p>
      <w:pPr>
        <w:rPr>
          <w:lang w:bidi="ar"/>
        </w:rPr>
      </w:pPr>
      <w:r>
        <w:rPr>
          <w:rFonts w:hint="eastAsia"/>
          <w:lang w:bidi="ar"/>
        </w:rPr>
        <w:t>水域、林地、草地等生态空间，原则上不允许进行开发性、生产性建设，已有的、不符合资源环境保护要求的建设项目，应限期搬迁。禁止任何单位和个人危害、破坏林地，不得擅自毁林开垦和毁林采矿、采石、采砂、取士、造墓、修筑工程设施及其他造成毁坏林地的行为。涉及建设占用林地等生态空间的，须办理林地等相关手续。鼓励利用宜林荒山、荒地、荒滩、废弃地造林</w:t>
      </w:r>
    </w:p>
    <w:p>
      <w:r>
        <w:rPr>
          <w:rFonts w:hint="eastAsia"/>
        </w:rPr>
        <w:t>（3）</w:t>
      </w:r>
      <w:r>
        <w:t>建设空间管控</w:t>
      </w:r>
    </w:p>
    <w:p>
      <w:pPr>
        <w:rPr>
          <w:lang w:bidi="ar"/>
        </w:rPr>
      </w:pPr>
      <w:r>
        <w:rPr>
          <w:rFonts w:hint="eastAsia"/>
          <w:lang w:bidi="ar"/>
        </w:rPr>
        <w:t>村庄建设项目应当位于村庄建设边界内，乡村范围内各类建筑退河道管护范围线不得小于</w:t>
      </w:r>
      <w:r>
        <w:rPr>
          <w:lang w:bidi="ar"/>
        </w:rPr>
        <w:t>5米，且应结合防洪、生态、水系及其他专项规划进行合理控制。</w:t>
      </w:r>
    </w:p>
    <w:p>
      <w:pPr>
        <w:rPr>
          <w:lang w:bidi="ar"/>
        </w:rPr>
      </w:pPr>
      <w:r>
        <w:rPr>
          <w:rFonts w:hint="eastAsia"/>
          <w:lang w:bidi="ar"/>
        </w:rPr>
        <w:t>村庄建设边界内建设用地优先保障村民自建住房用地，住宅用地不足的不得安排其他产业用地。</w:t>
      </w:r>
    </w:p>
    <w:p>
      <w:pPr>
        <w:rPr>
          <w:lang w:bidi="ar"/>
        </w:rPr>
      </w:pPr>
      <w:r>
        <w:rPr>
          <w:rFonts w:hint="eastAsia"/>
          <w:lang w:bidi="ar"/>
        </w:rPr>
        <w:t>村庄用地规划按住宅用地、村庄公共设施、公益事业、产业用地顺序保障。</w:t>
      </w:r>
    </w:p>
    <w:p>
      <w:pPr>
        <w:rPr>
          <w:lang w:bidi="ar"/>
        </w:rPr>
      </w:pPr>
      <w:r>
        <w:rPr>
          <w:rFonts w:hint="eastAsia"/>
          <w:lang w:bidi="ar"/>
        </w:rPr>
        <w:t>农村村民自建住房应满足“一户一宅”的要求，人均耕地</w:t>
      </w:r>
      <w:r>
        <w:rPr>
          <w:lang w:bidi="ar"/>
        </w:rPr>
        <w:t>667平方米以上的平原地区，每户宅基地面积不得超过167平方米，山区、丘陵地区每户宅基地面积不得超过200平方米。利用村内原宅基地改造、翻建的，应符合村规民约，与周边住宅建筑对齐，不得扩大用地规模。涉及妨碍村庄道路等公共空间的，须按村规民约退出。村民按照规划另选址建房的，无偿退回原有宅基地。</w:t>
      </w:r>
    </w:p>
    <w:p>
      <w:pPr>
        <w:rPr>
          <w:lang w:bidi="ar"/>
        </w:rPr>
      </w:pPr>
      <w:r>
        <w:rPr>
          <w:rFonts w:hint="eastAsia"/>
          <w:lang w:bidi="ar"/>
        </w:rPr>
        <w:t>农村村民自建住房建筑一般以两层为主，最高不超过三层，建筑限高</w:t>
      </w:r>
      <w:r>
        <w:rPr>
          <w:lang w:bidi="ar"/>
        </w:rPr>
        <w:t>12米。各村村民自建住房在不超建筑限高12米的前提下，可根据本村规民约、风土人情、地理环境特点等因素合理确定各村住宅层高及限高，并体现在本村村庄规划或村规民约中。对于机场、风景名胜区、文物保护区、传统村落保护区等特殊地段的村民自建住宅，建筑限高还须符合其他相关部门的专项规定。平原地区室内外高差不宜大于0.45米、院落和街巷高差不宜大于0.3米，山区、丘陵地区结合地形地貌和村民出行需求合理设置。农村村民自建住宅建筑面积一般不超300平米。农村村民自建</w:t>
      </w:r>
      <w:r>
        <w:rPr>
          <w:rFonts w:hint="eastAsia"/>
          <w:lang w:bidi="ar"/>
        </w:rPr>
        <w:t>住宅建筑临距应符合村规民约，不妨害相邻权、地役权，应保证相邻利益方房屋的正常采光和通行要求，并符合《农村防火规范（</w:t>
      </w:r>
      <w:r>
        <w:rPr>
          <w:lang w:bidi="ar"/>
        </w:rPr>
        <w:t>GB50039-2010）》规定。村民联排自建住房（并山）可不考虑山墙建筑间距。</w:t>
      </w:r>
    </w:p>
    <w:p>
      <w:pPr>
        <w:rPr>
          <w:lang w:bidi="ar"/>
        </w:rPr>
      </w:pPr>
      <w:r>
        <w:rPr>
          <w:rFonts w:hint="eastAsia"/>
          <w:lang w:bidi="ar"/>
        </w:rPr>
        <w:t>新建村民自建住房临路方向应与同侧相邻建筑外墙面边界齐平，保证沿路建筑的整齐美观。临路方向退缩距离如有村规民约的，按照村规民约约定退让距离执行。村规民约没有约定的，按照正向临路方向退缩不宜小于</w:t>
      </w:r>
      <w:r>
        <w:rPr>
          <w:lang w:bidi="ar"/>
        </w:rPr>
        <w:t>2米(以道路边线为基准)，侧向临路方向退缩不宜小于1米(以道路中边线为基准)规定执行。村民自建住房与其他公共建筑、企业、仓储等建筑间距离，须符合建筑防火规范。农村村民自建住房可按照住建部门组织编制的《河南省新郑市农村住房设计图集》建设或自行聘请设计单位进行。自行设计的，建筑风貌应与本村建筑风貌一致，符合村规民约，尊重本村</w:t>
      </w:r>
      <w:r>
        <w:rPr>
          <w:rFonts w:hint="eastAsia"/>
          <w:lang w:bidi="ar"/>
        </w:rPr>
        <w:t>居民居住习惯。村民自建低层经营性建筑或三层（含）以上住宅的，必须由有资质建筑设计单位进行设计，并按有关建筑规范要求施工。</w:t>
      </w:r>
    </w:p>
    <w:p>
      <w:pPr>
        <w:rPr>
          <w:lang w:bidi="ar"/>
        </w:rPr>
      </w:pPr>
      <w:r>
        <w:rPr>
          <w:rFonts w:hint="eastAsia"/>
          <w:lang w:bidi="ar"/>
        </w:rPr>
        <w:t>公共服务建筑间距、道路退让、边界退让须符合建筑防火消防安全和日照标准。公共服务建筑原址翻建、改造的，建筑面积不作限制，但须符合地块建设强度控制指标要求。鼓励利用村内空闲地、边角地，因地制宜，建设点式分散的小型绿地游园、活动广场、停车场等。游园、广场应当配备健身活动器材、儿童娱乐设施、休闲座椅等活动设施，提升村庄环境品质，增加村民休闲场所。村内游园、广场、停车场最大面积一般不超过</w:t>
      </w:r>
      <w:r>
        <w:rPr>
          <w:lang w:bidi="ar"/>
        </w:rPr>
        <w:t>2000平米；位于旅游景区或特色保护类游客较多的村庄，面积可适当增加。</w:t>
      </w:r>
    </w:p>
    <w:p>
      <w:pPr>
        <w:rPr>
          <w:lang w:bidi="ar"/>
        </w:rPr>
      </w:pPr>
      <w:r>
        <w:rPr>
          <w:rFonts w:hint="eastAsia"/>
          <w:lang w:bidi="ar"/>
        </w:rPr>
        <w:t>农村产业融合相关类发展用地不得用于商品住宅、别墅、酒店、公寓等房地产开发，不得擅自改变用途或分割转让转租。目规模较大、工业化程度高、分散布局配套设施成本高的产业项目要进产业园区。具有一定规模的农产品加工要向市区或有条件的乡镇城镇开发边界内集聚。直接服务种植养殖业的农产品加工、电子商务、仓储保鲜冷链、产地低温直销配送等产业，原则上应集中在行政村村庄建设边界内。利用农村本地资源开展农产品初加工、发展休闲观光旅游而必须的配套设施建设，可在不占用永久基本农田和生态保护红线、不突破国土空间规划建设用地指标等约束条件、不破坏生态环境和乡村风貌的前提下，在村庄建设边界外安排少量建设用地，实行比例和面积控制。符合环保政策的其他产业类项目，在不新建、扩建的条件下，可暂予以保留。集体经营性建设用地可以用于工业、商业、仓储、保障性租赁住房等经营性项目，不得用于房（地）产类开发、别墅类、私人会所等项目建设。</w:t>
      </w:r>
    </w:p>
    <w:p>
      <w:r>
        <w:rPr>
          <w:rFonts w:hint="eastAsia"/>
        </w:rPr>
        <w:t>（4）</w:t>
      </w:r>
      <w:r>
        <w:t>历史文化保护</w:t>
      </w:r>
    </w:p>
    <w:p>
      <w:pPr>
        <w:rPr>
          <w:lang w:bidi="ar"/>
        </w:rPr>
      </w:pPr>
      <w:r>
        <w:rPr>
          <w:rFonts w:hint="eastAsia"/>
          <w:lang w:bidi="ar"/>
        </w:rPr>
        <w:t>保护开发传统村落，建设文化活动场地、老年活动场所、中小学社会实践教育基地、文创基地等公共服务设施，促进生态农业、乡村旅游发展，推动乡村振兴。</w:t>
      </w:r>
    </w:p>
    <w:p>
      <w:pPr>
        <w:rPr>
          <w:lang w:bidi="ar"/>
        </w:rPr>
      </w:pPr>
      <w:r>
        <w:rPr>
          <w:rFonts w:hint="eastAsia"/>
          <w:lang w:bidi="ar"/>
        </w:rPr>
        <w:t>系统梳理文物资源，深入挖掘其历史价值和旅游资源禀赋，将文物保护与乡村建设统筹结合。鼓励历史文化名城名镇博物馆建设，有条件的名村设立村史馆，通过专项陈列展览和各类教育活动，强化基本公共文化服务功能。</w:t>
      </w:r>
    </w:p>
    <w:p>
      <w:r>
        <w:rPr>
          <w:rFonts w:hint="eastAsia"/>
        </w:rPr>
        <w:t>（5）</w:t>
      </w:r>
      <w:r>
        <w:t>防灾减灾管控</w:t>
      </w:r>
    </w:p>
    <w:p>
      <w:pPr>
        <w:rPr>
          <w:lang w:bidi="ar"/>
        </w:rPr>
      </w:pPr>
      <w:r>
        <w:rPr>
          <w:rFonts w:hint="eastAsia"/>
          <w:lang w:bidi="ar"/>
        </w:rPr>
        <w:t>加强村庄消防设施建设。根据村庄规模、区域条件、经济发展状况等因素设置消防点。消防点应满足有固定的地点和房屋建筑，并有明显标识。配备消防车、手抬机动泵、水枪、水带、灭火器、破拆工具等全部或部分消防设备。设置火警电话和消防值班人员。有专职、义务或志愿消防队员。</w:t>
      </w:r>
    </w:p>
    <w:p>
      <w:pPr>
        <w:rPr>
          <w:lang w:bidi="ar"/>
        </w:rPr>
      </w:pPr>
      <w:r>
        <w:rPr>
          <w:rFonts w:hint="eastAsia"/>
          <w:lang w:bidi="ar"/>
        </w:rPr>
        <w:t>村庄应配备消防水源、消防设备。消防水源可结合村庄实际环境条件，充分利用给水管网、水池、坑塘天然水源和消防水池等作为消防水源。充分利用满足一定灭火要求的农用车、洒水车、灌溉机动泵等农用设施作为消防装备的补充。</w:t>
      </w:r>
    </w:p>
    <w:p>
      <w:pPr>
        <w:rPr>
          <w:lang w:bidi="ar"/>
        </w:rPr>
      </w:pPr>
      <w:r>
        <w:rPr>
          <w:rFonts w:hint="eastAsia"/>
          <w:lang w:bidi="ar"/>
        </w:rPr>
        <w:t>各行政村应建立相应的消防安全组织，确定消防安全人员，制定防火安全制度，进行消防安全检查，开展消防安全教育，落实消防安全责任，配备必要的消防力量和消防器材装备。</w:t>
      </w:r>
    </w:p>
    <w:p>
      <w:pPr>
        <w:rPr>
          <w:lang w:bidi="ar"/>
        </w:rPr>
      </w:pPr>
      <w:r>
        <w:rPr>
          <w:rFonts w:hint="eastAsia"/>
          <w:lang w:bidi="ar"/>
        </w:rPr>
        <w:t>村庄范围内的建筑一般按照</w:t>
      </w:r>
      <w:r>
        <w:rPr>
          <w:lang w:bidi="ar"/>
        </w:rPr>
        <w:t>7度抗震烈度设防；供水供电等生命线工程按照8度抗震烈度设防，确保震时供水、供电、通讯、医务室等生命线工程设施的有效供给。</w:t>
      </w:r>
    </w:p>
    <w:p>
      <w:pPr>
        <w:rPr>
          <w:lang w:bidi="ar"/>
        </w:rPr>
      </w:pPr>
      <w:r>
        <w:rPr>
          <w:rFonts w:hint="eastAsia"/>
          <w:lang w:bidi="ar"/>
        </w:rPr>
        <w:t>村庄防洪及排涝标准按</w:t>
      </w:r>
      <w:r>
        <w:rPr>
          <w:lang w:bidi="ar"/>
        </w:rPr>
        <w:t>10年一遇设防。</w:t>
      </w:r>
    </w:p>
    <w:p>
      <w:pPr>
        <w:rPr>
          <w:lang w:bidi="ar"/>
        </w:rPr>
      </w:pPr>
      <w:r>
        <w:rPr>
          <w:rFonts w:hint="eastAsia"/>
          <w:lang w:bidi="ar"/>
        </w:rPr>
        <w:t>农村建设项目不得在地质灾害危险区、洪涝灾害频发区、河道管理范围内、地下采空区和地展断裂带等危险区域建设，应当避让蓄滞洪区等低洼地区。</w:t>
      </w:r>
    </w:p>
    <w:p>
      <w:r>
        <w:rPr>
          <w:rFonts w:hint="eastAsia"/>
        </w:rPr>
        <w:t>（6）</w:t>
      </w:r>
      <w:r>
        <w:t>环境综合整治管控</w:t>
      </w:r>
    </w:p>
    <w:p>
      <w:pPr>
        <w:rPr>
          <w:lang w:bidi="ar"/>
        </w:rPr>
      </w:pPr>
      <w:r>
        <w:rPr>
          <w:rFonts w:hint="eastAsia"/>
          <w:lang w:bidi="ar"/>
        </w:rPr>
        <w:t>加大村庄交通、供水、绿化、公共照明、医疗、垃圾处理、厕所、污水处理等基础设施和公共服务设施建设与整治，持续改善农村人居环境。</w:t>
      </w:r>
    </w:p>
    <w:p>
      <w:pPr>
        <w:rPr>
          <w:lang w:bidi="ar"/>
        </w:rPr>
      </w:pPr>
      <w:r>
        <w:rPr>
          <w:rFonts w:hint="eastAsia"/>
          <w:lang w:bidi="ar"/>
        </w:rPr>
        <w:t>围绕村庄道路、建筑风貌、村庄院落、坑塘水面、残垣断壁、环境卫生等重点，开展村庄环境综合整治，构建干净、整洁、有序的乡村空间，提升村庄整体品位。</w:t>
      </w:r>
    </w:p>
    <w:p>
      <w:pPr>
        <w:rPr>
          <w:lang w:bidi="ar"/>
        </w:rPr>
      </w:pPr>
      <w:r>
        <w:rPr>
          <w:rFonts w:hint="eastAsia"/>
          <w:lang w:bidi="ar"/>
        </w:rPr>
        <w:t>遵循村庄现有道路网格局，尊重原有道路肌理，避免大拆大建，对村庄道路进行改造、整治和提升。对破损的路面进行修整，对未硬化道路进行硬化，对未亮化的道路进行亮化，对空中凌乱线路进行整治整合提升，敷设各类管线，同步建设燃气、给、排水设施，营造良好的村庄交通环境，方便村民生活与出行。</w:t>
      </w:r>
    </w:p>
    <w:p>
      <w:pPr>
        <w:rPr>
          <w:lang w:bidi="ar"/>
        </w:rPr>
      </w:pPr>
      <w:r>
        <w:rPr>
          <w:rFonts w:hint="eastAsia"/>
          <w:lang w:bidi="ar"/>
        </w:rPr>
        <w:t>持续开展农村</w:t>
      </w:r>
      <w:r>
        <w:rPr>
          <w:lang w:bidi="ar"/>
        </w:rPr>
        <w:t>4G网络优化，加快推进农村5G网络建设，加强农村广电和移动基站建设与维护，提升农村网络覆盖质量，打造数字乡村、智慧乡村。</w:t>
      </w:r>
    </w:p>
    <w:p>
      <w:pPr>
        <w:rPr>
          <w:lang w:bidi="ar"/>
        </w:rPr>
      </w:pPr>
      <w:r>
        <w:rPr>
          <w:rFonts w:hint="eastAsia"/>
          <w:lang w:bidi="ar"/>
        </w:rPr>
        <w:t>重点清理侵街占道、私搭乱建等违章建筑和残垣断壁，街巷两侧禁止随意堆放物品，柴草、杂物、建筑材料等。有效利用村内空闲地、边角地等闲置建设用地，开展水旁、路旁、宅旁、村旁绿化，沿村庄主要道路种植乔木、灌木、地被等乡土植物，对重要节点进行整治绿化，建设小微游园、小微广场，提升村庄“颜值”。</w:t>
      </w:r>
    </w:p>
    <w:p>
      <w:pPr>
        <w:rPr>
          <w:lang w:bidi="ar"/>
        </w:rPr>
      </w:pPr>
      <w:r>
        <w:rPr>
          <w:rFonts w:hint="eastAsia"/>
          <w:lang w:bidi="ar"/>
        </w:rPr>
        <w:t>加大农村环卫设施建设，每村</w:t>
      </w:r>
      <w:r>
        <w:rPr>
          <w:lang w:bidi="ar"/>
        </w:rPr>
        <w:t>70-100米规划设置一个垃圾筒，集中设置一个垃圾收集点，建立一支专业环卫保洁队全，实现农村垃圾“村收、镇运、市处”。</w:t>
      </w:r>
    </w:p>
    <w:p>
      <w:pPr>
        <w:rPr>
          <w:lang w:bidi="ar"/>
        </w:rPr>
      </w:pPr>
      <w:r>
        <w:rPr>
          <w:rFonts w:hint="eastAsia"/>
          <w:lang w:bidi="ar"/>
        </w:rPr>
        <w:t>加快农村污水管网建设，因村制宜，整治废旧坑塘、河道、黑臭水体。推动生活污水治理、厕所粪污与绿色农业发展有机结合，提升农村治污水平。</w:t>
      </w:r>
    </w:p>
    <w:p>
      <w:pPr>
        <w:rPr>
          <w:lang w:bidi="ar"/>
        </w:rPr>
      </w:pPr>
      <w:r>
        <w:rPr>
          <w:rFonts w:hint="eastAsia"/>
          <w:lang w:bidi="ar"/>
        </w:rPr>
        <w:t>农村生活污水不得直接外排，宜经过化粪池或沼气池等污水处理设施处理达标后排放。</w:t>
      </w:r>
    </w:p>
    <w:p>
      <w:pPr>
        <w:rPr>
          <w:lang w:bidi="ar"/>
        </w:rPr>
      </w:pPr>
      <w:r>
        <w:rPr>
          <w:rFonts w:hint="eastAsia"/>
          <w:lang w:bidi="ar"/>
        </w:rPr>
        <w:t>围绕“去危房、整旧房、治违房、提风貌”的目的，重点开展房前屋后整治提升。对与村庄整体风貌不完全一致的建筑外观加以整修；对影响环境的危旧房和乱搭乱建的附房进行整治和拆除，消除安全隐患，提升村容村貌。</w:t>
      </w:r>
    </w:p>
    <w:p>
      <w:bookmarkStart w:id="129" w:name="_Toc6806"/>
      <w:r>
        <w:rPr>
          <w:rFonts w:hint="eastAsia"/>
        </w:rPr>
        <w:br w:type="page"/>
      </w:r>
    </w:p>
    <w:p>
      <w:pPr>
        <w:pStyle w:val="2"/>
      </w:pPr>
      <w:bookmarkStart w:id="130" w:name="_Toc6841"/>
      <w:r>
        <w:rPr>
          <w:rFonts w:hint="eastAsia"/>
        </w:rPr>
        <w:t>规划实施</w:t>
      </w:r>
      <w:bookmarkEnd w:id="130"/>
    </w:p>
    <w:p>
      <w:pPr>
        <w:pStyle w:val="3"/>
        <w:rPr>
          <w:rFonts w:ascii="Times New Roman" w:hAnsi="Times New Roman"/>
        </w:rPr>
      </w:pPr>
      <w:r>
        <w:rPr>
          <w:rFonts w:ascii="Times New Roman" w:hAnsi="Times New Roman"/>
        </w:rPr>
        <w:t>近期行动计划制定</w:t>
      </w:r>
      <w:bookmarkEnd w:id="129"/>
    </w:p>
    <w:p>
      <w:pPr>
        <w:pStyle w:val="4"/>
        <w:rPr>
          <w:rFonts w:ascii="Times New Roman" w:hAnsi="Times New Roman"/>
        </w:rPr>
      </w:pPr>
      <w:bookmarkStart w:id="131" w:name="_Hlk142927673"/>
      <w:bookmarkStart w:id="132" w:name="_Toc122362506"/>
      <w:bookmarkStart w:id="133" w:name="_Toc126054148"/>
      <w:bookmarkStart w:id="134" w:name="_Toc122364916"/>
      <w:r>
        <w:rPr>
          <w:rFonts w:ascii="Times New Roman" w:hAnsi="Times New Roman"/>
        </w:rPr>
        <w:t>近期实施重点任务</w:t>
      </w:r>
    </w:p>
    <w:bookmarkEnd w:id="131"/>
    <w:p>
      <w:r>
        <w:rPr>
          <w:rFonts w:hint="eastAsia"/>
        </w:rPr>
        <w:t>衔接内乡县国土空间规划，落实内乡县国土空间规划近期实施要求，按照赤眉镇社会发展“十四五"要求，对近期的国土开发、保护、修复、整治项目进行安排。近期实施的项目分为交通、水利、产业、民生类，共计4大类36小项。</w:t>
      </w:r>
    </w:p>
    <w:p>
      <w:pPr>
        <w:pStyle w:val="4"/>
        <w:rPr>
          <w:rFonts w:ascii="Times New Roman" w:hAnsi="Times New Roman"/>
        </w:rPr>
      </w:pPr>
      <w:bookmarkStart w:id="135" w:name="_Hlk142927680"/>
      <w:r>
        <w:rPr>
          <w:rFonts w:ascii="Times New Roman" w:hAnsi="Times New Roman"/>
        </w:rPr>
        <w:t>近期行动计划</w:t>
      </w:r>
      <w:bookmarkEnd w:id="132"/>
      <w:bookmarkEnd w:id="133"/>
      <w:bookmarkEnd w:id="134"/>
    </w:p>
    <w:bookmarkEnd w:id="135"/>
    <w:p>
      <w:pPr>
        <w:numPr>
          <w:ilvl w:val="3"/>
          <w:numId w:val="3"/>
        </w:numPr>
        <w:ind w:left="0" w:firstLine="640"/>
      </w:pPr>
      <w:bookmarkStart w:id="136" w:name="_Hlk167092865"/>
      <w:r>
        <w:t>交通类项目</w:t>
      </w:r>
    </w:p>
    <w:p>
      <w:r>
        <w:t>近期重点推进</w:t>
      </w:r>
      <w:r>
        <w:rPr>
          <w:rFonts w:hint="eastAsia"/>
        </w:rPr>
        <w:t>2022年第二批危桥改造建设项目、2023年巩固脱贫攻坚成果通村公路建设项目、S329镇平内乡界至赤眉段公路改建工程、内乡县2022年农村公路危桥改造项目、内乡县Y005线赤眉鱼贯口至夹道公路改建项目、内乡县赤眉镇国储林道路建设项目、内乡县庙山至赤眉农村公路改建项目、内乡县农村公路提档提质工程、内乡县新能源电动汽车公共充电智能服务网络基础设施建设项目、内乡县杨店S249线至东北川至庙沟农村公路改建项目、内乡县樱桃山旅游公路改建项目、内乡县余关子育至赤眉福山农村公路改建项目、嵩县至内乡高速公路、嵩县至内乡高速公路南阳段、西峡阳城至鱼贯口农村公路改建项目</w:t>
      </w:r>
      <w:r>
        <w:t>等15个交通类项目。</w:t>
      </w:r>
    </w:p>
    <w:p>
      <w:r>
        <w:rPr>
          <w:rFonts w:hint="eastAsia"/>
        </w:rPr>
        <w:t>2</w:t>
      </w:r>
      <w:r>
        <w:t>.</w:t>
      </w:r>
      <w:r>
        <w:rPr>
          <w:rFonts w:hint="eastAsia"/>
        </w:rPr>
        <w:t>水利类</w:t>
      </w:r>
    </w:p>
    <w:p>
      <w:r>
        <w:t>近期重点推进</w:t>
      </w:r>
      <w:r>
        <w:rPr>
          <w:rFonts w:hint="eastAsia"/>
        </w:rPr>
        <w:t>河南省内乡县老龙潭灌区烟草水源工程、内乡县丹水河柴赵岗至薄营村段河道治理工程、内乡县规模化供水工程（北部片区）、内乡县老龙潭灌区续建配套及节水改造项目、内乡县水系连通工程、南阳市内乡县湍河水环境综合治理项目、青山水库等7个水利类项目。</w:t>
      </w:r>
    </w:p>
    <w:p>
      <w:r>
        <w:rPr>
          <w:rFonts w:hint="eastAsia"/>
        </w:rPr>
        <w:t>3</w:t>
      </w:r>
      <w:r>
        <w:t>.</w:t>
      </w:r>
      <w:r>
        <w:rPr>
          <w:rFonts w:hint="eastAsia"/>
        </w:rPr>
        <w:t>民生类</w:t>
      </w:r>
    </w:p>
    <w:p>
      <w:r>
        <w:t>近期重点推进</w:t>
      </w:r>
      <w:r>
        <w:rPr>
          <w:rFonts w:hint="eastAsia"/>
        </w:rPr>
        <w:t>内乡县高中段扩容改建提档升级项目、内乡县六个乡（镇）污水处理厂及配套管网建设项目等</w:t>
      </w:r>
      <w:r>
        <w:t>2</w:t>
      </w:r>
      <w:r>
        <w:rPr>
          <w:rFonts w:hint="eastAsia"/>
        </w:rPr>
        <w:t>个民生类项目</w:t>
      </w:r>
    </w:p>
    <w:p>
      <w:r>
        <w:rPr>
          <w:rFonts w:hint="eastAsia"/>
        </w:rPr>
        <w:t>4</w:t>
      </w:r>
      <w:r>
        <w:t>.产业类项目</w:t>
      </w:r>
    </w:p>
    <w:p>
      <w:r>
        <w:t>近期重点推进</w:t>
      </w:r>
      <w:r>
        <w:rPr>
          <w:rFonts w:hint="eastAsia"/>
        </w:rPr>
        <w:t>50万吨非金属矿物制品制造加工项目、赤眉镇农产品及林果现代化交易市场、赤眉镇有机蔬菜基地建设项目、内乡县燕山边林果开发有限公司赤眉镇林果深加工建设项目、年产8100吨农牧塑料再生资源综合利用开发项目、亿鑫再生资源项目、赤眉村文旅中心、农产品初加工厂、农产品分拣仓储中心、农产品仓储中心、张堂村文旅中心、琴溪湖康养项目等</w:t>
      </w:r>
      <w:r>
        <w:t>12</w:t>
      </w:r>
      <w:r>
        <w:rPr>
          <w:rFonts w:hint="eastAsia"/>
        </w:rPr>
        <w:t>个产业类项目</w:t>
      </w:r>
      <w:r>
        <w:t>。</w:t>
      </w:r>
    </w:p>
    <w:bookmarkEnd w:id="136"/>
    <w:p>
      <w:pPr>
        <w:pStyle w:val="3"/>
        <w:rPr>
          <w:rFonts w:ascii="Times New Roman" w:hAnsi="Times New Roman"/>
        </w:rPr>
      </w:pPr>
      <w:bookmarkStart w:id="137" w:name="_Toc22213"/>
      <w:r>
        <w:rPr>
          <w:rFonts w:ascii="Times New Roman" w:hAnsi="Times New Roman"/>
        </w:rPr>
        <w:t>规划全周期实施监督管理</w:t>
      </w:r>
      <w:bookmarkEnd w:id="137"/>
    </w:p>
    <w:p>
      <w:pPr>
        <w:pStyle w:val="4"/>
        <w:rPr>
          <w:rFonts w:ascii="Times New Roman" w:hAnsi="Times New Roman"/>
        </w:rPr>
      </w:pPr>
      <w:bookmarkStart w:id="138" w:name="_Hlk142927625"/>
      <w:r>
        <w:rPr>
          <w:rFonts w:ascii="Times New Roman" w:hAnsi="Times New Roman"/>
        </w:rPr>
        <w:t>提升规划信息化水平</w:t>
      </w:r>
    </w:p>
    <w:bookmarkEnd w:id="138"/>
    <w:p>
      <w:pPr>
        <w:rPr>
          <w:lang w:bidi="ar"/>
        </w:rPr>
      </w:pPr>
      <w:r>
        <w:rPr>
          <w:lang w:bidi="ar"/>
        </w:rPr>
        <w:t>形成国土空间规划数据库，数据成果应同步上报，纳入国土空间规划“一张图”实施监督信息系统。</w:t>
      </w:r>
    </w:p>
    <w:p>
      <w:pPr>
        <w:pStyle w:val="4"/>
        <w:rPr>
          <w:rFonts w:ascii="Times New Roman" w:hAnsi="Times New Roman"/>
        </w:rPr>
      </w:pPr>
      <w:bookmarkStart w:id="139" w:name="_Hlk142927630"/>
      <w:r>
        <w:rPr>
          <w:rFonts w:ascii="Times New Roman" w:hAnsi="Times New Roman"/>
        </w:rPr>
        <w:t>落实国土空间用途管制制度</w:t>
      </w:r>
    </w:p>
    <w:bookmarkEnd w:id="139"/>
    <w:p>
      <w:pPr>
        <w:rPr>
          <w:lang w:bidi="ar"/>
        </w:rPr>
      </w:pPr>
      <w:r>
        <w:rPr>
          <w:lang w:bidi="ar"/>
        </w:rPr>
        <w:t>对所有国土空间分区分类实施用途管制，落实分区准入、用途转换等管制规则。城镇开发边界内实行“详细规划+规划许可”；城镇开发边界外按照主导用途分区，实行“详细规划+规划许可”和“约束指标+分区准入”。严格耕地、自然保护地、生态保护红线、生态敏感脆弱区等特殊区域的用途管制。</w:t>
      </w:r>
    </w:p>
    <w:p>
      <w:pPr>
        <w:pStyle w:val="4"/>
        <w:rPr>
          <w:rFonts w:ascii="Times New Roman" w:hAnsi="Times New Roman"/>
        </w:rPr>
      </w:pPr>
      <w:bookmarkStart w:id="140" w:name="_Hlk142927634"/>
      <w:r>
        <w:rPr>
          <w:rFonts w:ascii="Times New Roman" w:hAnsi="Times New Roman"/>
        </w:rPr>
        <w:t>加强规划实施监测评估</w:t>
      </w:r>
    </w:p>
    <w:bookmarkEnd w:id="140"/>
    <w:p>
      <w:pPr>
        <w:rPr>
          <w:lang w:bidi="ar"/>
        </w:rPr>
      </w:pPr>
      <w:r>
        <w:rPr>
          <w:lang w:bidi="ar"/>
        </w:rPr>
        <w:t>建立规划实施评估指标体系和“体检评估”机制，落实国土空间规划监测评估预警系统，为市、县开展城市体检和规划全周期管理提供支撑。</w:t>
      </w:r>
    </w:p>
    <w:p>
      <w:pPr>
        <w:spacing w:line="240" w:lineRule="auto"/>
        <w:rPr>
          <w:rFonts w:hint="default"/>
          <w:lang w:val="en" w:bidi="ar"/>
        </w:rPr>
      </w:pPr>
      <w:r>
        <w:rPr>
          <w:rFonts w:hint="default"/>
          <w:lang w:val="en" w:bidi="ar"/>
        </w:rPr>
        <w:drawing>
          <wp:inline distT="0" distB="0" distL="114300" distR="114300">
            <wp:extent cx="5271135" cy="7452995"/>
            <wp:effectExtent l="0" t="0" r="5715" b="14605"/>
            <wp:docPr id="2" name="图片 2" descr="04-赤眉镇-01-镇域国土空间用地现状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04-赤眉镇-01-镇域国土空间用地现状图"/>
                    <pic:cNvPicPr>
                      <a:picLocks noChangeAspect="true"/>
                    </pic:cNvPicPr>
                  </pic:nvPicPr>
                  <pic:blipFill>
                    <a:blip r:embed="rId14"/>
                    <a:stretch>
                      <a:fillRect/>
                    </a:stretch>
                  </pic:blipFill>
                  <pic:spPr>
                    <a:xfrm>
                      <a:off x="0" y="0"/>
                      <a:ext cx="5271135" cy="7452995"/>
                    </a:xfrm>
                    <a:prstGeom prst="rect">
                      <a:avLst/>
                    </a:prstGeom>
                  </pic:spPr>
                </pic:pic>
              </a:graphicData>
            </a:graphic>
          </wp:inline>
        </w:drawing>
      </w:r>
      <w:r>
        <w:rPr>
          <w:rFonts w:hint="default"/>
          <w:lang w:val="en" w:bidi="ar"/>
        </w:rPr>
        <w:drawing>
          <wp:inline distT="0" distB="0" distL="114300" distR="114300">
            <wp:extent cx="5271135" cy="7452995"/>
            <wp:effectExtent l="0" t="0" r="5715" b="14605"/>
            <wp:docPr id="7" name="图片 7" descr="04-赤眉镇-02-镇域国土空间总体格局规划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04-赤眉镇-02-镇域国土空间总体格局规划图"/>
                    <pic:cNvPicPr>
                      <a:picLocks noChangeAspect="true"/>
                    </pic:cNvPicPr>
                  </pic:nvPicPr>
                  <pic:blipFill>
                    <a:blip r:embed="rId15"/>
                    <a:stretch>
                      <a:fillRect/>
                    </a:stretch>
                  </pic:blipFill>
                  <pic:spPr>
                    <a:xfrm>
                      <a:off x="0" y="0"/>
                      <a:ext cx="5271135" cy="7452995"/>
                    </a:xfrm>
                    <a:prstGeom prst="rect">
                      <a:avLst/>
                    </a:prstGeom>
                  </pic:spPr>
                </pic:pic>
              </a:graphicData>
            </a:graphic>
          </wp:inline>
        </w:drawing>
      </w:r>
      <w:r>
        <w:rPr>
          <w:rFonts w:hint="default"/>
          <w:lang w:val="en" w:bidi="ar"/>
        </w:rPr>
        <w:drawing>
          <wp:inline distT="0" distB="0" distL="114300" distR="114300">
            <wp:extent cx="5271135" cy="7452995"/>
            <wp:effectExtent l="0" t="0" r="5715" b="14605"/>
            <wp:docPr id="6" name="图片 6" descr="04-赤眉镇-03-镇域国土空间控制线规划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04-赤眉镇-03-镇域国土空间控制线规划图"/>
                    <pic:cNvPicPr>
                      <a:picLocks noChangeAspect="true"/>
                    </pic:cNvPicPr>
                  </pic:nvPicPr>
                  <pic:blipFill>
                    <a:blip r:embed="rId16"/>
                    <a:stretch>
                      <a:fillRect/>
                    </a:stretch>
                  </pic:blipFill>
                  <pic:spPr>
                    <a:xfrm>
                      <a:off x="0" y="0"/>
                      <a:ext cx="5271135" cy="7452995"/>
                    </a:xfrm>
                    <a:prstGeom prst="rect">
                      <a:avLst/>
                    </a:prstGeom>
                  </pic:spPr>
                </pic:pic>
              </a:graphicData>
            </a:graphic>
          </wp:inline>
        </w:drawing>
      </w:r>
      <w:r>
        <w:rPr>
          <w:rFonts w:hint="default"/>
          <w:lang w:val="en" w:bidi="ar"/>
        </w:rPr>
        <w:drawing>
          <wp:inline distT="0" distB="0" distL="114300" distR="114300">
            <wp:extent cx="5271135" cy="7452995"/>
            <wp:effectExtent l="0" t="0" r="5715" b="14605"/>
            <wp:docPr id="5" name="图片 5" descr="04-赤眉镇-04-镇域村庄布点规划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04-赤眉镇-04-镇域村庄布点规划图"/>
                    <pic:cNvPicPr>
                      <a:picLocks noChangeAspect="true"/>
                    </pic:cNvPicPr>
                  </pic:nvPicPr>
                  <pic:blipFill>
                    <a:blip r:embed="rId17"/>
                    <a:stretch>
                      <a:fillRect/>
                    </a:stretch>
                  </pic:blipFill>
                  <pic:spPr>
                    <a:xfrm>
                      <a:off x="0" y="0"/>
                      <a:ext cx="5271135" cy="7452995"/>
                    </a:xfrm>
                    <a:prstGeom prst="rect">
                      <a:avLst/>
                    </a:prstGeom>
                  </pic:spPr>
                </pic:pic>
              </a:graphicData>
            </a:graphic>
          </wp:inline>
        </w:drawing>
      </w:r>
      <w:r>
        <w:rPr>
          <w:rFonts w:hint="default"/>
          <w:lang w:val="en" w:bidi="ar"/>
        </w:rPr>
        <w:drawing>
          <wp:inline distT="0" distB="0" distL="114300" distR="114300">
            <wp:extent cx="5271135" cy="7452995"/>
            <wp:effectExtent l="0" t="0" r="5715" b="14605"/>
            <wp:docPr id="4" name="图片 4" descr="04-赤眉镇-05-镇域综合交通规划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04-赤眉镇-05-镇域综合交通规划图"/>
                    <pic:cNvPicPr>
                      <a:picLocks noChangeAspect="true"/>
                    </pic:cNvPicPr>
                  </pic:nvPicPr>
                  <pic:blipFill>
                    <a:blip r:embed="rId18"/>
                    <a:stretch>
                      <a:fillRect/>
                    </a:stretch>
                  </pic:blipFill>
                  <pic:spPr>
                    <a:xfrm>
                      <a:off x="0" y="0"/>
                      <a:ext cx="5271135" cy="7452995"/>
                    </a:xfrm>
                    <a:prstGeom prst="rect">
                      <a:avLst/>
                    </a:prstGeom>
                  </pic:spPr>
                </pic:pic>
              </a:graphicData>
            </a:graphic>
          </wp:inline>
        </w:drawing>
      </w:r>
      <w:r>
        <w:rPr>
          <w:rFonts w:hint="default"/>
          <w:lang w:val="en" w:bidi="ar"/>
        </w:rPr>
        <w:drawing>
          <wp:inline distT="0" distB="0" distL="114300" distR="114300">
            <wp:extent cx="5271135" cy="7452995"/>
            <wp:effectExtent l="0" t="0" r="5715" b="14605"/>
            <wp:docPr id="3" name="图片 3" descr="04-赤眉镇-06-镇区国土空间用地规划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04-赤眉镇-06-镇区国土空间用地规划图"/>
                    <pic:cNvPicPr>
                      <a:picLocks noChangeAspect="true"/>
                    </pic:cNvPicPr>
                  </pic:nvPicPr>
                  <pic:blipFill>
                    <a:blip r:embed="rId19"/>
                    <a:stretch>
                      <a:fillRect/>
                    </a:stretch>
                  </pic:blipFill>
                  <pic:spPr>
                    <a:xfrm>
                      <a:off x="0" y="0"/>
                      <a:ext cx="5271135" cy="7452995"/>
                    </a:xfrm>
                    <a:prstGeom prst="rect">
                      <a:avLst/>
                    </a:prstGeom>
                  </pic:spPr>
                </pic:pic>
              </a:graphicData>
            </a:graphic>
          </wp:inline>
        </w:drawing>
      </w:r>
    </w:p>
    <w:sectPr>
      <w:headerReference r:id="rId11" w:type="default"/>
      <w:footerReference r:id="rId12" w:type="default"/>
      <w:pgSz w:w="11907" w:h="16839"/>
      <w:pgMar w:top="1440" w:right="1800" w:bottom="1440" w:left="1800" w:header="851" w:footer="680" w:gutter="0"/>
      <w:pgNumType w:start="1"/>
      <w:cols w:space="113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Cambria">
    <w:altName w:val="FreeSerif"/>
    <w:panose1 w:val="02040503050406030204"/>
    <w:charset w:val="00"/>
    <w:family w:val="roman"/>
    <w:pitch w:val="default"/>
    <w:sig w:usb0="00000000" w:usb1="00000000" w:usb2="00000000"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等线 Light">
    <w:altName w:val="汉仪仿宋S"/>
    <w:panose1 w:val="00000000000000000000"/>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altName w:val="黑体"/>
    <w:panose1 w:val="020B0503020204020204"/>
    <w:charset w:val="86"/>
    <w:family w:val="swiss"/>
    <w:pitch w:val="default"/>
    <w:sig w:usb0="00000000" w:usb1="00000000" w:usb2="00000016" w:usb3="00000000" w:csb0="0004001F" w:csb1="00000000"/>
  </w:font>
  <w:font w:name="楷体">
    <w:panose1 w:val="02010609060101010101"/>
    <w:charset w:val="86"/>
    <w:family w:val="modern"/>
    <w:pitch w:val="default"/>
    <w:sig w:usb0="800002BF" w:usb1="38CF7CFA" w:usb2="00000016" w:usb3="00000000" w:csb0="00040001" w:csb1="00000000"/>
  </w:font>
  <w:font w:name="Cambria Math">
    <w:altName w:val="DejaVu Math TeX Gyre"/>
    <w:panose1 w:val="02040503050406030204"/>
    <w:charset w:val="00"/>
    <w:family w:val="roman"/>
    <w:pitch w:val="default"/>
    <w:sig w:usb0="00000000" w:usb1="00000000" w:usb2="02000000" w:usb3="00000000" w:csb0="2000019F"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等线">
    <w:altName w:val="汉仪仿宋S"/>
    <w:panose1 w:val="00000000000000000000"/>
    <w:charset w:val="00"/>
    <w:family w:val="auto"/>
    <w:pitch w:val="default"/>
    <w:sig w:usb0="00000000" w:usb1="00000000" w:usb2="00000000" w:usb3="00000000" w:csb0="00000000" w:csb1="00000000"/>
  </w:font>
  <w:font w:name="汉仪仿宋S">
    <w:panose1 w:val="00020600040101000101"/>
    <w:charset w:val="86"/>
    <w:family w:val="auto"/>
    <w:pitch w:val="default"/>
    <w:sig w:usb0="A00002BF" w:usb1="38CF7CFA" w:usb2="00000016" w:usb3="00000000" w:csb0="0004009F"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华文仿宋">
    <w:panose1 w:val="02010600040101010101"/>
    <w:charset w:val="86"/>
    <w:family w:val="auto"/>
    <w:pitch w:val="default"/>
    <w:sig w:usb0="00000287" w:usb1="080F0000" w:usb2="00000000" w:usb3="00000000" w:csb0="0004009F" w:csb1="DFD70000"/>
  </w:font>
  <w:font w:name="方正宋体S-超大字符集">
    <w:panose1 w:val="02000000000000000000"/>
    <w:charset w:val="86"/>
    <w:family w:val="auto"/>
    <w:pitch w:val="default"/>
    <w:sig w:usb0="00000001" w:usb1="08000000" w:usb2="00000000" w:usb3="00000000" w:csb0="00040000" w:csb1="00000000"/>
  </w:font>
  <w:font w:name="FreeSerif">
    <w:panose1 w:val="02020603050405020304"/>
    <w:charset w:val="00"/>
    <w:family w:val="auto"/>
    <w:pitch w:val="default"/>
    <w:sig w:usb0="E59FAFFF" w:usb1="C200FDFF" w:usb2="43501B29" w:usb3="04000043" w:csb0="600101FF" w:csb1="FFFF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6678402"/>
    </w:sdtPr>
    <w:sdtContent>
      <w:p>
        <w:pPr>
          <w:pStyle w:val="21"/>
          <w:spacing w:after="240" w:afterLines="100"/>
          <w:ind w:firstLine="360"/>
          <w:jc w:val="center"/>
        </w:pPr>
        <w:r>
          <w:fldChar w:fldCharType="begin"/>
        </w:r>
        <w:r>
          <w:instrText xml:space="preserve">PAGE   \* MERGEFORMAT</w:instrText>
        </w:r>
        <w:r>
          <w:fldChar w:fldCharType="separate"/>
        </w:r>
        <w: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spacing w:before="120" w:after="12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C20270"/>
    <w:multiLevelType w:val="multilevel"/>
    <w:tmpl w:val="FAC20270"/>
    <w:lvl w:ilvl="0" w:tentative="0">
      <w:start w:val="1"/>
      <w:numFmt w:val="chineseCountingThousand"/>
      <w:suff w:val="space"/>
      <w:lvlText w:val="第%1章 "/>
      <w:lvlJc w:val="left"/>
      <w:pPr>
        <w:ind w:left="0" w:firstLine="0"/>
      </w:pPr>
      <w:rPr>
        <w:rFonts w:hint="eastAsia" w:ascii="黑体" w:hAnsi="Times New Roman" w:eastAsia="黑体" w:cs="黑体"/>
      </w:rPr>
    </w:lvl>
    <w:lvl w:ilvl="1" w:tentative="0">
      <w:start w:val="1"/>
      <w:numFmt w:val="chineseCountingThousand"/>
      <w:suff w:val="space"/>
      <w:lvlText w:val="第%2节 "/>
      <w:lvlJc w:val="left"/>
      <w:pPr>
        <w:ind w:left="0" w:firstLine="0"/>
      </w:pPr>
      <w:rPr>
        <w:rFonts w:hint="eastAsia" w:ascii="黑体" w:hAnsi="Times New Roman" w:eastAsia="黑体" w:cs="黑体"/>
      </w:rPr>
    </w:lvl>
    <w:lvl w:ilvl="2" w:tentative="0">
      <w:start w:val="1"/>
      <w:numFmt w:val="decimal"/>
      <w:isLgl/>
      <w:suff w:val="space"/>
      <w:lvlText w:val="第%3条 "/>
      <w:lvlJc w:val="left"/>
      <w:pPr>
        <w:ind w:left="0" w:firstLine="0"/>
      </w:pPr>
      <w:rPr>
        <w:rFonts w:hint="eastAsia" w:ascii="黑体" w:hAnsi="Times New Roman" w:eastAsia="黑体" w:cs="黑体"/>
      </w:rPr>
    </w:lvl>
    <w:lvl w:ilvl="3" w:tentative="0">
      <w:start w:val="1"/>
      <w:numFmt w:val="decimal"/>
      <w:isLgl/>
      <w:suff w:val="nothing"/>
      <w:lvlText w:val="%4."/>
      <w:lvlJc w:val="left"/>
      <w:pPr>
        <w:ind w:left="-141" w:firstLine="425"/>
      </w:pPr>
    </w:lvl>
    <w:lvl w:ilvl="4" w:tentative="0">
      <w:start w:val="1"/>
      <w:numFmt w:val="decimal"/>
      <w:isLgl/>
      <w:suff w:val="nothing"/>
      <w:lvlText w:val="（%5）"/>
      <w:lvlJc w:val="left"/>
      <w:pPr>
        <w:ind w:left="0" w:firstLine="340"/>
      </w:pPr>
      <w:rPr>
        <w:rFonts w:hint="eastAsia" w:ascii="宋体" w:hAnsi="Times New Roman" w:eastAsia="宋体" w:cs="宋体"/>
      </w:rPr>
    </w:lvl>
    <w:lvl w:ilvl="5" w:tentative="0">
      <w:start w:val="1"/>
      <w:numFmt w:val="decimal"/>
      <w:isLgl/>
      <w:suff w:val="nothing"/>
      <w:lvlText w:val="附表%6："/>
      <w:lvlJc w:val="left"/>
      <w:pPr>
        <w:ind w:left="0" w:firstLine="0"/>
      </w:pPr>
      <w:rPr>
        <w:rFonts w:hint="eastAsia" w:ascii="黑体" w:hAnsi="Times New Roman" w:eastAsia="黑体" w:cs="黑体"/>
        <w:u w:val="none"/>
        <w:lang w:val="en-US"/>
      </w:rPr>
    </w:lvl>
    <w:lvl w:ilvl="6" w:tentative="0">
      <w:start w:val="1"/>
      <w:numFmt w:val="decimal"/>
      <w:isLgl/>
      <w:suff w:val="nothing"/>
      <w:lvlText w:val="（%7）"/>
      <w:lvlJc w:val="left"/>
      <w:pPr>
        <w:ind w:left="0" w:firstLine="340"/>
      </w:pPr>
      <w:rPr>
        <w:rFonts w:hint="eastAsia" w:ascii="宋体" w:hAnsi="Times New Roman" w:eastAsia="宋体" w:cs="宋体"/>
        <w:u w:val="single"/>
      </w:r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
    <w:nsid w:val="4300164C"/>
    <w:multiLevelType w:val="multilevel"/>
    <w:tmpl w:val="4300164C"/>
    <w:lvl w:ilvl="0" w:tentative="0">
      <w:start w:val="1"/>
      <w:numFmt w:val="chineseCountingThousand"/>
      <w:suff w:val="space"/>
      <w:lvlText w:val="第%1章 "/>
      <w:lvlJc w:val="left"/>
      <w:pPr>
        <w:ind w:left="0" w:firstLine="0"/>
      </w:pPr>
      <w:rPr>
        <w:rFonts w:hint="eastAsia" w:ascii="黑体" w:hAnsi="Times New Roman" w:eastAsia="黑体" w:cs="黑体"/>
      </w:rPr>
    </w:lvl>
    <w:lvl w:ilvl="1" w:tentative="0">
      <w:start w:val="1"/>
      <w:numFmt w:val="chineseCountingThousand"/>
      <w:suff w:val="space"/>
      <w:lvlText w:val="第%2节 "/>
      <w:lvlJc w:val="left"/>
      <w:pPr>
        <w:ind w:left="0" w:firstLine="0"/>
      </w:pPr>
      <w:rPr>
        <w:rFonts w:hint="eastAsia" w:ascii="黑体" w:hAnsi="Times New Roman" w:eastAsia="黑体" w:cs="黑体"/>
        <w:lang w:val="en-US"/>
      </w:rPr>
    </w:lvl>
    <w:lvl w:ilvl="2" w:tentative="0">
      <w:start w:val="1"/>
      <w:numFmt w:val="decimal"/>
      <w:isLgl/>
      <w:suff w:val="space"/>
      <w:lvlText w:val="第%3条 "/>
      <w:lvlJc w:val="left"/>
      <w:pPr>
        <w:ind w:left="0" w:firstLine="0"/>
      </w:pPr>
      <w:rPr>
        <w:rFonts w:hint="eastAsia" w:ascii="黑体" w:hAnsi="Times New Roman" w:eastAsia="黑体" w:cs="黑体"/>
      </w:rPr>
    </w:lvl>
    <w:lvl w:ilvl="3" w:tentative="0">
      <w:start w:val="1"/>
      <w:numFmt w:val="decimal"/>
      <w:isLgl/>
      <w:suff w:val="nothing"/>
      <w:lvlText w:val="%4."/>
      <w:lvlJc w:val="left"/>
      <w:pPr>
        <w:ind w:left="-141" w:firstLine="425"/>
      </w:pPr>
    </w:lvl>
    <w:lvl w:ilvl="4" w:tentative="0">
      <w:start w:val="1"/>
      <w:numFmt w:val="decimal"/>
      <w:isLgl/>
      <w:suff w:val="nothing"/>
      <w:lvlText w:val="（%5）"/>
      <w:lvlJc w:val="left"/>
      <w:pPr>
        <w:ind w:left="0" w:firstLine="340"/>
      </w:pPr>
      <w:rPr>
        <w:rFonts w:hint="eastAsia" w:ascii="宋体" w:hAnsi="Times New Roman" w:eastAsia="宋体" w:cs="宋体"/>
      </w:rPr>
    </w:lvl>
    <w:lvl w:ilvl="5" w:tentative="0">
      <w:start w:val="1"/>
      <w:numFmt w:val="decimal"/>
      <w:isLgl/>
      <w:suff w:val="nothing"/>
      <w:lvlText w:val="附表%6："/>
      <w:lvlJc w:val="left"/>
      <w:pPr>
        <w:ind w:left="8223" w:firstLine="0"/>
      </w:pPr>
      <w:rPr>
        <w:rFonts w:hint="eastAsia" w:ascii="黑体" w:hAnsi="Times New Roman" w:eastAsia="黑体" w:cs="黑体"/>
        <w:u w:val="none"/>
        <w:lang w:val="en-US"/>
      </w:rPr>
    </w:lvl>
    <w:lvl w:ilvl="6" w:tentative="0">
      <w:start w:val="1"/>
      <w:numFmt w:val="decimal"/>
      <w:isLgl/>
      <w:suff w:val="nothing"/>
      <w:lvlText w:val="（%7）"/>
      <w:lvlJc w:val="left"/>
      <w:pPr>
        <w:ind w:left="0" w:firstLine="340"/>
      </w:pPr>
      <w:rPr>
        <w:rFonts w:hint="eastAsia" w:ascii="宋体" w:hAnsi="Times New Roman" w:eastAsia="宋体" w:cs="宋体"/>
        <w:u w:val="single"/>
      </w:r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2">
    <w:nsid w:val="78EF3348"/>
    <w:multiLevelType w:val="multilevel"/>
    <w:tmpl w:val="78EF3348"/>
    <w:lvl w:ilvl="0" w:tentative="0">
      <w:start w:val="1"/>
      <w:numFmt w:val="chineseCountingThousand"/>
      <w:pStyle w:val="2"/>
      <w:suff w:val="space"/>
      <w:lvlText w:val="第%1章 "/>
      <w:lvlJc w:val="left"/>
      <w:pPr>
        <w:ind w:left="1135" w:firstLine="0"/>
      </w:pPr>
      <w:rPr>
        <w:rFonts w:hint="eastAsia" w:ascii="方正小标宋简体" w:eastAsia="方正小标宋简体"/>
        <w:sz w:val="36"/>
        <w:szCs w:val="36"/>
      </w:rPr>
    </w:lvl>
    <w:lvl w:ilvl="1" w:tentative="0">
      <w:start w:val="1"/>
      <w:numFmt w:val="chineseCountingThousand"/>
      <w:pStyle w:val="3"/>
      <w:suff w:val="space"/>
      <w:lvlText w:val="第%2节 "/>
      <w:lvlJc w:val="left"/>
      <w:pPr>
        <w:ind w:left="1702" w:firstLine="0"/>
      </w:pPr>
      <w:rPr>
        <w:rFonts w:hint="eastAsia" w:ascii="黑体" w:eastAsia="黑体"/>
        <w:sz w:val="32"/>
        <w:szCs w:val="32"/>
        <w:lang w:val="en-US"/>
      </w:rPr>
    </w:lvl>
    <w:lvl w:ilvl="2" w:tentative="0">
      <w:start w:val="1"/>
      <w:numFmt w:val="decimal"/>
      <w:lvlRestart w:val="0"/>
      <w:pStyle w:val="4"/>
      <w:isLgl/>
      <w:suff w:val="space"/>
      <w:lvlText w:val="第%3条 "/>
      <w:lvlJc w:val="left"/>
      <w:pPr>
        <w:ind w:left="568" w:firstLine="0"/>
      </w:pPr>
      <w:rPr>
        <w:rFonts w:hint="default" w:ascii="楷体_GB2312" w:eastAsia="楷体_GB2312"/>
        <w:sz w:val="32"/>
        <w:szCs w:val="32"/>
      </w:rPr>
    </w:lvl>
    <w:lvl w:ilvl="3" w:tentative="0">
      <w:start w:val="1"/>
      <w:numFmt w:val="decimal"/>
      <w:pStyle w:val="5"/>
      <w:isLgl/>
      <w:suff w:val="nothing"/>
      <w:lvlText w:val="%4."/>
      <w:lvlJc w:val="left"/>
      <w:pPr>
        <w:ind w:left="-141" w:firstLine="425"/>
      </w:pPr>
      <w:rPr>
        <w:rFonts w:hint="eastAsia"/>
      </w:rPr>
    </w:lvl>
    <w:lvl w:ilvl="4" w:tentative="0">
      <w:start w:val="1"/>
      <w:numFmt w:val="decimal"/>
      <w:pStyle w:val="6"/>
      <w:isLgl/>
      <w:suff w:val="nothing"/>
      <w:lvlText w:val="（%5）"/>
      <w:lvlJc w:val="left"/>
      <w:pPr>
        <w:ind w:left="0" w:firstLine="340"/>
      </w:pPr>
      <w:rPr>
        <w:rFonts w:hint="eastAsia" w:ascii="宋体" w:eastAsia="宋体"/>
      </w:rPr>
    </w:lvl>
    <w:lvl w:ilvl="5" w:tentative="0">
      <w:start w:val="1"/>
      <w:numFmt w:val="decimal"/>
      <w:lvlRestart w:val="1"/>
      <w:pStyle w:val="64"/>
      <w:isLgl/>
      <w:suff w:val="nothing"/>
      <w:lvlText w:val="附表%6："/>
      <w:lvlJc w:val="left"/>
      <w:pPr>
        <w:ind w:left="0" w:firstLine="0"/>
      </w:pPr>
      <w:rPr>
        <w:rFonts w:hint="eastAsia" w:ascii="仿宋_GB2312" w:eastAsia="仿宋_GB2312"/>
        <w:u w:val="none"/>
        <w:lang w:val="en-US"/>
      </w:rPr>
    </w:lvl>
    <w:lvl w:ilvl="6" w:tentative="0">
      <w:start w:val="1"/>
      <w:numFmt w:val="decimal"/>
      <w:lvlRestart w:val="4"/>
      <w:isLgl/>
      <w:suff w:val="nothing"/>
      <w:lvlText w:val="（%7）"/>
      <w:lvlJc w:val="left"/>
      <w:pPr>
        <w:ind w:left="0" w:firstLine="340"/>
      </w:pPr>
      <w:rPr>
        <w:rFonts w:hint="eastAsia" w:ascii="宋体" w:eastAsia="宋体"/>
        <w:u w:val="single"/>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hideSpellingErrors/>
  <w:documentProtection w:enforcement="0"/>
  <w:defaultTabStop w:val="420"/>
  <w:drawingGridHorizontalSpacing w:val="120"/>
  <w:drawingGridVerticalSpacing w:val="163"/>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ViOWEyNjAzNzYyNzgyMzM5MmY0MTE1MzYzYmY1MDUifQ=="/>
  </w:docVars>
  <w:rsids>
    <w:rsidRoot w:val="00172A27"/>
    <w:rsid w:val="00000C06"/>
    <w:rsid w:val="00001621"/>
    <w:rsid w:val="00004538"/>
    <w:rsid w:val="000045B8"/>
    <w:rsid w:val="000046C4"/>
    <w:rsid w:val="00005598"/>
    <w:rsid w:val="00007CD2"/>
    <w:rsid w:val="00014FFC"/>
    <w:rsid w:val="00015277"/>
    <w:rsid w:val="0001672B"/>
    <w:rsid w:val="000173D5"/>
    <w:rsid w:val="000228A2"/>
    <w:rsid w:val="00022C14"/>
    <w:rsid w:val="00023887"/>
    <w:rsid w:val="00024593"/>
    <w:rsid w:val="00025921"/>
    <w:rsid w:val="00025FB7"/>
    <w:rsid w:val="000263B1"/>
    <w:rsid w:val="00026494"/>
    <w:rsid w:val="00026ED4"/>
    <w:rsid w:val="00027C74"/>
    <w:rsid w:val="000300ED"/>
    <w:rsid w:val="000312F7"/>
    <w:rsid w:val="00033FEA"/>
    <w:rsid w:val="0003547A"/>
    <w:rsid w:val="0003614B"/>
    <w:rsid w:val="000401C8"/>
    <w:rsid w:val="00042AF6"/>
    <w:rsid w:val="00043914"/>
    <w:rsid w:val="00043D07"/>
    <w:rsid w:val="00044269"/>
    <w:rsid w:val="00044A6C"/>
    <w:rsid w:val="00044E71"/>
    <w:rsid w:val="00046257"/>
    <w:rsid w:val="00046BBF"/>
    <w:rsid w:val="00046E46"/>
    <w:rsid w:val="0004772B"/>
    <w:rsid w:val="0005003D"/>
    <w:rsid w:val="00051026"/>
    <w:rsid w:val="00051283"/>
    <w:rsid w:val="0005170E"/>
    <w:rsid w:val="000522AA"/>
    <w:rsid w:val="00053B04"/>
    <w:rsid w:val="00056EF1"/>
    <w:rsid w:val="0005723A"/>
    <w:rsid w:val="0005724D"/>
    <w:rsid w:val="00063F69"/>
    <w:rsid w:val="0006602B"/>
    <w:rsid w:val="00066343"/>
    <w:rsid w:val="000672D0"/>
    <w:rsid w:val="000708D8"/>
    <w:rsid w:val="0007111B"/>
    <w:rsid w:val="00071B6F"/>
    <w:rsid w:val="000743DC"/>
    <w:rsid w:val="000744A6"/>
    <w:rsid w:val="0007497D"/>
    <w:rsid w:val="00074C23"/>
    <w:rsid w:val="00075670"/>
    <w:rsid w:val="00075AC8"/>
    <w:rsid w:val="00075E93"/>
    <w:rsid w:val="00076004"/>
    <w:rsid w:val="00080705"/>
    <w:rsid w:val="00080CA3"/>
    <w:rsid w:val="00080F04"/>
    <w:rsid w:val="00082E8A"/>
    <w:rsid w:val="00084FA6"/>
    <w:rsid w:val="00085C91"/>
    <w:rsid w:val="00085E68"/>
    <w:rsid w:val="00085F2C"/>
    <w:rsid w:val="000868E7"/>
    <w:rsid w:val="00087434"/>
    <w:rsid w:val="00087F2A"/>
    <w:rsid w:val="000905F0"/>
    <w:rsid w:val="00091ADE"/>
    <w:rsid w:val="000921DD"/>
    <w:rsid w:val="000945D7"/>
    <w:rsid w:val="00094975"/>
    <w:rsid w:val="000951DD"/>
    <w:rsid w:val="00095B0E"/>
    <w:rsid w:val="00097133"/>
    <w:rsid w:val="00097FB2"/>
    <w:rsid w:val="000A2C0B"/>
    <w:rsid w:val="000A3B02"/>
    <w:rsid w:val="000A4529"/>
    <w:rsid w:val="000A5030"/>
    <w:rsid w:val="000A50E0"/>
    <w:rsid w:val="000A52E7"/>
    <w:rsid w:val="000A534F"/>
    <w:rsid w:val="000A5430"/>
    <w:rsid w:val="000A6201"/>
    <w:rsid w:val="000A6E7D"/>
    <w:rsid w:val="000A74E3"/>
    <w:rsid w:val="000B1B6C"/>
    <w:rsid w:val="000B257F"/>
    <w:rsid w:val="000B27FF"/>
    <w:rsid w:val="000B3238"/>
    <w:rsid w:val="000B46A4"/>
    <w:rsid w:val="000B53B7"/>
    <w:rsid w:val="000B591B"/>
    <w:rsid w:val="000B5C66"/>
    <w:rsid w:val="000B64A5"/>
    <w:rsid w:val="000B7014"/>
    <w:rsid w:val="000B72AE"/>
    <w:rsid w:val="000C0616"/>
    <w:rsid w:val="000C0C7A"/>
    <w:rsid w:val="000C2A41"/>
    <w:rsid w:val="000C3573"/>
    <w:rsid w:val="000C3D14"/>
    <w:rsid w:val="000C5282"/>
    <w:rsid w:val="000C559D"/>
    <w:rsid w:val="000C5B95"/>
    <w:rsid w:val="000C6324"/>
    <w:rsid w:val="000C78E4"/>
    <w:rsid w:val="000C7DE1"/>
    <w:rsid w:val="000D00FC"/>
    <w:rsid w:val="000D046C"/>
    <w:rsid w:val="000D336A"/>
    <w:rsid w:val="000D34BC"/>
    <w:rsid w:val="000D4DBE"/>
    <w:rsid w:val="000D53BD"/>
    <w:rsid w:val="000D5D58"/>
    <w:rsid w:val="000D6692"/>
    <w:rsid w:val="000E0444"/>
    <w:rsid w:val="000E0F8D"/>
    <w:rsid w:val="000E2A20"/>
    <w:rsid w:val="000E324F"/>
    <w:rsid w:val="000E35FD"/>
    <w:rsid w:val="000E498F"/>
    <w:rsid w:val="000E5601"/>
    <w:rsid w:val="000E5D6D"/>
    <w:rsid w:val="000E6D24"/>
    <w:rsid w:val="000E7FEF"/>
    <w:rsid w:val="000F011D"/>
    <w:rsid w:val="000F04B5"/>
    <w:rsid w:val="000F0809"/>
    <w:rsid w:val="000F1ED6"/>
    <w:rsid w:val="000F2221"/>
    <w:rsid w:val="000F2547"/>
    <w:rsid w:val="000F2B37"/>
    <w:rsid w:val="000F2E81"/>
    <w:rsid w:val="000F302E"/>
    <w:rsid w:val="000F6939"/>
    <w:rsid w:val="000F6CCC"/>
    <w:rsid w:val="001004B9"/>
    <w:rsid w:val="00100A59"/>
    <w:rsid w:val="00101788"/>
    <w:rsid w:val="001022DD"/>
    <w:rsid w:val="00102D32"/>
    <w:rsid w:val="00103A77"/>
    <w:rsid w:val="00104C7B"/>
    <w:rsid w:val="00105261"/>
    <w:rsid w:val="001053A7"/>
    <w:rsid w:val="00105DBB"/>
    <w:rsid w:val="001068EE"/>
    <w:rsid w:val="00106AE3"/>
    <w:rsid w:val="00110059"/>
    <w:rsid w:val="001105F1"/>
    <w:rsid w:val="00110ED6"/>
    <w:rsid w:val="00111100"/>
    <w:rsid w:val="001129D8"/>
    <w:rsid w:val="00113B52"/>
    <w:rsid w:val="00113C92"/>
    <w:rsid w:val="00114E92"/>
    <w:rsid w:val="00116D01"/>
    <w:rsid w:val="00120488"/>
    <w:rsid w:val="001204CF"/>
    <w:rsid w:val="001212B2"/>
    <w:rsid w:val="0012136A"/>
    <w:rsid w:val="001216CE"/>
    <w:rsid w:val="00121CDA"/>
    <w:rsid w:val="00122DC8"/>
    <w:rsid w:val="00125070"/>
    <w:rsid w:val="00125577"/>
    <w:rsid w:val="001255B3"/>
    <w:rsid w:val="001265A8"/>
    <w:rsid w:val="0012676D"/>
    <w:rsid w:val="00127388"/>
    <w:rsid w:val="001276D2"/>
    <w:rsid w:val="00130C20"/>
    <w:rsid w:val="00130F68"/>
    <w:rsid w:val="001317CE"/>
    <w:rsid w:val="0013180C"/>
    <w:rsid w:val="00131983"/>
    <w:rsid w:val="00131CE1"/>
    <w:rsid w:val="0013381F"/>
    <w:rsid w:val="00133BB4"/>
    <w:rsid w:val="00134387"/>
    <w:rsid w:val="00140D28"/>
    <w:rsid w:val="001419C1"/>
    <w:rsid w:val="00142730"/>
    <w:rsid w:val="00143E65"/>
    <w:rsid w:val="0014413C"/>
    <w:rsid w:val="00144466"/>
    <w:rsid w:val="001451AB"/>
    <w:rsid w:val="001469C5"/>
    <w:rsid w:val="00147AEC"/>
    <w:rsid w:val="00150074"/>
    <w:rsid w:val="00150232"/>
    <w:rsid w:val="00152322"/>
    <w:rsid w:val="00152930"/>
    <w:rsid w:val="001548F2"/>
    <w:rsid w:val="00156A88"/>
    <w:rsid w:val="0015738E"/>
    <w:rsid w:val="0016018D"/>
    <w:rsid w:val="0016071B"/>
    <w:rsid w:val="00160A7E"/>
    <w:rsid w:val="001617AD"/>
    <w:rsid w:val="00161CCC"/>
    <w:rsid w:val="001674E7"/>
    <w:rsid w:val="00167698"/>
    <w:rsid w:val="00170A73"/>
    <w:rsid w:val="00170F66"/>
    <w:rsid w:val="0017172C"/>
    <w:rsid w:val="00172637"/>
    <w:rsid w:val="00172A27"/>
    <w:rsid w:val="00173B83"/>
    <w:rsid w:val="001756E1"/>
    <w:rsid w:val="001807AA"/>
    <w:rsid w:val="001818EE"/>
    <w:rsid w:val="001830A0"/>
    <w:rsid w:val="00183912"/>
    <w:rsid w:val="00183C21"/>
    <w:rsid w:val="0018447A"/>
    <w:rsid w:val="00184A4B"/>
    <w:rsid w:val="00185303"/>
    <w:rsid w:val="00186229"/>
    <w:rsid w:val="00187C7C"/>
    <w:rsid w:val="00191C19"/>
    <w:rsid w:val="001935F5"/>
    <w:rsid w:val="001937E5"/>
    <w:rsid w:val="00194C1F"/>
    <w:rsid w:val="00194D15"/>
    <w:rsid w:val="00196C51"/>
    <w:rsid w:val="00197EB3"/>
    <w:rsid w:val="001A0300"/>
    <w:rsid w:val="001A074B"/>
    <w:rsid w:val="001A1369"/>
    <w:rsid w:val="001A1B39"/>
    <w:rsid w:val="001A1F69"/>
    <w:rsid w:val="001A2817"/>
    <w:rsid w:val="001A4ECF"/>
    <w:rsid w:val="001B01F9"/>
    <w:rsid w:val="001B0309"/>
    <w:rsid w:val="001B1BF6"/>
    <w:rsid w:val="001B337A"/>
    <w:rsid w:val="001B5251"/>
    <w:rsid w:val="001B6117"/>
    <w:rsid w:val="001B621A"/>
    <w:rsid w:val="001B73C7"/>
    <w:rsid w:val="001C0BB2"/>
    <w:rsid w:val="001C0F1D"/>
    <w:rsid w:val="001C1416"/>
    <w:rsid w:val="001C1AAB"/>
    <w:rsid w:val="001C216E"/>
    <w:rsid w:val="001C28BC"/>
    <w:rsid w:val="001C4927"/>
    <w:rsid w:val="001C68A6"/>
    <w:rsid w:val="001C7E81"/>
    <w:rsid w:val="001D0529"/>
    <w:rsid w:val="001D208F"/>
    <w:rsid w:val="001D3525"/>
    <w:rsid w:val="001D35C4"/>
    <w:rsid w:val="001D385D"/>
    <w:rsid w:val="001D4B6D"/>
    <w:rsid w:val="001D5261"/>
    <w:rsid w:val="001D6832"/>
    <w:rsid w:val="001D701B"/>
    <w:rsid w:val="001D7F34"/>
    <w:rsid w:val="001E14DD"/>
    <w:rsid w:val="001E186A"/>
    <w:rsid w:val="001E3503"/>
    <w:rsid w:val="001E359F"/>
    <w:rsid w:val="001E436F"/>
    <w:rsid w:val="001E44D5"/>
    <w:rsid w:val="001E627E"/>
    <w:rsid w:val="001E71D9"/>
    <w:rsid w:val="001E7955"/>
    <w:rsid w:val="001E7D07"/>
    <w:rsid w:val="001F03E4"/>
    <w:rsid w:val="001F0DB9"/>
    <w:rsid w:val="001F111E"/>
    <w:rsid w:val="001F189C"/>
    <w:rsid w:val="001F2214"/>
    <w:rsid w:val="001F2E42"/>
    <w:rsid w:val="001F5C6A"/>
    <w:rsid w:val="001F5D26"/>
    <w:rsid w:val="001F749F"/>
    <w:rsid w:val="001F7A86"/>
    <w:rsid w:val="00200FBD"/>
    <w:rsid w:val="00201631"/>
    <w:rsid w:val="00201F70"/>
    <w:rsid w:val="002023C0"/>
    <w:rsid w:val="0020243D"/>
    <w:rsid w:val="00202D2C"/>
    <w:rsid w:val="002040CD"/>
    <w:rsid w:val="00204C4D"/>
    <w:rsid w:val="00206376"/>
    <w:rsid w:val="0020668E"/>
    <w:rsid w:val="002076F8"/>
    <w:rsid w:val="002078F2"/>
    <w:rsid w:val="00210701"/>
    <w:rsid w:val="00210B2B"/>
    <w:rsid w:val="00211839"/>
    <w:rsid w:val="0021225F"/>
    <w:rsid w:val="0021329A"/>
    <w:rsid w:val="00213AA9"/>
    <w:rsid w:val="002143B3"/>
    <w:rsid w:val="00215079"/>
    <w:rsid w:val="002153F1"/>
    <w:rsid w:val="00215A9A"/>
    <w:rsid w:val="00215F98"/>
    <w:rsid w:val="002174F4"/>
    <w:rsid w:val="0022036E"/>
    <w:rsid w:val="002208D0"/>
    <w:rsid w:val="0022120E"/>
    <w:rsid w:val="00221961"/>
    <w:rsid w:val="00221E4E"/>
    <w:rsid w:val="00224EF3"/>
    <w:rsid w:val="0022590C"/>
    <w:rsid w:val="00225B9A"/>
    <w:rsid w:val="00226AA9"/>
    <w:rsid w:val="00226B3C"/>
    <w:rsid w:val="00227032"/>
    <w:rsid w:val="0022722C"/>
    <w:rsid w:val="0022746F"/>
    <w:rsid w:val="00227754"/>
    <w:rsid w:val="00227F15"/>
    <w:rsid w:val="002318CC"/>
    <w:rsid w:val="0023322C"/>
    <w:rsid w:val="002357AA"/>
    <w:rsid w:val="00235B3B"/>
    <w:rsid w:val="00235EFC"/>
    <w:rsid w:val="00237CD9"/>
    <w:rsid w:val="0024154E"/>
    <w:rsid w:val="00241DCC"/>
    <w:rsid w:val="002448E7"/>
    <w:rsid w:val="002466B6"/>
    <w:rsid w:val="002519E5"/>
    <w:rsid w:val="002522BE"/>
    <w:rsid w:val="0025290E"/>
    <w:rsid w:val="00253CAE"/>
    <w:rsid w:val="0025432E"/>
    <w:rsid w:val="002548AB"/>
    <w:rsid w:val="00260EA9"/>
    <w:rsid w:val="00261A81"/>
    <w:rsid w:val="00263306"/>
    <w:rsid w:val="00263D89"/>
    <w:rsid w:val="002649E9"/>
    <w:rsid w:val="00266A10"/>
    <w:rsid w:val="0026767C"/>
    <w:rsid w:val="00267805"/>
    <w:rsid w:val="00271E06"/>
    <w:rsid w:val="002730E2"/>
    <w:rsid w:val="0027483B"/>
    <w:rsid w:val="00274AB8"/>
    <w:rsid w:val="00275466"/>
    <w:rsid w:val="002809B3"/>
    <w:rsid w:val="00280A41"/>
    <w:rsid w:val="00282A78"/>
    <w:rsid w:val="00285171"/>
    <w:rsid w:val="002858A9"/>
    <w:rsid w:val="00287750"/>
    <w:rsid w:val="002909DB"/>
    <w:rsid w:val="00293283"/>
    <w:rsid w:val="00293304"/>
    <w:rsid w:val="0029563F"/>
    <w:rsid w:val="0029594D"/>
    <w:rsid w:val="00295CF8"/>
    <w:rsid w:val="00296C9A"/>
    <w:rsid w:val="00296F9B"/>
    <w:rsid w:val="002971CF"/>
    <w:rsid w:val="00297F42"/>
    <w:rsid w:val="002A0B80"/>
    <w:rsid w:val="002A0F24"/>
    <w:rsid w:val="002A34BA"/>
    <w:rsid w:val="002A7C4B"/>
    <w:rsid w:val="002B077C"/>
    <w:rsid w:val="002B0B71"/>
    <w:rsid w:val="002B1F62"/>
    <w:rsid w:val="002B2015"/>
    <w:rsid w:val="002B3BBA"/>
    <w:rsid w:val="002B44B7"/>
    <w:rsid w:val="002B50D5"/>
    <w:rsid w:val="002B5A99"/>
    <w:rsid w:val="002B5C41"/>
    <w:rsid w:val="002B5C8C"/>
    <w:rsid w:val="002B5FF8"/>
    <w:rsid w:val="002B6573"/>
    <w:rsid w:val="002B6DBA"/>
    <w:rsid w:val="002B6F86"/>
    <w:rsid w:val="002B7AA6"/>
    <w:rsid w:val="002B7E47"/>
    <w:rsid w:val="002C11EE"/>
    <w:rsid w:val="002C2A13"/>
    <w:rsid w:val="002C2E92"/>
    <w:rsid w:val="002C3825"/>
    <w:rsid w:val="002C398A"/>
    <w:rsid w:val="002C42F2"/>
    <w:rsid w:val="002C51F4"/>
    <w:rsid w:val="002C6201"/>
    <w:rsid w:val="002C6673"/>
    <w:rsid w:val="002C719A"/>
    <w:rsid w:val="002C786B"/>
    <w:rsid w:val="002C7CBE"/>
    <w:rsid w:val="002D05EF"/>
    <w:rsid w:val="002D157C"/>
    <w:rsid w:val="002D36AE"/>
    <w:rsid w:val="002D3839"/>
    <w:rsid w:val="002D3FFB"/>
    <w:rsid w:val="002D5611"/>
    <w:rsid w:val="002D5A5F"/>
    <w:rsid w:val="002D6047"/>
    <w:rsid w:val="002D6E59"/>
    <w:rsid w:val="002D7CD8"/>
    <w:rsid w:val="002D7FB1"/>
    <w:rsid w:val="002E0B3B"/>
    <w:rsid w:val="002E0F64"/>
    <w:rsid w:val="002E109B"/>
    <w:rsid w:val="002E2692"/>
    <w:rsid w:val="002E3241"/>
    <w:rsid w:val="002E38BB"/>
    <w:rsid w:val="002E612C"/>
    <w:rsid w:val="002E649B"/>
    <w:rsid w:val="002E6677"/>
    <w:rsid w:val="002E7314"/>
    <w:rsid w:val="002E7F35"/>
    <w:rsid w:val="002F1618"/>
    <w:rsid w:val="002F36E8"/>
    <w:rsid w:val="002F436C"/>
    <w:rsid w:val="002F529A"/>
    <w:rsid w:val="002F5BB5"/>
    <w:rsid w:val="002F6661"/>
    <w:rsid w:val="002F6D93"/>
    <w:rsid w:val="002F7EE7"/>
    <w:rsid w:val="0030002A"/>
    <w:rsid w:val="003008FB"/>
    <w:rsid w:val="00300F45"/>
    <w:rsid w:val="003014F3"/>
    <w:rsid w:val="00301643"/>
    <w:rsid w:val="0030170C"/>
    <w:rsid w:val="00301A91"/>
    <w:rsid w:val="0030248B"/>
    <w:rsid w:val="00305B38"/>
    <w:rsid w:val="00306DA5"/>
    <w:rsid w:val="003104F2"/>
    <w:rsid w:val="00311CA9"/>
    <w:rsid w:val="0031292D"/>
    <w:rsid w:val="0031367A"/>
    <w:rsid w:val="003137CF"/>
    <w:rsid w:val="00313A14"/>
    <w:rsid w:val="003146D1"/>
    <w:rsid w:val="0031528B"/>
    <w:rsid w:val="0031556D"/>
    <w:rsid w:val="00315BA9"/>
    <w:rsid w:val="00315DB0"/>
    <w:rsid w:val="0031620E"/>
    <w:rsid w:val="003172BE"/>
    <w:rsid w:val="00320E3F"/>
    <w:rsid w:val="00322AAC"/>
    <w:rsid w:val="00322C47"/>
    <w:rsid w:val="00322E71"/>
    <w:rsid w:val="003230B5"/>
    <w:rsid w:val="00323FE4"/>
    <w:rsid w:val="003240BE"/>
    <w:rsid w:val="003243A5"/>
    <w:rsid w:val="00324F0C"/>
    <w:rsid w:val="003257DB"/>
    <w:rsid w:val="00325EDE"/>
    <w:rsid w:val="00326DBA"/>
    <w:rsid w:val="00331549"/>
    <w:rsid w:val="00331604"/>
    <w:rsid w:val="00333450"/>
    <w:rsid w:val="003335ED"/>
    <w:rsid w:val="00333E51"/>
    <w:rsid w:val="00333EC9"/>
    <w:rsid w:val="003341DA"/>
    <w:rsid w:val="00334478"/>
    <w:rsid w:val="00341862"/>
    <w:rsid w:val="0034203C"/>
    <w:rsid w:val="00342ED0"/>
    <w:rsid w:val="00343111"/>
    <w:rsid w:val="00344BB4"/>
    <w:rsid w:val="003457C2"/>
    <w:rsid w:val="00346168"/>
    <w:rsid w:val="00347745"/>
    <w:rsid w:val="00347BFE"/>
    <w:rsid w:val="003525F7"/>
    <w:rsid w:val="003533FF"/>
    <w:rsid w:val="00353EB6"/>
    <w:rsid w:val="0035487D"/>
    <w:rsid w:val="0035508E"/>
    <w:rsid w:val="00355BA4"/>
    <w:rsid w:val="00355DE7"/>
    <w:rsid w:val="003605D5"/>
    <w:rsid w:val="0036078C"/>
    <w:rsid w:val="0036180A"/>
    <w:rsid w:val="00361890"/>
    <w:rsid w:val="00361EC8"/>
    <w:rsid w:val="003630E9"/>
    <w:rsid w:val="00363503"/>
    <w:rsid w:val="00364050"/>
    <w:rsid w:val="0036413A"/>
    <w:rsid w:val="0036493E"/>
    <w:rsid w:val="00364EA4"/>
    <w:rsid w:val="00365625"/>
    <w:rsid w:val="0036716E"/>
    <w:rsid w:val="003715FA"/>
    <w:rsid w:val="00371710"/>
    <w:rsid w:val="00372354"/>
    <w:rsid w:val="003723B0"/>
    <w:rsid w:val="00372E59"/>
    <w:rsid w:val="00372F1F"/>
    <w:rsid w:val="00373AFF"/>
    <w:rsid w:val="00373D30"/>
    <w:rsid w:val="00375CB6"/>
    <w:rsid w:val="003777F2"/>
    <w:rsid w:val="003819CB"/>
    <w:rsid w:val="00381A96"/>
    <w:rsid w:val="00383792"/>
    <w:rsid w:val="00385823"/>
    <w:rsid w:val="0038737D"/>
    <w:rsid w:val="00390487"/>
    <w:rsid w:val="003928A6"/>
    <w:rsid w:val="00392949"/>
    <w:rsid w:val="00393988"/>
    <w:rsid w:val="00393D8A"/>
    <w:rsid w:val="00394A69"/>
    <w:rsid w:val="00394CC7"/>
    <w:rsid w:val="003950B7"/>
    <w:rsid w:val="00395BA6"/>
    <w:rsid w:val="00396205"/>
    <w:rsid w:val="0039649B"/>
    <w:rsid w:val="0039775C"/>
    <w:rsid w:val="003978C3"/>
    <w:rsid w:val="00397B19"/>
    <w:rsid w:val="00397E6B"/>
    <w:rsid w:val="00397F96"/>
    <w:rsid w:val="00397FF9"/>
    <w:rsid w:val="003A04CD"/>
    <w:rsid w:val="003A059D"/>
    <w:rsid w:val="003A114F"/>
    <w:rsid w:val="003A299B"/>
    <w:rsid w:val="003A39DD"/>
    <w:rsid w:val="003A535B"/>
    <w:rsid w:val="003A5419"/>
    <w:rsid w:val="003A596E"/>
    <w:rsid w:val="003B0168"/>
    <w:rsid w:val="003B04E8"/>
    <w:rsid w:val="003B079D"/>
    <w:rsid w:val="003B0873"/>
    <w:rsid w:val="003B0E02"/>
    <w:rsid w:val="003B2BD1"/>
    <w:rsid w:val="003B2DED"/>
    <w:rsid w:val="003B52B9"/>
    <w:rsid w:val="003B60A1"/>
    <w:rsid w:val="003B6113"/>
    <w:rsid w:val="003B64C7"/>
    <w:rsid w:val="003B6FE0"/>
    <w:rsid w:val="003B78BD"/>
    <w:rsid w:val="003C0206"/>
    <w:rsid w:val="003C1846"/>
    <w:rsid w:val="003C1D78"/>
    <w:rsid w:val="003C29B0"/>
    <w:rsid w:val="003C2CDB"/>
    <w:rsid w:val="003C38B5"/>
    <w:rsid w:val="003C3E5B"/>
    <w:rsid w:val="003C545E"/>
    <w:rsid w:val="003C54EF"/>
    <w:rsid w:val="003C55CE"/>
    <w:rsid w:val="003C5616"/>
    <w:rsid w:val="003C6B26"/>
    <w:rsid w:val="003C72F5"/>
    <w:rsid w:val="003C72FC"/>
    <w:rsid w:val="003D00C7"/>
    <w:rsid w:val="003D0AD5"/>
    <w:rsid w:val="003D157E"/>
    <w:rsid w:val="003D2089"/>
    <w:rsid w:val="003D256E"/>
    <w:rsid w:val="003D35DA"/>
    <w:rsid w:val="003D3613"/>
    <w:rsid w:val="003D4BF0"/>
    <w:rsid w:val="003D6C0D"/>
    <w:rsid w:val="003D7D09"/>
    <w:rsid w:val="003D7F97"/>
    <w:rsid w:val="003E1257"/>
    <w:rsid w:val="003E1A59"/>
    <w:rsid w:val="003E261A"/>
    <w:rsid w:val="003E2CD9"/>
    <w:rsid w:val="003E31CE"/>
    <w:rsid w:val="003E3A2B"/>
    <w:rsid w:val="003E4235"/>
    <w:rsid w:val="003E44DF"/>
    <w:rsid w:val="003E46EF"/>
    <w:rsid w:val="003E51C3"/>
    <w:rsid w:val="003E5E33"/>
    <w:rsid w:val="003E61FC"/>
    <w:rsid w:val="003F00D2"/>
    <w:rsid w:val="003F0397"/>
    <w:rsid w:val="003F177F"/>
    <w:rsid w:val="003F22B0"/>
    <w:rsid w:val="003F24C5"/>
    <w:rsid w:val="003F2FCF"/>
    <w:rsid w:val="003F30F5"/>
    <w:rsid w:val="003F329A"/>
    <w:rsid w:val="003F353C"/>
    <w:rsid w:val="003F3815"/>
    <w:rsid w:val="003F3CDE"/>
    <w:rsid w:val="003F5AFF"/>
    <w:rsid w:val="003F67FF"/>
    <w:rsid w:val="003F6B11"/>
    <w:rsid w:val="003F7648"/>
    <w:rsid w:val="00400878"/>
    <w:rsid w:val="00401497"/>
    <w:rsid w:val="00402217"/>
    <w:rsid w:val="00403BB6"/>
    <w:rsid w:val="0040535C"/>
    <w:rsid w:val="00405CE5"/>
    <w:rsid w:val="00405DEB"/>
    <w:rsid w:val="00406085"/>
    <w:rsid w:val="00406E3A"/>
    <w:rsid w:val="004104C2"/>
    <w:rsid w:val="00410E74"/>
    <w:rsid w:val="00411589"/>
    <w:rsid w:val="00411D37"/>
    <w:rsid w:val="00411DDD"/>
    <w:rsid w:val="00413292"/>
    <w:rsid w:val="00413E45"/>
    <w:rsid w:val="0041436E"/>
    <w:rsid w:val="0041582C"/>
    <w:rsid w:val="0041650A"/>
    <w:rsid w:val="00416C7B"/>
    <w:rsid w:val="00416D1D"/>
    <w:rsid w:val="00417A28"/>
    <w:rsid w:val="00421E2B"/>
    <w:rsid w:val="00422025"/>
    <w:rsid w:val="0042204D"/>
    <w:rsid w:val="0042350B"/>
    <w:rsid w:val="004239C3"/>
    <w:rsid w:val="00424578"/>
    <w:rsid w:val="00424DE1"/>
    <w:rsid w:val="0042608D"/>
    <w:rsid w:val="00427916"/>
    <w:rsid w:val="00427EE6"/>
    <w:rsid w:val="00431F22"/>
    <w:rsid w:val="00433217"/>
    <w:rsid w:val="004353C1"/>
    <w:rsid w:val="00436D72"/>
    <w:rsid w:val="00437936"/>
    <w:rsid w:val="004406DF"/>
    <w:rsid w:val="0044075D"/>
    <w:rsid w:val="004428C6"/>
    <w:rsid w:val="004429D3"/>
    <w:rsid w:val="00442CAA"/>
    <w:rsid w:val="00444C58"/>
    <w:rsid w:val="00445125"/>
    <w:rsid w:val="00446B13"/>
    <w:rsid w:val="00450F69"/>
    <w:rsid w:val="00451163"/>
    <w:rsid w:val="00453CB9"/>
    <w:rsid w:val="00453D17"/>
    <w:rsid w:val="00454BB3"/>
    <w:rsid w:val="00455B41"/>
    <w:rsid w:val="00455B7B"/>
    <w:rsid w:val="00457530"/>
    <w:rsid w:val="00457668"/>
    <w:rsid w:val="004576AC"/>
    <w:rsid w:val="00461586"/>
    <w:rsid w:val="00463148"/>
    <w:rsid w:val="00463153"/>
    <w:rsid w:val="00463D68"/>
    <w:rsid w:val="004640C5"/>
    <w:rsid w:val="00466189"/>
    <w:rsid w:val="00466F2F"/>
    <w:rsid w:val="00467D06"/>
    <w:rsid w:val="00472422"/>
    <w:rsid w:val="004729FE"/>
    <w:rsid w:val="00473711"/>
    <w:rsid w:val="00474027"/>
    <w:rsid w:val="00474F0B"/>
    <w:rsid w:val="004752DD"/>
    <w:rsid w:val="00475B27"/>
    <w:rsid w:val="00476A7E"/>
    <w:rsid w:val="00476D75"/>
    <w:rsid w:val="00476F5B"/>
    <w:rsid w:val="00477649"/>
    <w:rsid w:val="00480090"/>
    <w:rsid w:val="004811C8"/>
    <w:rsid w:val="0048136F"/>
    <w:rsid w:val="00481B2F"/>
    <w:rsid w:val="00482721"/>
    <w:rsid w:val="00482BB8"/>
    <w:rsid w:val="00484529"/>
    <w:rsid w:val="00484C57"/>
    <w:rsid w:val="00485AFD"/>
    <w:rsid w:val="00491D05"/>
    <w:rsid w:val="0049319B"/>
    <w:rsid w:val="0049478D"/>
    <w:rsid w:val="00495008"/>
    <w:rsid w:val="0049507C"/>
    <w:rsid w:val="004971C9"/>
    <w:rsid w:val="004974D0"/>
    <w:rsid w:val="004A111B"/>
    <w:rsid w:val="004A1477"/>
    <w:rsid w:val="004A2F7B"/>
    <w:rsid w:val="004A3B63"/>
    <w:rsid w:val="004A4DDE"/>
    <w:rsid w:val="004A4EFE"/>
    <w:rsid w:val="004A5FC1"/>
    <w:rsid w:val="004A6049"/>
    <w:rsid w:val="004A7ED5"/>
    <w:rsid w:val="004B45EC"/>
    <w:rsid w:val="004B5146"/>
    <w:rsid w:val="004B57D8"/>
    <w:rsid w:val="004B6008"/>
    <w:rsid w:val="004B68EF"/>
    <w:rsid w:val="004B7133"/>
    <w:rsid w:val="004B7991"/>
    <w:rsid w:val="004B7FA1"/>
    <w:rsid w:val="004C0079"/>
    <w:rsid w:val="004C0375"/>
    <w:rsid w:val="004C0463"/>
    <w:rsid w:val="004C1211"/>
    <w:rsid w:val="004C18D6"/>
    <w:rsid w:val="004C21DE"/>
    <w:rsid w:val="004C227D"/>
    <w:rsid w:val="004C3DE3"/>
    <w:rsid w:val="004C46AF"/>
    <w:rsid w:val="004C4A5C"/>
    <w:rsid w:val="004C4C19"/>
    <w:rsid w:val="004C4DE6"/>
    <w:rsid w:val="004C58B8"/>
    <w:rsid w:val="004C5A67"/>
    <w:rsid w:val="004C5DD9"/>
    <w:rsid w:val="004C7967"/>
    <w:rsid w:val="004C7F19"/>
    <w:rsid w:val="004D0140"/>
    <w:rsid w:val="004D11F1"/>
    <w:rsid w:val="004D347D"/>
    <w:rsid w:val="004D3BF9"/>
    <w:rsid w:val="004D4A9D"/>
    <w:rsid w:val="004D509D"/>
    <w:rsid w:val="004D61AC"/>
    <w:rsid w:val="004D6376"/>
    <w:rsid w:val="004D78C7"/>
    <w:rsid w:val="004E1BA7"/>
    <w:rsid w:val="004E25C8"/>
    <w:rsid w:val="004E2B64"/>
    <w:rsid w:val="004E302D"/>
    <w:rsid w:val="004E3C56"/>
    <w:rsid w:val="004E41D6"/>
    <w:rsid w:val="004E54C8"/>
    <w:rsid w:val="004F1E54"/>
    <w:rsid w:val="004F2393"/>
    <w:rsid w:val="004F3B6F"/>
    <w:rsid w:val="004F3E94"/>
    <w:rsid w:val="004F621D"/>
    <w:rsid w:val="004F62AF"/>
    <w:rsid w:val="004F6E8B"/>
    <w:rsid w:val="004F6F2D"/>
    <w:rsid w:val="004F75C3"/>
    <w:rsid w:val="004F7E67"/>
    <w:rsid w:val="0050023A"/>
    <w:rsid w:val="0050097C"/>
    <w:rsid w:val="00502176"/>
    <w:rsid w:val="00502391"/>
    <w:rsid w:val="005034A0"/>
    <w:rsid w:val="00503D38"/>
    <w:rsid w:val="00504503"/>
    <w:rsid w:val="005050FF"/>
    <w:rsid w:val="00507218"/>
    <w:rsid w:val="00510C53"/>
    <w:rsid w:val="005110F8"/>
    <w:rsid w:val="00511B6B"/>
    <w:rsid w:val="00512741"/>
    <w:rsid w:val="0051403E"/>
    <w:rsid w:val="005147BF"/>
    <w:rsid w:val="00514B22"/>
    <w:rsid w:val="00515618"/>
    <w:rsid w:val="00515724"/>
    <w:rsid w:val="00515915"/>
    <w:rsid w:val="005167F9"/>
    <w:rsid w:val="00516E9C"/>
    <w:rsid w:val="005172CD"/>
    <w:rsid w:val="0051775A"/>
    <w:rsid w:val="005200CF"/>
    <w:rsid w:val="005201CF"/>
    <w:rsid w:val="005209A4"/>
    <w:rsid w:val="005213BD"/>
    <w:rsid w:val="00522D82"/>
    <w:rsid w:val="00522F8F"/>
    <w:rsid w:val="005241C8"/>
    <w:rsid w:val="00524E04"/>
    <w:rsid w:val="005255D1"/>
    <w:rsid w:val="00526A0E"/>
    <w:rsid w:val="005277D0"/>
    <w:rsid w:val="0053248E"/>
    <w:rsid w:val="00532606"/>
    <w:rsid w:val="00533BB0"/>
    <w:rsid w:val="005343C2"/>
    <w:rsid w:val="00534E60"/>
    <w:rsid w:val="00535191"/>
    <w:rsid w:val="005371A1"/>
    <w:rsid w:val="0053770A"/>
    <w:rsid w:val="00540777"/>
    <w:rsid w:val="0054297E"/>
    <w:rsid w:val="005431B1"/>
    <w:rsid w:val="005449E1"/>
    <w:rsid w:val="005453F7"/>
    <w:rsid w:val="0054578E"/>
    <w:rsid w:val="00545917"/>
    <w:rsid w:val="00545A81"/>
    <w:rsid w:val="00546130"/>
    <w:rsid w:val="005464CF"/>
    <w:rsid w:val="005464DD"/>
    <w:rsid w:val="005466F6"/>
    <w:rsid w:val="00550039"/>
    <w:rsid w:val="00552CE3"/>
    <w:rsid w:val="00552D05"/>
    <w:rsid w:val="00552E13"/>
    <w:rsid w:val="00553081"/>
    <w:rsid w:val="00553C22"/>
    <w:rsid w:val="0055431A"/>
    <w:rsid w:val="00554715"/>
    <w:rsid w:val="00554D99"/>
    <w:rsid w:val="005550EF"/>
    <w:rsid w:val="00555582"/>
    <w:rsid w:val="005557D4"/>
    <w:rsid w:val="005578BF"/>
    <w:rsid w:val="00560AC0"/>
    <w:rsid w:val="00562844"/>
    <w:rsid w:val="0056297F"/>
    <w:rsid w:val="0056325C"/>
    <w:rsid w:val="005716D5"/>
    <w:rsid w:val="00571B3A"/>
    <w:rsid w:val="00573B30"/>
    <w:rsid w:val="00575112"/>
    <w:rsid w:val="00575472"/>
    <w:rsid w:val="00576EA4"/>
    <w:rsid w:val="00576EBA"/>
    <w:rsid w:val="00576F28"/>
    <w:rsid w:val="00577799"/>
    <w:rsid w:val="005777D0"/>
    <w:rsid w:val="0057792C"/>
    <w:rsid w:val="00580229"/>
    <w:rsid w:val="00581158"/>
    <w:rsid w:val="005814FF"/>
    <w:rsid w:val="005836E2"/>
    <w:rsid w:val="00584180"/>
    <w:rsid w:val="005848EE"/>
    <w:rsid w:val="00584C64"/>
    <w:rsid w:val="00584CBA"/>
    <w:rsid w:val="005859E8"/>
    <w:rsid w:val="00585ACC"/>
    <w:rsid w:val="0058606B"/>
    <w:rsid w:val="005864E0"/>
    <w:rsid w:val="00586505"/>
    <w:rsid w:val="0058655C"/>
    <w:rsid w:val="005876B0"/>
    <w:rsid w:val="00587C23"/>
    <w:rsid w:val="00591E7A"/>
    <w:rsid w:val="00592701"/>
    <w:rsid w:val="00592F21"/>
    <w:rsid w:val="00595212"/>
    <w:rsid w:val="00595C9D"/>
    <w:rsid w:val="00595DED"/>
    <w:rsid w:val="00597DD2"/>
    <w:rsid w:val="005A0136"/>
    <w:rsid w:val="005A0A61"/>
    <w:rsid w:val="005A197F"/>
    <w:rsid w:val="005A2FE7"/>
    <w:rsid w:val="005A4A80"/>
    <w:rsid w:val="005A5224"/>
    <w:rsid w:val="005A64CA"/>
    <w:rsid w:val="005A65C2"/>
    <w:rsid w:val="005A6626"/>
    <w:rsid w:val="005A6C71"/>
    <w:rsid w:val="005A7665"/>
    <w:rsid w:val="005B10BC"/>
    <w:rsid w:val="005B12A7"/>
    <w:rsid w:val="005B12C7"/>
    <w:rsid w:val="005B3C3C"/>
    <w:rsid w:val="005B680B"/>
    <w:rsid w:val="005B7E59"/>
    <w:rsid w:val="005C0047"/>
    <w:rsid w:val="005C057E"/>
    <w:rsid w:val="005C087B"/>
    <w:rsid w:val="005C1B91"/>
    <w:rsid w:val="005C1F7C"/>
    <w:rsid w:val="005C515D"/>
    <w:rsid w:val="005C5674"/>
    <w:rsid w:val="005C5EE7"/>
    <w:rsid w:val="005C6C00"/>
    <w:rsid w:val="005D0DF8"/>
    <w:rsid w:val="005D0E56"/>
    <w:rsid w:val="005D2BD0"/>
    <w:rsid w:val="005D3609"/>
    <w:rsid w:val="005D4876"/>
    <w:rsid w:val="005D4A74"/>
    <w:rsid w:val="005D5D9F"/>
    <w:rsid w:val="005D5EE6"/>
    <w:rsid w:val="005D6E9E"/>
    <w:rsid w:val="005D6F67"/>
    <w:rsid w:val="005D70B1"/>
    <w:rsid w:val="005E05B5"/>
    <w:rsid w:val="005E0A61"/>
    <w:rsid w:val="005E13DC"/>
    <w:rsid w:val="005E1F3E"/>
    <w:rsid w:val="005E2FEA"/>
    <w:rsid w:val="005E33C8"/>
    <w:rsid w:val="005E34D2"/>
    <w:rsid w:val="005E5283"/>
    <w:rsid w:val="005E5E96"/>
    <w:rsid w:val="005E644F"/>
    <w:rsid w:val="005E6BD7"/>
    <w:rsid w:val="005E6DCF"/>
    <w:rsid w:val="005E77FC"/>
    <w:rsid w:val="005F1DF6"/>
    <w:rsid w:val="005F203B"/>
    <w:rsid w:val="005F284F"/>
    <w:rsid w:val="005F37F9"/>
    <w:rsid w:val="005F42FA"/>
    <w:rsid w:val="00601AAC"/>
    <w:rsid w:val="006051F1"/>
    <w:rsid w:val="0060554F"/>
    <w:rsid w:val="00606851"/>
    <w:rsid w:val="0060685D"/>
    <w:rsid w:val="00606EE5"/>
    <w:rsid w:val="006070D6"/>
    <w:rsid w:val="006075D6"/>
    <w:rsid w:val="00607B21"/>
    <w:rsid w:val="00613DAD"/>
    <w:rsid w:val="00616611"/>
    <w:rsid w:val="00622F96"/>
    <w:rsid w:val="00624DCA"/>
    <w:rsid w:val="00625EDC"/>
    <w:rsid w:val="0063013C"/>
    <w:rsid w:val="00630619"/>
    <w:rsid w:val="00630AF2"/>
    <w:rsid w:val="00630DD8"/>
    <w:rsid w:val="00630EB1"/>
    <w:rsid w:val="00631A11"/>
    <w:rsid w:val="00631E41"/>
    <w:rsid w:val="00632A92"/>
    <w:rsid w:val="00632DCE"/>
    <w:rsid w:val="0063379A"/>
    <w:rsid w:val="00634EF4"/>
    <w:rsid w:val="00634F07"/>
    <w:rsid w:val="00636152"/>
    <w:rsid w:val="0063695E"/>
    <w:rsid w:val="0063753E"/>
    <w:rsid w:val="00637C40"/>
    <w:rsid w:val="006424EB"/>
    <w:rsid w:val="00643239"/>
    <w:rsid w:val="00643638"/>
    <w:rsid w:val="006446B5"/>
    <w:rsid w:val="0064527A"/>
    <w:rsid w:val="006461BF"/>
    <w:rsid w:val="00647FBE"/>
    <w:rsid w:val="00651E14"/>
    <w:rsid w:val="00652EB5"/>
    <w:rsid w:val="00655728"/>
    <w:rsid w:val="00655ECE"/>
    <w:rsid w:val="006600ED"/>
    <w:rsid w:val="00660BC2"/>
    <w:rsid w:val="00661646"/>
    <w:rsid w:val="00663B38"/>
    <w:rsid w:val="00664D9F"/>
    <w:rsid w:val="00665520"/>
    <w:rsid w:val="0067219B"/>
    <w:rsid w:val="00672D34"/>
    <w:rsid w:val="0067411B"/>
    <w:rsid w:val="00674625"/>
    <w:rsid w:val="00675405"/>
    <w:rsid w:val="0067551B"/>
    <w:rsid w:val="00675CF5"/>
    <w:rsid w:val="00676001"/>
    <w:rsid w:val="00676340"/>
    <w:rsid w:val="006777A4"/>
    <w:rsid w:val="00677819"/>
    <w:rsid w:val="00677E64"/>
    <w:rsid w:val="00680F95"/>
    <w:rsid w:val="00682354"/>
    <w:rsid w:val="00682E5A"/>
    <w:rsid w:val="006849F5"/>
    <w:rsid w:val="00685FA9"/>
    <w:rsid w:val="00686658"/>
    <w:rsid w:val="006877BE"/>
    <w:rsid w:val="00687860"/>
    <w:rsid w:val="00687980"/>
    <w:rsid w:val="00690FD4"/>
    <w:rsid w:val="00691B31"/>
    <w:rsid w:val="0069234E"/>
    <w:rsid w:val="0069266B"/>
    <w:rsid w:val="00692867"/>
    <w:rsid w:val="00693193"/>
    <w:rsid w:val="00693368"/>
    <w:rsid w:val="006936FC"/>
    <w:rsid w:val="00693C1D"/>
    <w:rsid w:val="00693F11"/>
    <w:rsid w:val="00694A0B"/>
    <w:rsid w:val="00694BA3"/>
    <w:rsid w:val="0069529C"/>
    <w:rsid w:val="00695339"/>
    <w:rsid w:val="0069600C"/>
    <w:rsid w:val="00697103"/>
    <w:rsid w:val="006A18A3"/>
    <w:rsid w:val="006A193E"/>
    <w:rsid w:val="006A1B4F"/>
    <w:rsid w:val="006A3716"/>
    <w:rsid w:val="006A3C57"/>
    <w:rsid w:val="006A3E77"/>
    <w:rsid w:val="006A3F51"/>
    <w:rsid w:val="006A5A43"/>
    <w:rsid w:val="006A5EF7"/>
    <w:rsid w:val="006A7E34"/>
    <w:rsid w:val="006B0019"/>
    <w:rsid w:val="006B1A2B"/>
    <w:rsid w:val="006B2597"/>
    <w:rsid w:val="006B28C6"/>
    <w:rsid w:val="006B341D"/>
    <w:rsid w:val="006B4141"/>
    <w:rsid w:val="006B4A50"/>
    <w:rsid w:val="006B6C98"/>
    <w:rsid w:val="006C436C"/>
    <w:rsid w:val="006C478D"/>
    <w:rsid w:val="006C60C1"/>
    <w:rsid w:val="006C6F17"/>
    <w:rsid w:val="006C7543"/>
    <w:rsid w:val="006C7F21"/>
    <w:rsid w:val="006D03CA"/>
    <w:rsid w:val="006D0A23"/>
    <w:rsid w:val="006D0AE1"/>
    <w:rsid w:val="006D26B7"/>
    <w:rsid w:val="006D27D9"/>
    <w:rsid w:val="006D2E7F"/>
    <w:rsid w:val="006D3CE6"/>
    <w:rsid w:val="006D3D1F"/>
    <w:rsid w:val="006D46AA"/>
    <w:rsid w:val="006D55EF"/>
    <w:rsid w:val="006D5AA9"/>
    <w:rsid w:val="006D634F"/>
    <w:rsid w:val="006D63AB"/>
    <w:rsid w:val="006D6C7C"/>
    <w:rsid w:val="006D736C"/>
    <w:rsid w:val="006D7FC9"/>
    <w:rsid w:val="006E1262"/>
    <w:rsid w:val="006E66D9"/>
    <w:rsid w:val="006E6DF5"/>
    <w:rsid w:val="006E7269"/>
    <w:rsid w:val="006E739C"/>
    <w:rsid w:val="006E7BDE"/>
    <w:rsid w:val="006F0848"/>
    <w:rsid w:val="006F1F97"/>
    <w:rsid w:val="006F359D"/>
    <w:rsid w:val="006F4171"/>
    <w:rsid w:val="006F4350"/>
    <w:rsid w:val="006F460A"/>
    <w:rsid w:val="006F472F"/>
    <w:rsid w:val="006F51D4"/>
    <w:rsid w:val="006F540A"/>
    <w:rsid w:val="006F6393"/>
    <w:rsid w:val="00700632"/>
    <w:rsid w:val="00700E49"/>
    <w:rsid w:val="0070152D"/>
    <w:rsid w:val="00701895"/>
    <w:rsid w:val="00701D64"/>
    <w:rsid w:val="0070241A"/>
    <w:rsid w:val="007027C9"/>
    <w:rsid w:val="00704D0E"/>
    <w:rsid w:val="00707D52"/>
    <w:rsid w:val="00707E95"/>
    <w:rsid w:val="00710F34"/>
    <w:rsid w:val="0071126F"/>
    <w:rsid w:val="00711402"/>
    <w:rsid w:val="00712426"/>
    <w:rsid w:val="007127F3"/>
    <w:rsid w:val="0071309E"/>
    <w:rsid w:val="007132D6"/>
    <w:rsid w:val="0071596D"/>
    <w:rsid w:val="00715D7E"/>
    <w:rsid w:val="00720A2C"/>
    <w:rsid w:val="00720A30"/>
    <w:rsid w:val="00720C1F"/>
    <w:rsid w:val="00720D25"/>
    <w:rsid w:val="007211F9"/>
    <w:rsid w:val="0072160E"/>
    <w:rsid w:val="007217EA"/>
    <w:rsid w:val="00722825"/>
    <w:rsid w:val="0072329E"/>
    <w:rsid w:val="007259C9"/>
    <w:rsid w:val="0072624D"/>
    <w:rsid w:val="007275B9"/>
    <w:rsid w:val="0073050B"/>
    <w:rsid w:val="007307C0"/>
    <w:rsid w:val="0073173D"/>
    <w:rsid w:val="00731AF6"/>
    <w:rsid w:val="00731F7E"/>
    <w:rsid w:val="007323F5"/>
    <w:rsid w:val="007333AE"/>
    <w:rsid w:val="007345DF"/>
    <w:rsid w:val="00735048"/>
    <w:rsid w:val="0073506F"/>
    <w:rsid w:val="00736B22"/>
    <w:rsid w:val="00741C23"/>
    <w:rsid w:val="00741D46"/>
    <w:rsid w:val="00743590"/>
    <w:rsid w:val="00746D0C"/>
    <w:rsid w:val="007471E0"/>
    <w:rsid w:val="007479D2"/>
    <w:rsid w:val="00750D12"/>
    <w:rsid w:val="007528CC"/>
    <w:rsid w:val="00752F65"/>
    <w:rsid w:val="00753BFD"/>
    <w:rsid w:val="00753DBD"/>
    <w:rsid w:val="00753F3B"/>
    <w:rsid w:val="0075505B"/>
    <w:rsid w:val="00755851"/>
    <w:rsid w:val="00756225"/>
    <w:rsid w:val="00756804"/>
    <w:rsid w:val="00760282"/>
    <w:rsid w:val="00760455"/>
    <w:rsid w:val="007604D4"/>
    <w:rsid w:val="00761035"/>
    <w:rsid w:val="007614F2"/>
    <w:rsid w:val="007637A0"/>
    <w:rsid w:val="00765356"/>
    <w:rsid w:val="00765DDB"/>
    <w:rsid w:val="00766B5A"/>
    <w:rsid w:val="00766B9F"/>
    <w:rsid w:val="0076713C"/>
    <w:rsid w:val="00770489"/>
    <w:rsid w:val="00770578"/>
    <w:rsid w:val="00771B12"/>
    <w:rsid w:val="00771C5F"/>
    <w:rsid w:val="00775CB3"/>
    <w:rsid w:val="007772C0"/>
    <w:rsid w:val="00777819"/>
    <w:rsid w:val="00782030"/>
    <w:rsid w:val="007823B3"/>
    <w:rsid w:val="00782750"/>
    <w:rsid w:val="0078287F"/>
    <w:rsid w:val="0078388C"/>
    <w:rsid w:val="007846E9"/>
    <w:rsid w:val="00784E73"/>
    <w:rsid w:val="00785217"/>
    <w:rsid w:val="007864F0"/>
    <w:rsid w:val="00787142"/>
    <w:rsid w:val="00790BB7"/>
    <w:rsid w:val="007928E9"/>
    <w:rsid w:val="00792DAF"/>
    <w:rsid w:val="00792ECF"/>
    <w:rsid w:val="00793BD1"/>
    <w:rsid w:val="0079436D"/>
    <w:rsid w:val="00795A93"/>
    <w:rsid w:val="00797415"/>
    <w:rsid w:val="007A0D65"/>
    <w:rsid w:val="007A2608"/>
    <w:rsid w:val="007A291F"/>
    <w:rsid w:val="007A386A"/>
    <w:rsid w:val="007A3E5C"/>
    <w:rsid w:val="007A46F3"/>
    <w:rsid w:val="007A4E50"/>
    <w:rsid w:val="007A581A"/>
    <w:rsid w:val="007A660D"/>
    <w:rsid w:val="007A744B"/>
    <w:rsid w:val="007B26F7"/>
    <w:rsid w:val="007B28A3"/>
    <w:rsid w:val="007B2A22"/>
    <w:rsid w:val="007B3024"/>
    <w:rsid w:val="007B3460"/>
    <w:rsid w:val="007B4156"/>
    <w:rsid w:val="007B4B3E"/>
    <w:rsid w:val="007B5C94"/>
    <w:rsid w:val="007B65C2"/>
    <w:rsid w:val="007B75F9"/>
    <w:rsid w:val="007B7F3A"/>
    <w:rsid w:val="007C00D8"/>
    <w:rsid w:val="007C0E92"/>
    <w:rsid w:val="007C1697"/>
    <w:rsid w:val="007C181D"/>
    <w:rsid w:val="007C2E6F"/>
    <w:rsid w:val="007C30F7"/>
    <w:rsid w:val="007C38A5"/>
    <w:rsid w:val="007C40BD"/>
    <w:rsid w:val="007C46FC"/>
    <w:rsid w:val="007C5F76"/>
    <w:rsid w:val="007C6717"/>
    <w:rsid w:val="007C7D70"/>
    <w:rsid w:val="007D21FA"/>
    <w:rsid w:val="007D2B25"/>
    <w:rsid w:val="007D3B78"/>
    <w:rsid w:val="007D5793"/>
    <w:rsid w:val="007D582A"/>
    <w:rsid w:val="007D5E08"/>
    <w:rsid w:val="007D6CDD"/>
    <w:rsid w:val="007D6D2E"/>
    <w:rsid w:val="007D7072"/>
    <w:rsid w:val="007E091D"/>
    <w:rsid w:val="007E5E69"/>
    <w:rsid w:val="007E69A0"/>
    <w:rsid w:val="007E6FAA"/>
    <w:rsid w:val="007F22AE"/>
    <w:rsid w:val="007F2FD5"/>
    <w:rsid w:val="007F3A4D"/>
    <w:rsid w:val="007F3B1E"/>
    <w:rsid w:val="007F3B8D"/>
    <w:rsid w:val="007F4D9B"/>
    <w:rsid w:val="007F5803"/>
    <w:rsid w:val="007F5A81"/>
    <w:rsid w:val="007F65F6"/>
    <w:rsid w:val="007F6E25"/>
    <w:rsid w:val="0080254A"/>
    <w:rsid w:val="00802740"/>
    <w:rsid w:val="00802C36"/>
    <w:rsid w:val="008031FA"/>
    <w:rsid w:val="008031FF"/>
    <w:rsid w:val="00803821"/>
    <w:rsid w:val="008039E1"/>
    <w:rsid w:val="008039EE"/>
    <w:rsid w:val="00803FD1"/>
    <w:rsid w:val="00804709"/>
    <w:rsid w:val="00804917"/>
    <w:rsid w:val="00805B8F"/>
    <w:rsid w:val="008068CE"/>
    <w:rsid w:val="00810588"/>
    <w:rsid w:val="00811929"/>
    <w:rsid w:val="00811EAE"/>
    <w:rsid w:val="008124C8"/>
    <w:rsid w:val="00813B9C"/>
    <w:rsid w:val="008144E4"/>
    <w:rsid w:val="008147E9"/>
    <w:rsid w:val="00816D91"/>
    <w:rsid w:val="00816E35"/>
    <w:rsid w:val="00817438"/>
    <w:rsid w:val="008174BC"/>
    <w:rsid w:val="00817809"/>
    <w:rsid w:val="00821907"/>
    <w:rsid w:val="008228E0"/>
    <w:rsid w:val="00823CF1"/>
    <w:rsid w:val="00823E8D"/>
    <w:rsid w:val="008244D2"/>
    <w:rsid w:val="008270C4"/>
    <w:rsid w:val="00827522"/>
    <w:rsid w:val="00827A00"/>
    <w:rsid w:val="00830586"/>
    <w:rsid w:val="0083209B"/>
    <w:rsid w:val="008321E8"/>
    <w:rsid w:val="00832AD2"/>
    <w:rsid w:val="00835613"/>
    <w:rsid w:val="00836279"/>
    <w:rsid w:val="00836658"/>
    <w:rsid w:val="00837D9C"/>
    <w:rsid w:val="0084053D"/>
    <w:rsid w:val="00845884"/>
    <w:rsid w:val="008476A4"/>
    <w:rsid w:val="00847D37"/>
    <w:rsid w:val="008514A8"/>
    <w:rsid w:val="00851704"/>
    <w:rsid w:val="008519A8"/>
    <w:rsid w:val="00851B3D"/>
    <w:rsid w:val="00852BB3"/>
    <w:rsid w:val="0085309F"/>
    <w:rsid w:val="00853513"/>
    <w:rsid w:val="008537BC"/>
    <w:rsid w:val="00853C11"/>
    <w:rsid w:val="00853E70"/>
    <w:rsid w:val="008545C9"/>
    <w:rsid w:val="008556CA"/>
    <w:rsid w:val="00856D97"/>
    <w:rsid w:val="00857152"/>
    <w:rsid w:val="00857F71"/>
    <w:rsid w:val="00861BA5"/>
    <w:rsid w:val="00861C05"/>
    <w:rsid w:val="00861C32"/>
    <w:rsid w:val="00862E2D"/>
    <w:rsid w:val="0086337A"/>
    <w:rsid w:val="008639F9"/>
    <w:rsid w:val="00865136"/>
    <w:rsid w:val="00865F5A"/>
    <w:rsid w:val="00866836"/>
    <w:rsid w:val="00866C74"/>
    <w:rsid w:val="008702B1"/>
    <w:rsid w:val="008706CF"/>
    <w:rsid w:val="00870A4C"/>
    <w:rsid w:val="00871458"/>
    <w:rsid w:val="008714F4"/>
    <w:rsid w:val="00871E00"/>
    <w:rsid w:val="00872BFC"/>
    <w:rsid w:val="00873BCC"/>
    <w:rsid w:val="00874C52"/>
    <w:rsid w:val="00881550"/>
    <w:rsid w:val="00882D6B"/>
    <w:rsid w:val="0088364C"/>
    <w:rsid w:val="0088397C"/>
    <w:rsid w:val="008841EC"/>
    <w:rsid w:val="00884271"/>
    <w:rsid w:val="00884925"/>
    <w:rsid w:val="008849DE"/>
    <w:rsid w:val="00884ED3"/>
    <w:rsid w:val="008858D5"/>
    <w:rsid w:val="00886495"/>
    <w:rsid w:val="00887F56"/>
    <w:rsid w:val="00891590"/>
    <w:rsid w:val="00892C37"/>
    <w:rsid w:val="00893701"/>
    <w:rsid w:val="0089374F"/>
    <w:rsid w:val="00894291"/>
    <w:rsid w:val="008956D3"/>
    <w:rsid w:val="008964DC"/>
    <w:rsid w:val="0089796F"/>
    <w:rsid w:val="008A0DC7"/>
    <w:rsid w:val="008A18EF"/>
    <w:rsid w:val="008A2EB0"/>
    <w:rsid w:val="008A3D64"/>
    <w:rsid w:val="008A620D"/>
    <w:rsid w:val="008A6BDD"/>
    <w:rsid w:val="008B0056"/>
    <w:rsid w:val="008B0383"/>
    <w:rsid w:val="008B1963"/>
    <w:rsid w:val="008B1AD7"/>
    <w:rsid w:val="008B4730"/>
    <w:rsid w:val="008B47E8"/>
    <w:rsid w:val="008B49B9"/>
    <w:rsid w:val="008B4FB6"/>
    <w:rsid w:val="008B5D61"/>
    <w:rsid w:val="008B6FA2"/>
    <w:rsid w:val="008B7131"/>
    <w:rsid w:val="008B7618"/>
    <w:rsid w:val="008C0651"/>
    <w:rsid w:val="008C1BCB"/>
    <w:rsid w:val="008C3817"/>
    <w:rsid w:val="008C4408"/>
    <w:rsid w:val="008C46E3"/>
    <w:rsid w:val="008C59C7"/>
    <w:rsid w:val="008C652B"/>
    <w:rsid w:val="008C7885"/>
    <w:rsid w:val="008C7993"/>
    <w:rsid w:val="008D17DF"/>
    <w:rsid w:val="008D24D5"/>
    <w:rsid w:val="008D2E13"/>
    <w:rsid w:val="008D5C91"/>
    <w:rsid w:val="008D689A"/>
    <w:rsid w:val="008D777A"/>
    <w:rsid w:val="008E169C"/>
    <w:rsid w:val="008E1B2D"/>
    <w:rsid w:val="008E1C3A"/>
    <w:rsid w:val="008E3CEF"/>
    <w:rsid w:val="008E3D4F"/>
    <w:rsid w:val="008E4ADE"/>
    <w:rsid w:val="008E71B8"/>
    <w:rsid w:val="008E71DF"/>
    <w:rsid w:val="008E7454"/>
    <w:rsid w:val="008E787A"/>
    <w:rsid w:val="008F094C"/>
    <w:rsid w:val="008F2649"/>
    <w:rsid w:val="008F3FDE"/>
    <w:rsid w:val="008F5616"/>
    <w:rsid w:val="008F6081"/>
    <w:rsid w:val="008F6348"/>
    <w:rsid w:val="008F7255"/>
    <w:rsid w:val="008F74DF"/>
    <w:rsid w:val="008F77CC"/>
    <w:rsid w:val="008F7FA3"/>
    <w:rsid w:val="009006F9"/>
    <w:rsid w:val="00901EF0"/>
    <w:rsid w:val="00902720"/>
    <w:rsid w:val="009078F5"/>
    <w:rsid w:val="00907AA2"/>
    <w:rsid w:val="00907B7B"/>
    <w:rsid w:val="00907DFA"/>
    <w:rsid w:val="0091121F"/>
    <w:rsid w:val="009112A9"/>
    <w:rsid w:val="00912A4E"/>
    <w:rsid w:val="00912B35"/>
    <w:rsid w:val="00912E65"/>
    <w:rsid w:val="00913011"/>
    <w:rsid w:val="0091357E"/>
    <w:rsid w:val="009135DD"/>
    <w:rsid w:val="009136B8"/>
    <w:rsid w:val="00914A77"/>
    <w:rsid w:val="00916746"/>
    <w:rsid w:val="00916D19"/>
    <w:rsid w:val="00917040"/>
    <w:rsid w:val="009176E7"/>
    <w:rsid w:val="0092167D"/>
    <w:rsid w:val="009224B9"/>
    <w:rsid w:val="009234ED"/>
    <w:rsid w:val="00923723"/>
    <w:rsid w:val="00924078"/>
    <w:rsid w:val="009250A6"/>
    <w:rsid w:val="009253C5"/>
    <w:rsid w:val="00925669"/>
    <w:rsid w:val="00926764"/>
    <w:rsid w:val="00926C47"/>
    <w:rsid w:val="00926CA4"/>
    <w:rsid w:val="00926D86"/>
    <w:rsid w:val="00931DDC"/>
    <w:rsid w:val="009324BE"/>
    <w:rsid w:val="00932C9A"/>
    <w:rsid w:val="00933C31"/>
    <w:rsid w:val="0093454B"/>
    <w:rsid w:val="00934E7F"/>
    <w:rsid w:val="009350C6"/>
    <w:rsid w:val="00935187"/>
    <w:rsid w:val="0093575A"/>
    <w:rsid w:val="0093588D"/>
    <w:rsid w:val="00935CB8"/>
    <w:rsid w:val="009363ED"/>
    <w:rsid w:val="00936B0D"/>
    <w:rsid w:val="00936C09"/>
    <w:rsid w:val="00936CA2"/>
    <w:rsid w:val="00937917"/>
    <w:rsid w:val="00937FA9"/>
    <w:rsid w:val="00941523"/>
    <w:rsid w:val="00943273"/>
    <w:rsid w:val="0094395E"/>
    <w:rsid w:val="0094474A"/>
    <w:rsid w:val="00944864"/>
    <w:rsid w:val="00944865"/>
    <w:rsid w:val="00944C6D"/>
    <w:rsid w:val="00945249"/>
    <w:rsid w:val="00946D2A"/>
    <w:rsid w:val="009473A3"/>
    <w:rsid w:val="009475D7"/>
    <w:rsid w:val="00947E96"/>
    <w:rsid w:val="009509A3"/>
    <w:rsid w:val="00951562"/>
    <w:rsid w:val="00951576"/>
    <w:rsid w:val="00951973"/>
    <w:rsid w:val="009526E0"/>
    <w:rsid w:val="00952EA3"/>
    <w:rsid w:val="00953A26"/>
    <w:rsid w:val="00953F80"/>
    <w:rsid w:val="00954370"/>
    <w:rsid w:val="009554FA"/>
    <w:rsid w:val="00955802"/>
    <w:rsid w:val="00955B0B"/>
    <w:rsid w:val="009567A9"/>
    <w:rsid w:val="00957728"/>
    <w:rsid w:val="00957FC9"/>
    <w:rsid w:val="0096096B"/>
    <w:rsid w:val="00960C61"/>
    <w:rsid w:val="0096121F"/>
    <w:rsid w:val="00961946"/>
    <w:rsid w:val="0096221B"/>
    <w:rsid w:val="009622C6"/>
    <w:rsid w:val="0096287C"/>
    <w:rsid w:val="00962BE0"/>
    <w:rsid w:val="009634EC"/>
    <w:rsid w:val="009642F3"/>
    <w:rsid w:val="009644BD"/>
    <w:rsid w:val="009646A6"/>
    <w:rsid w:val="00965DFA"/>
    <w:rsid w:val="00966762"/>
    <w:rsid w:val="009667B5"/>
    <w:rsid w:val="00967096"/>
    <w:rsid w:val="00967324"/>
    <w:rsid w:val="00970CDB"/>
    <w:rsid w:val="009712D2"/>
    <w:rsid w:val="00972719"/>
    <w:rsid w:val="00973203"/>
    <w:rsid w:val="009734DB"/>
    <w:rsid w:val="0097370F"/>
    <w:rsid w:val="00973BAA"/>
    <w:rsid w:val="00975213"/>
    <w:rsid w:val="00976497"/>
    <w:rsid w:val="00976AFA"/>
    <w:rsid w:val="00976EC4"/>
    <w:rsid w:val="009776DD"/>
    <w:rsid w:val="00977F69"/>
    <w:rsid w:val="0098127F"/>
    <w:rsid w:val="00982C11"/>
    <w:rsid w:val="00983125"/>
    <w:rsid w:val="00983B80"/>
    <w:rsid w:val="00983D38"/>
    <w:rsid w:val="00983F3F"/>
    <w:rsid w:val="009842B9"/>
    <w:rsid w:val="009855F1"/>
    <w:rsid w:val="00985BC0"/>
    <w:rsid w:val="00986500"/>
    <w:rsid w:val="00990B3B"/>
    <w:rsid w:val="00990DE5"/>
    <w:rsid w:val="0099175E"/>
    <w:rsid w:val="0099371B"/>
    <w:rsid w:val="00994F02"/>
    <w:rsid w:val="00996342"/>
    <w:rsid w:val="00996BA3"/>
    <w:rsid w:val="009A0580"/>
    <w:rsid w:val="009A26C0"/>
    <w:rsid w:val="009A2F1F"/>
    <w:rsid w:val="009A39B9"/>
    <w:rsid w:val="009A40C8"/>
    <w:rsid w:val="009A4C01"/>
    <w:rsid w:val="009A5A70"/>
    <w:rsid w:val="009A6C97"/>
    <w:rsid w:val="009A7726"/>
    <w:rsid w:val="009B080E"/>
    <w:rsid w:val="009B19DC"/>
    <w:rsid w:val="009B3610"/>
    <w:rsid w:val="009B42C8"/>
    <w:rsid w:val="009B4DE3"/>
    <w:rsid w:val="009B6CEE"/>
    <w:rsid w:val="009C1B00"/>
    <w:rsid w:val="009C1D48"/>
    <w:rsid w:val="009C287A"/>
    <w:rsid w:val="009C3BE9"/>
    <w:rsid w:val="009C44C6"/>
    <w:rsid w:val="009C451B"/>
    <w:rsid w:val="009C69B3"/>
    <w:rsid w:val="009C6CB6"/>
    <w:rsid w:val="009C7CB2"/>
    <w:rsid w:val="009D0601"/>
    <w:rsid w:val="009D0DD4"/>
    <w:rsid w:val="009D342B"/>
    <w:rsid w:val="009D5E5A"/>
    <w:rsid w:val="009D6089"/>
    <w:rsid w:val="009D618B"/>
    <w:rsid w:val="009D671B"/>
    <w:rsid w:val="009D6D26"/>
    <w:rsid w:val="009D74FD"/>
    <w:rsid w:val="009E1187"/>
    <w:rsid w:val="009E1F26"/>
    <w:rsid w:val="009E3E02"/>
    <w:rsid w:val="009E465A"/>
    <w:rsid w:val="009E5FA3"/>
    <w:rsid w:val="009F04E8"/>
    <w:rsid w:val="009F10CB"/>
    <w:rsid w:val="009F18D7"/>
    <w:rsid w:val="009F3A1F"/>
    <w:rsid w:val="009F3BF2"/>
    <w:rsid w:val="009F5F8F"/>
    <w:rsid w:val="009F6E40"/>
    <w:rsid w:val="009F7795"/>
    <w:rsid w:val="00A00483"/>
    <w:rsid w:val="00A01618"/>
    <w:rsid w:val="00A018C6"/>
    <w:rsid w:val="00A01B97"/>
    <w:rsid w:val="00A0292F"/>
    <w:rsid w:val="00A03292"/>
    <w:rsid w:val="00A03352"/>
    <w:rsid w:val="00A03C1C"/>
    <w:rsid w:val="00A06672"/>
    <w:rsid w:val="00A06995"/>
    <w:rsid w:val="00A10C45"/>
    <w:rsid w:val="00A10D24"/>
    <w:rsid w:val="00A114BE"/>
    <w:rsid w:val="00A11C25"/>
    <w:rsid w:val="00A12287"/>
    <w:rsid w:val="00A12307"/>
    <w:rsid w:val="00A12722"/>
    <w:rsid w:val="00A131E6"/>
    <w:rsid w:val="00A13E5E"/>
    <w:rsid w:val="00A15549"/>
    <w:rsid w:val="00A1638F"/>
    <w:rsid w:val="00A20003"/>
    <w:rsid w:val="00A203BB"/>
    <w:rsid w:val="00A262EC"/>
    <w:rsid w:val="00A27675"/>
    <w:rsid w:val="00A30679"/>
    <w:rsid w:val="00A306AF"/>
    <w:rsid w:val="00A30DF0"/>
    <w:rsid w:val="00A31377"/>
    <w:rsid w:val="00A32897"/>
    <w:rsid w:val="00A32F63"/>
    <w:rsid w:val="00A33021"/>
    <w:rsid w:val="00A3384A"/>
    <w:rsid w:val="00A367AB"/>
    <w:rsid w:val="00A375ED"/>
    <w:rsid w:val="00A3783F"/>
    <w:rsid w:val="00A4098B"/>
    <w:rsid w:val="00A4184A"/>
    <w:rsid w:val="00A41AD7"/>
    <w:rsid w:val="00A434FF"/>
    <w:rsid w:val="00A45453"/>
    <w:rsid w:val="00A47517"/>
    <w:rsid w:val="00A5075E"/>
    <w:rsid w:val="00A51429"/>
    <w:rsid w:val="00A52E98"/>
    <w:rsid w:val="00A5363F"/>
    <w:rsid w:val="00A5457C"/>
    <w:rsid w:val="00A554A0"/>
    <w:rsid w:val="00A55EB8"/>
    <w:rsid w:val="00A56900"/>
    <w:rsid w:val="00A5764C"/>
    <w:rsid w:val="00A60006"/>
    <w:rsid w:val="00A6129B"/>
    <w:rsid w:val="00A6261C"/>
    <w:rsid w:val="00A62A9C"/>
    <w:rsid w:val="00A62DBE"/>
    <w:rsid w:val="00A62EFC"/>
    <w:rsid w:val="00A65A02"/>
    <w:rsid w:val="00A66C1D"/>
    <w:rsid w:val="00A67F34"/>
    <w:rsid w:val="00A70B08"/>
    <w:rsid w:val="00A713A7"/>
    <w:rsid w:val="00A72FFC"/>
    <w:rsid w:val="00A73729"/>
    <w:rsid w:val="00A73E05"/>
    <w:rsid w:val="00A751FE"/>
    <w:rsid w:val="00A753C0"/>
    <w:rsid w:val="00A75B67"/>
    <w:rsid w:val="00A75C4E"/>
    <w:rsid w:val="00A76FBF"/>
    <w:rsid w:val="00A771B8"/>
    <w:rsid w:val="00A774E7"/>
    <w:rsid w:val="00A77A54"/>
    <w:rsid w:val="00A77BF6"/>
    <w:rsid w:val="00A8042B"/>
    <w:rsid w:val="00A8108F"/>
    <w:rsid w:val="00A8119F"/>
    <w:rsid w:val="00A8138C"/>
    <w:rsid w:val="00A81511"/>
    <w:rsid w:val="00A817DF"/>
    <w:rsid w:val="00A83FAA"/>
    <w:rsid w:val="00A85EF2"/>
    <w:rsid w:val="00A87C0A"/>
    <w:rsid w:val="00A87DA4"/>
    <w:rsid w:val="00A9055C"/>
    <w:rsid w:val="00A90A5F"/>
    <w:rsid w:val="00A912EC"/>
    <w:rsid w:val="00A916C9"/>
    <w:rsid w:val="00A932E7"/>
    <w:rsid w:val="00A9372E"/>
    <w:rsid w:val="00A9425E"/>
    <w:rsid w:val="00A95C8E"/>
    <w:rsid w:val="00A966DD"/>
    <w:rsid w:val="00A9754A"/>
    <w:rsid w:val="00A97D6D"/>
    <w:rsid w:val="00AA0FB9"/>
    <w:rsid w:val="00AA108E"/>
    <w:rsid w:val="00AA1D1C"/>
    <w:rsid w:val="00AA2666"/>
    <w:rsid w:val="00AA30CD"/>
    <w:rsid w:val="00AA3D21"/>
    <w:rsid w:val="00AA4592"/>
    <w:rsid w:val="00AA4B7A"/>
    <w:rsid w:val="00AA5427"/>
    <w:rsid w:val="00AB00B9"/>
    <w:rsid w:val="00AB2E6B"/>
    <w:rsid w:val="00AB402A"/>
    <w:rsid w:val="00AB63F6"/>
    <w:rsid w:val="00AB6FE4"/>
    <w:rsid w:val="00AB7704"/>
    <w:rsid w:val="00AB7D1C"/>
    <w:rsid w:val="00AC2285"/>
    <w:rsid w:val="00AC2854"/>
    <w:rsid w:val="00AC3B34"/>
    <w:rsid w:val="00AC40BD"/>
    <w:rsid w:val="00AC610B"/>
    <w:rsid w:val="00AC6C80"/>
    <w:rsid w:val="00AC798A"/>
    <w:rsid w:val="00AD0B6A"/>
    <w:rsid w:val="00AD118C"/>
    <w:rsid w:val="00AD2146"/>
    <w:rsid w:val="00AD3D47"/>
    <w:rsid w:val="00AD4294"/>
    <w:rsid w:val="00AD594E"/>
    <w:rsid w:val="00AD65F5"/>
    <w:rsid w:val="00AD6CCB"/>
    <w:rsid w:val="00AD7F4B"/>
    <w:rsid w:val="00AE11E0"/>
    <w:rsid w:val="00AE1A54"/>
    <w:rsid w:val="00AE1FA4"/>
    <w:rsid w:val="00AE1FA8"/>
    <w:rsid w:val="00AE248F"/>
    <w:rsid w:val="00AE2729"/>
    <w:rsid w:val="00AE3AD7"/>
    <w:rsid w:val="00AE47A3"/>
    <w:rsid w:val="00AE486A"/>
    <w:rsid w:val="00AE522F"/>
    <w:rsid w:val="00AE5486"/>
    <w:rsid w:val="00AE559C"/>
    <w:rsid w:val="00AE56AC"/>
    <w:rsid w:val="00AF060F"/>
    <w:rsid w:val="00AF0891"/>
    <w:rsid w:val="00AF0A29"/>
    <w:rsid w:val="00AF152B"/>
    <w:rsid w:val="00AF268B"/>
    <w:rsid w:val="00AF28A1"/>
    <w:rsid w:val="00AF3521"/>
    <w:rsid w:val="00AF3900"/>
    <w:rsid w:val="00AF5A43"/>
    <w:rsid w:val="00AF5B81"/>
    <w:rsid w:val="00AF6EBE"/>
    <w:rsid w:val="00B0017A"/>
    <w:rsid w:val="00B01138"/>
    <w:rsid w:val="00B01218"/>
    <w:rsid w:val="00B02D6B"/>
    <w:rsid w:val="00B03083"/>
    <w:rsid w:val="00B04DC3"/>
    <w:rsid w:val="00B05981"/>
    <w:rsid w:val="00B10153"/>
    <w:rsid w:val="00B105A7"/>
    <w:rsid w:val="00B1179F"/>
    <w:rsid w:val="00B13121"/>
    <w:rsid w:val="00B134C6"/>
    <w:rsid w:val="00B13C16"/>
    <w:rsid w:val="00B155AF"/>
    <w:rsid w:val="00B1632B"/>
    <w:rsid w:val="00B16559"/>
    <w:rsid w:val="00B16D30"/>
    <w:rsid w:val="00B17E60"/>
    <w:rsid w:val="00B211C6"/>
    <w:rsid w:val="00B2273F"/>
    <w:rsid w:val="00B22A14"/>
    <w:rsid w:val="00B236EE"/>
    <w:rsid w:val="00B24A9A"/>
    <w:rsid w:val="00B25220"/>
    <w:rsid w:val="00B26D5A"/>
    <w:rsid w:val="00B309DE"/>
    <w:rsid w:val="00B30EEB"/>
    <w:rsid w:val="00B31C5D"/>
    <w:rsid w:val="00B33473"/>
    <w:rsid w:val="00B334BA"/>
    <w:rsid w:val="00B36DE2"/>
    <w:rsid w:val="00B3793D"/>
    <w:rsid w:val="00B37B6D"/>
    <w:rsid w:val="00B41FA1"/>
    <w:rsid w:val="00B42970"/>
    <w:rsid w:val="00B448AF"/>
    <w:rsid w:val="00B45625"/>
    <w:rsid w:val="00B465C9"/>
    <w:rsid w:val="00B46A6E"/>
    <w:rsid w:val="00B511C7"/>
    <w:rsid w:val="00B51415"/>
    <w:rsid w:val="00B51597"/>
    <w:rsid w:val="00B5160B"/>
    <w:rsid w:val="00B5238E"/>
    <w:rsid w:val="00B52A0D"/>
    <w:rsid w:val="00B55E79"/>
    <w:rsid w:val="00B56820"/>
    <w:rsid w:val="00B569C7"/>
    <w:rsid w:val="00B57CE2"/>
    <w:rsid w:val="00B60745"/>
    <w:rsid w:val="00B617CC"/>
    <w:rsid w:val="00B62541"/>
    <w:rsid w:val="00B641CF"/>
    <w:rsid w:val="00B65A68"/>
    <w:rsid w:val="00B66A91"/>
    <w:rsid w:val="00B7123F"/>
    <w:rsid w:val="00B71328"/>
    <w:rsid w:val="00B73430"/>
    <w:rsid w:val="00B735EE"/>
    <w:rsid w:val="00B7387D"/>
    <w:rsid w:val="00B750E1"/>
    <w:rsid w:val="00B751CA"/>
    <w:rsid w:val="00B76215"/>
    <w:rsid w:val="00B804BD"/>
    <w:rsid w:val="00B811A4"/>
    <w:rsid w:val="00B8282B"/>
    <w:rsid w:val="00B8348B"/>
    <w:rsid w:val="00B85A52"/>
    <w:rsid w:val="00B902C8"/>
    <w:rsid w:val="00B91211"/>
    <w:rsid w:val="00B914F2"/>
    <w:rsid w:val="00B91C46"/>
    <w:rsid w:val="00B923E5"/>
    <w:rsid w:val="00B93C9D"/>
    <w:rsid w:val="00B946A9"/>
    <w:rsid w:val="00B947B0"/>
    <w:rsid w:val="00B95AAC"/>
    <w:rsid w:val="00B95D1E"/>
    <w:rsid w:val="00B96491"/>
    <w:rsid w:val="00B96D35"/>
    <w:rsid w:val="00B96E96"/>
    <w:rsid w:val="00BA1F77"/>
    <w:rsid w:val="00BA2D9E"/>
    <w:rsid w:val="00BA3090"/>
    <w:rsid w:val="00BA38BB"/>
    <w:rsid w:val="00BA3BF9"/>
    <w:rsid w:val="00BA5313"/>
    <w:rsid w:val="00BA770C"/>
    <w:rsid w:val="00BA77D9"/>
    <w:rsid w:val="00BA7FE1"/>
    <w:rsid w:val="00BB049D"/>
    <w:rsid w:val="00BB0DE7"/>
    <w:rsid w:val="00BB1A15"/>
    <w:rsid w:val="00BB2B2E"/>
    <w:rsid w:val="00BB37BF"/>
    <w:rsid w:val="00BB4CA8"/>
    <w:rsid w:val="00BB68A4"/>
    <w:rsid w:val="00BB745E"/>
    <w:rsid w:val="00BB7CC0"/>
    <w:rsid w:val="00BC0D1D"/>
    <w:rsid w:val="00BC0E30"/>
    <w:rsid w:val="00BC240A"/>
    <w:rsid w:val="00BC275C"/>
    <w:rsid w:val="00BC285A"/>
    <w:rsid w:val="00BC2EE4"/>
    <w:rsid w:val="00BC709C"/>
    <w:rsid w:val="00BC70EA"/>
    <w:rsid w:val="00BC71BC"/>
    <w:rsid w:val="00BC73DE"/>
    <w:rsid w:val="00BD02FE"/>
    <w:rsid w:val="00BD0875"/>
    <w:rsid w:val="00BD091B"/>
    <w:rsid w:val="00BD1D4B"/>
    <w:rsid w:val="00BD202B"/>
    <w:rsid w:val="00BD370B"/>
    <w:rsid w:val="00BD3A47"/>
    <w:rsid w:val="00BD3A7B"/>
    <w:rsid w:val="00BD4D8B"/>
    <w:rsid w:val="00BD50DB"/>
    <w:rsid w:val="00BD61C7"/>
    <w:rsid w:val="00BD70C7"/>
    <w:rsid w:val="00BD7506"/>
    <w:rsid w:val="00BE0593"/>
    <w:rsid w:val="00BE24AD"/>
    <w:rsid w:val="00BE284E"/>
    <w:rsid w:val="00BE493F"/>
    <w:rsid w:val="00BE54CC"/>
    <w:rsid w:val="00BE781F"/>
    <w:rsid w:val="00BF06BD"/>
    <w:rsid w:val="00BF08BA"/>
    <w:rsid w:val="00BF09F8"/>
    <w:rsid w:val="00BF12CB"/>
    <w:rsid w:val="00BF17EA"/>
    <w:rsid w:val="00BF1B2A"/>
    <w:rsid w:val="00BF2E31"/>
    <w:rsid w:val="00BF3AAB"/>
    <w:rsid w:val="00BF4EE8"/>
    <w:rsid w:val="00BF590C"/>
    <w:rsid w:val="00BF6E9D"/>
    <w:rsid w:val="00BF7841"/>
    <w:rsid w:val="00C014F6"/>
    <w:rsid w:val="00C02073"/>
    <w:rsid w:val="00C022E8"/>
    <w:rsid w:val="00C03060"/>
    <w:rsid w:val="00C03A78"/>
    <w:rsid w:val="00C03C7C"/>
    <w:rsid w:val="00C03F98"/>
    <w:rsid w:val="00C04657"/>
    <w:rsid w:val="00C0647E"/>
    <w:rsid w:val="00C06BFD"/>
    <w:rsid w:val="00C11D84"/>
    <w:rsid w:val="00C139DD"/>
    <w:rsid w:val="00C14984"/>
    <w:rsid w:val="00C15515"/>
    <w:rsid w:val="00C159D4"/>
    <w:rsid w:val="00C15F27"/>
    <w:rsid w:val="00C1775C"/>
    <w:rsid w:val="00C20467"/>
    <w:rsid w:val="00C21A87"/>
    <w:rsid w:val="00C23952"/>
    <w:rsid w:val="00C23B94"/>
    <w:rsid w:val="00C252BF"/>
    <w:rsid w:val="00C25664"/>
    <w:rsid w:val="00C26623"/>
    <w:rsid w:val="00C26BCA"/>
    <w:rsid w:val="00C26C96"/>
    <w:rsid w:val="00C27B8E"/>
    <w:rsid w:val="00C31C90"/>
    <w:rsid w:val="00C3226C"/>
    <w:rsid w:val="00C33358"/>
    <w:rsid w:val="00C33445"/>
    <w:rsid w:val="00C33610"/>
    <w:rsid w:val="00C33694"/>
    <w:rsid w:val="00C339DC"/>
    <w:rsid w:val="00C357E2"/>
    <w:rsid w:val="00C35C01"/>
    <w:rsid w:val="00C35D28"/>
    <w:rsid w:val="00C35EE2"/>
    <w:rsid w:val="00C41145"/>
    <w:rsid w:val="00C4193B"/>
    <w:rsid w:val="00C42F0B"/>
    <w:rsid w:val="00C44DAA"/>
    <w:rsid w:val="00C4592C"/>
    <w:rsid w:val="00C45983"/>
    <w:rsid w:val="00C505B1"/>
    <w:rsid w:val="00C5113A"/>
    <w:rsid w:val="00C5192F"/>
    <w:rsid w:val="00C52A7F"/>
    <w:rsid w:val="00C52E39"/>
    <w:rsid w:val="00C55882"/>
    <w:rsid w:val="00C56C27"/>
    <w:rsid w:val="00C60C99"/>
    <w:rsid w:val="00C63037"/>
    <w:rsid w:val="00C64410"/>
    <w:rsid w:val="00C647E9"/>
    <w:rsid w:val="00C66D1A"/>
    <w:rsid w:val="00C66EE4"/>
    <w:rsid w:val="00C710B9"/>
    <w:rsid w:val="00C7197B"/>
    <w:rsid w:val="00C726EE"/>
    <w:rsid w:val="00C72BED"/>
    <w:rsid w:val="00C73BB0"/>
    <w:rsid w:val="00C73E2F"/>
    <w:rsid w:val="00C73EB3"/>
    <w:rsid w:val="00C746E1"/>
    <w:rsid w:val="00C7671A"/>
    <w:rsid w:val="00C80338"/>
    <w:rsid w:val="00C8046E"/>
    <w:rsid w:val="00C819D6"/>
    <w:rsid w:val="00C823E0"/>
    <w:rsid w:val="00C8470C"/>
    <w:rsid w:val="00C84CCD"/>
    <w:rsid w:val="00C8575D"/>
    <w:rsid w:val="00C860DE"/>
    <w:rsid w:val="00C9228F"/>
    <w:rsid w:val="00C926D7"/>
    <w:rsid w:val="00C92B34"/>
    <w:rsid w:val="00C92B71"/>
    <w:rsid w:val="00C932A8"/>
    <w:rsid w:val="00C943F5"/>
    <w:rsid w:val="00C94E7F"/>
    <w:rsid w:val="00C97AB7"/>
    <w:rsid w:val="00CA004E"/>
    <w:rsid w:val="00CA1ABC"/>
    <w:rsid w:val="00CA25BC"/>
    <w:rsid w:val="00CA386D"/>
    <w:rsid w:val="00CA4781"/>
    <w:rsid w:val="00CA5CD6"/>
    <w:rsid w:val="00CB039D"/>
    <w:rsid w:val="00CB2F53"/>
    <w:rsid w:val="00CB3303"/>
    <w:rsid w:val="00CB35E3"/>
    <w:rsid w:val="00CB3743"/>
    <w:rsid w:val="00CB4701"/>
    <w:rsid w:val="00CC09D6"/>
    <w:rsid w:val="00CC1137"/>
    <w:rsid w:val="00CC13C4"/>
    <w:rsid w:val="00CC162D"/>
    <w:rsid w:val="00CC3593"/>
    <w:rsid w:val="00CC7025"/>
    <w:rsid w:val="00CC75FE"/>
    <w:rsid w:val="00CD4DD4"/>
    <w:rsid w:val="00CD57D1"/>
    <w:rsid w:val="00CD57DB"/>
    <w:rsid w:val="00CD7853"/>
    <w:rsid w:val="00CE01D3"/>
    <w:rsid w:val="00CE1851"/>
    <w:rsid w:val="00CE22E2"/>
    <w:rsid w:val="00CE23BF"/>
    <w:rsid w:val="00CE23FA"/>
    <w:rsid w:val="00CE2B1B"/>
    <w:rsid w:val="00CE4BA6"/>
    <w:rsid w:val="00CE4C47"/>
    <w:rsid w:val="00CE6BBC"/>
    <w:rsid w:val="00CE7029"/>
    <w:rsid w:val="00CF0FCF"/>
    <w:rsid w:val="00CF139B"/>
    <w:rsid w:val="00CF13AA"/>
    <w:rsid w:val="00CF24B9"/>
    <w:rsid w:val="00CF4692"/>
    <w:rsid w:val="00CF4AC3"/>
    <w:rsid w:val="00CF5186"/>
    <w:rsid w:val="00CF53E2"/>
    <w:rsid w:val="00CF55A5"/>
    <w:rsid w:val="00CF6098"/>
    <w:rsid w:val="00CF653F"/>
    <w:rsid w:val="00D00C9B"/>
    <w:rsid w:val="00D01EC9"/>
    <w:rsid w:val="00D0200B"/>
    <w:rsid w:val="00D02458"/>
    <w:rsid w:val="00D02C5A"/>
    <w:rsid w:val="00D0470E"/>
    <w:rsid w:val="00D04968"/>
    <w:rsid w:val="00D05223"/>
    <w:rsid w:val="00D05D7E"/>
    <w:rsid w:val="00D06048"/>
    <w:rsid w:val="00D061C8"/>
    <w:rsid w:val="00D064BA"/>
    <w:rsid w:val="00D06E8D"/>
    <w:rsid w:val="00D0752B"/>
    <w:rsid w:val="00D10968"/>
    <w:rsid w:val="00D1192E"/>
    <w:rsid w:val="00D130E9"/>
    <w:rsid w:val="00D13A02"/>
    <w:rsid w:val="00D1452E"/>
    <w:rsid w:val="00D14AF1"/>
    <w:rsid w:val="00D15609"/>
    <w:rsid w:val="00D15D79"/>
    <w:rsid w:val="00D15F19"/>
    <w:rsid w:val="00D16F40"/>
    <w:rsid w:val="00D21096"/>
    <w:rsid w:val="00D21201"/>
    <w:rsid w:val="00D21308"/>
    <w:rsid w:val="00D21929"/>
    <w:rsid w:val="00D219BC"/>
    <w:rsid w:val="00D246D7"/>
    <w:rsid w:val="00D25452"/>
    <w:rsid w:val="00D25B15"/>
    <w:rsid w:val="00D26C8D"/>
    <w:rsid w:val="00D2780A"/>
    <w:rsid w:val="00D2780D"/>
    <w:rsid w:val="00D27F13"/>
    <w:rsid w:val="00D304B3"/>
    <w:rsid w:val="00D30682"/>
    <w:rsid w:val="00D312CD"/>
    <w:rsid w:val="00D3340A"/>
    <w:rsid w:val="00D33889"/>
    <w:rsid w:val="00D37275"/>
    <w:rsid w:val="00D377A7"/>
    <w:rsid w:val="00D37BC6"/>
    <w:rsid w:val="00D40B2C"/>
    <w:rsid w:val="00D40C15"/>
    <w:rsid w:val="00D427E2"/>
    <w:rsid w:val="00D4290B"/>
    <w:rsid w:val="00D43B9B"/>
    <w:rsid w:val="00D44512"/>
    <w:rsid w:val="00D453E2"/>
    <w:rsid w:val="00D454C7"/>
    <w:rsid w:val="00D45832"/>
    <w:rsid w:val="00D4648A"/>
    <w:rsid w:val="00D465F9"/>
    <w:rsid w:val="00D473A4"/>
    <w:rsid w:val="00D4759E"/>
    <w:rsid w:val="00D475F4"/>
    <w:rsid w:val="00D505DD"/>
    <w:rsid w:val="00D50A7A"/>
    <w:rsid w:val="00D50D6C"/>
    <w:rsid w:val="00D51B0B"/>
    <w:rsid w:val="00D528D7"/>
    <w:rsid w:val="00D53D76"/>
    <w:rsid w:val="00D54378"/>
    <w:rsid w:val="00D5650C"/>
    <w:rsid w:val="00D56FC6"/>
    <w:rsid w:val="00D60305"/>
    <w:rsid w:val="00D60898"/>
    <w:rsid w:val="00D60BE0"/>
    <w:rsid w:val="00D60BFA"/>
    <w:rsid w:val="00D6169B"/>
    <w:rsid w:val="00D61BE0"/>
    <w:rsid w:val="00D633E6"/>
    <w:rsid w:val="00D64AA2"/>
    <w:rsid w:val="00D6609E"/>
    <w:rsid w:val="00D667B0"/>
    <w:rsid w:val="00D66A2B"/>
    <w:rsid w:val="00D66DCF"/>
    <w:rsid w:val="00D718F6"/>
    <w:rsid w:val="00D736E1"/>
    <w:rsid w:val="00D73930"/>
    <w:rsid w:val="00D74799"/>
    <w:rsid w:val="00D75857"/>
    <w:rsid w:val="00D75895"/>
    <w:rsid w:val="00D761A1"/>
    <w:rsid w:val="00D77124"/>
    <w:rsid w:val="00D77989"/>
    <w:rsid w:val="00D824A1"/>
    <w:rsid w:val="00D82723"/>
    <w:rsid w:val="00D82C2B"/>
    <w:rsid w:val="00D83DFF"/>
    <w:rsid w:val="00D843A2"/>
    <w:rsid w:val="00D9199A"/>
    <w:rsid w:val="00D927FC"/>
    <w:rsid w:val="00D94792"/>
    <w:rsid w:val="00D94BBB"/>
    <w:rsid w:val="00D956C5"/>
    <w:rsid w:val="00D96A7B"/>
    <w:rsid w:val="00D9719B"/>
    <w:rsid w:val="00D973A4"/>
    <w:rsid w:val="00D976DC"/>
    <w:rsid w:val="00DA084C"/>
    <w:rsid w:val="00DA167B"/>
    <w:rsid w:val="00DA1C3C"/>
    <w:rsid w:val="00DA4874"/>
    <w:rsid w:val="00DA537F"/>
    <w:rsid w:val="00DA5EC7"/>
    <w:rsid w:val="00DA7844"/>
    <w:rsid w:val="00DA78CA"/>
    <w:rsid w:val="00DB1ACA"/>
    <w:rsid w:val="00DB1C0E"/>
    <w:rsid w:val="00DB1F2B"/>
    <w:rsid w:val="00DB5501"/>
    <w:rsid w:val="00DB5B92"/>
    <w:rsid w:val="00DB6617"/>
    <w:rsid w:val="00DB68C4"/>
    <w:rsid w:val="00DB6D65"/>
    <w:rsid w:val="00DC1F9E"/>
    <w:rsid w:val="00DC21FC"/>
    <w:rsid w:val="00DC2898"/>
    <w:rsid w:val="00DC3D19"/>
    <w:rsid w:val="00DC4107"/>
    <w:rsid w:val="00DC5481"/>
    <w:rsid w:val="00DC6DA7"/>
    <w:rsid w:val="00DC6FF6"/>
    <w:rsid w:val="00DC7160"/>
    <w:rsid w:val="00DC7B7F"/>
    <w:rsid w:val="00DD0C04"/>
    <w:rsid w:val="00DD49BB"/>
    <w:rsid w:val="00DD5B95"/>
    <w:rsid w:val="00DD66EA"/>
    <w:rsid w:val="00DD682E"/>
    <w:rsid w:val="00DD6C1D"/>
    <w:rsid w:val="00DD6F37"/>
    <w:rsid w:val="00DE272B"/>
    <w:rsid w:val="00DE2A4A"/>
    <w:rsid w:val="00DE3423"/>
    <w:rsid w:val="00DE35E3"/>
    <w:rsid w:val="00DE3FCB"/>
    <w:rsid w:val="00DE4D77"/>
    <w:rsid w:val="00DE6761"/>
    <w:rsid w:val="00DE7661"/>
    <w:rsid w:val="00DF2BB7"/>
    <w:rsid w:val="00DF3063"/>
    <w:rsid w:val="00DF3838"/>
    <w:rsid w:val="00DF6361"/>
    <w:rsid w:val="00DF6A8B"/>
    <w:rsid w:val="00DF740A"/>
    <w:rsid w:val="00DF75D0"/>
    <w:rsid w:val="00E001CA"/>
    <w:rsid w:val="00E01E94"/>
    <w:rsid w:val="00E02117"/>
    <w:rsid w:val="00E02285"/>
    <w:rsid w:val="00E02298"/>
    <w:rsid w:val="00E03968"/>
    <w:rsid w:val="00E04BBB"/>
    <w:rsid w:val="00E06867"/>
    <w:rsid w:val="00E06CE2"/>
    <w:rsid w:val="00E07058"/>
    <w:rsid w:val="00E07C68"/>
    <w:rsid w:val="00E10460"/>
    <w:rsid w:val="00E11B52"/>
    <w:rsid w:val="00E13AEB"/>
    <w:rsid w:val="00E140E0"/>
    <w:rsid w:val="00E14969"/>
    <w:rsid w:val="00E150BB"/>
    <w:rsid w:val="00E167F9"/>
    <w:rsid w:val="00E16B74"/>
    <w:rsid w:val="00E16C3A"/>
    <w:rsid w:val="00E2222F"/>
    <w:rsid w:val="00E227BB"/>
    <w:rsid w:val="00E23E8B"/>
    <w:rsid w:val="00E25C8B"/>
    <w:rsid w:val="00E268EC"/>
    <w:rsid w:val="00E276EB"/>
    <w:rsid w:val="00E316EE"/>
    <w:rsid w:val="00E32A6B"/>
    <w:rsid w:val="00E3346C"/>
    <w:rsid w:val="00E33C5F"/>
    <w:rsid w:val="00E3464E"/>
    <w:rsid w:val="00E3465F"/>
    <w:rsid w:val="00E3758B"/>
    <w:rsid w:val="00E400AB"/>
    <w:rsid w:val="00E40D6E"/>
    <w:rsid w:val="00E40FB0"/>
    <w:rsid w:val="00E414B1"/>
    <w:rsid w:val="00E445CD"/>
    <w:rsid w:val="00E45F1E"/>
    <w:rsid w:val="00E46269"/>
    <w:rsid w:val="00E4693A"/>
    <w:rsid w:val="00E4707C"/>
    <w:rsid w:val="00E47A4F"/>
    <w:rsid w:val="00E50C14"/>
    <w:rsid w:val="00E51259"/>
    <w:rsid w:val="00E5161F"/>
    <w:rsid w:val="00E51AAA"/>
    <w:rsid w:val="00E51B71"/>
    <w:rsid w:val="00E52348"/>
    <w:rsid w:val="00E5345A"/>
    <w:rsid w:val="00E54249"/>
    <w:rsid w:val="00E547B8"/>
    <w:rsid w:val="00E55201"/>
    <w:rsid w:val="00E552F1"/>
    <w:rsid w:val="00E57909"/>
    <w:rsid w:val="00E604C9"/>
    <w:rsid w:val="00E626A0"/>
    <w:rsid w:val="00E6440A"/>
    <w:rsid w:val="00E647B7"/>
    <w:rsid w:val="00E657FE"/>
    <w:rsid w:val="00E6784B"/>
    <w:rsid w:val="00E67DF4"/>
    <w:rsid w:val="00E70943"/>
    <w:rsid w:val="00E710F5"/>
    <w:rsid w:val="00E7123F"/>
    <w:rsid w:val="00E72232"/>
    <w:rsid w:val="00E723FE"/>
    <w:rsid w:val="00E7259E"/>
    <w:rsid w:val="00E7497A"/>
    <w:rsid w:val="00E75A02"/>
    <w:rsid w:val="00E75A5E"/>
    <w:rsid w:val="00E7632C"/>
    <w:rsid w:val="00E76622"/>
    <w:rsid w:val="00E77ECC"/>
    <w:rsid w:val="00E800EA"/>
    <w:rsid w:val="00E808C6"/>
    <w:rsid w:val="00E8197D"/>
    <w:rsid w:val="00E831E1"/>
    <w:rsid w:val="00E835B3"/>
    <w:rsid w:val="00E83DC6"/>
    <w:rsid w:val="00E83F5B"/>
    <w:rsid w:val="00E85E70"/>
    <w:rsid w:val="00E90974"/>
    <w:rsid w:val="00E914E4"/>
    <w:rsid w:val="00E91E62"/>
    <w:rsid w:val="00E92136"/>
    <w:rsid w:val="00E94771"/>
    <w:rsid w:val="00E94A7C"/>
    <w:rsid w:val="00E94B56"/>
    <w:rsid w:val="00E95515"/>
    <w:rsid w:val="00E9567D"/>
    <w:rsid w:val="00E95A7C"/>
    <w:rsid w:val="00E95D89"/>
    <w:rsid w:val="00EA069D"/>
    <w:rsid w:val="00EA0AED"/>
    <w:rsid w:val="00EA2469"/>
    <w:rsid w:val="00EA2857"/>
    <w:rsid w:val="00EA2A19"/>
    <w:rsid w:val="00EA2FE1"/>
    <w:rsid w:val="00EA4395"/>
    <w:rsid w:val="00EA4603"/>
    <w:rsid w:val="00EA5256"/>
    <w:rsid w:val="00EA713A"/>
    <w:rsid w:val="00EA7927"/>
    <w:rsid w:val="00EB090D"/>
    <w:rsid w:val="00EB1667"/>
    <w:rsid w:val="00EB1C7A"/>
    <w:rsid w:val="00EB222B"/>
    <w:rsid w:val="00EB2EDB"/>
    <w:rsid w:val="00EB3FF4"/>
    <w:rsid w:val="00EB4263"/>
    <w:rsid w:val="00EB4B0F"/>
    <w:rsid w:val="00EB4DB8"/>
    <w:rsid w:val="00EB70A1"/>
    <w:rsid w:val="00EB71DB"/>
    <w:rsid w:val="00EB7B23"/>
    <w:rsid w:val="00EB7BB3"/>
    <w:rsid w:val="00EB7D67"/>
    <w:rsid w:val="00EC0328"/>
    <w:rsid w:val="00EC2C4E"/>
    <w:rsid w:val="00EC2F71"/>
    <w:rsid w:val="00EC4314"/>
    <w:rsid w:val="00EC46B5"/>
    <w:rsid w:val="00EC57AB"/>
    <w:rsid w:val="00EC5816"/>
    <w:rsid w:val="00EC6F1E"/>
    <w:rsid w:val="00ED0BBC"/>
    <w:rsid w:val="00ED1031"/>
    <w:rsid w:val="00ED10EF"/>
    <w:rsid w:val="00ED14B1"/>
    <w:rsid w:val="00ED15B2"/>
    <w:rsid w:val="00ED1932"/>
    <w:rsid w:val="00ED1E4C"/>
    <w:rsid w:val="00ED1F06"/>
    <w:rsid w:val="00ED1FCD"/>
    <w:rsid w:val="00ED5228"/>
    <w:rsid w:val="00ED5536"/>
    <w:rsid w:val="00ED7809"/>
    <w:rsid w:val="00ED7934"/>
    <w:rsid w:val="00EE1F6D"/>
    <w:rsid w:val="00EE2405"/>
    <w:rsid w:val="00EE3228"/>
    <w:rsid w:val="00EE4EEA"/>
    <w:rsid w:val="00EE662D"/>
    <w:rsid w:val="00EE7381"/>
    <w:rsid w:val="00EE76C1"/>
    <w:rsid w:val="00EF0E45"/>
    <w:rsid w:val="00EF3771"/>
    <w:rsid w:val="00EF5E63"/>
    <w:rsid w:val="00EF7C05"/>
    <w:rsid w:val="00EF7F4B"/>
    <w:rsid w:val="00F00C9D"/>
    <w:rsid w:val="00F0211E"/>
    <w:rsid w:val="00F025AE"/>
    <w:rsid w:val="00F02AE5"/>
    <w:rsid w:val="00F02E1A"/>
    <w:rsid w:val="00F02E9D"/>
    <w:rsid w:val="00F03280"/>
    <w:rsid w:val="00F0369D"/>
    <w:rsid w:val="00F0482D"/>
    <w:rsid w:val="00F04A50"/>
    <w:rsid w:val="00F0639B"/>
    <w:rsid w:val="00F06924"/>
    <w:rsid w:val="00F07A42"/>
    <w:rsid w:val="00F111E2"/>
    <w:rsid w:val="00F11461"/>
    <w:rsid w:val="00F12A73"/>
    <w:rsid w:val="00F13631"/>
    <w:rsid w:val="00F139D5"/>
    <w:rsid w:val="00F150AB"/>
    <w:rsid w:val="00F15A60"/>
    <w:rsid w:val="00F1751C"/>
    <w:rsid w:val="00F203A5"/>
    <w:rsid w:val="00F203F8"/>
    <w:rsid w:val="00F20585"/>
    <w:rsid w:val="00F207F8"/>
    <w:rsid w:val="00F20F6B"/>
    <w:rsid w:val="00F2352F"/>
    <w:rsid w:val="00F23831"/>
    <w:rsid w:val="00F24B16"/>
    <w:rsid w:val="00F24F2E"/>
    <w:rsid w:val="00F26BFD"/>
    <w:rsid w:val="00F30DEC"/>
    <w:rsid w:val="00F319B7"/>
    <w:rsid w:val="00F32D6C"/>
    <w:rsid w:val="00F34794"/>
    <w:rsid w:val="00F35147"/>
    <w:rsid w:val="00F36516"/>
    <w:rsid w:val="00F412BA"/>
    <w:rsid w:val="00F4181E"/>
    <w:rsid w:val="00F41EC7"/>
    <w:rsid w:val="00F439AE"/>
    <w:rsid w:val="00F45CFD"/>
    <w:rsid w:val="00F45F29"/>
    <w:rsid w:val="00F4711F"/>
    <w:rsid w:val="00F471A3"/>
    <w:rsid w:val="00F50E86"/>
    <w:rsid w:val="00F514D6"/>
    <w:rsid w:val="00F52093"/>
    <w:rsid w:val="00F52683"/>
    <w:rsid w:val="00F52F6B"/>
    <w:rsid w:val="00F5378A"/>
    <w:rsid w:val="00F5392C"/>
    <w:rsid w:val="00F53C2A"/>
    <w:rsid w:val="00F54646"/>
    <w:rsid w:val="00F5542A"/>
    <w:rsid w:val="00F55518"/>
    <w:rsid w:val="00F56728"/>
    <w:rsid w:val="00F56A78"/>
    <w:rsid w:val="00F56E5A"/>
    <w:rsid w:val="00F56ED8"/>
    <w:rsid w:val="00F57121"/>
    <w:rsid w:val="00F57E17"/>
    <w:rsid w:val="00F603EF"/>
    <w:rsid w:val="00F62760"/>
    <w:rsid w:val="00F63AC8"/>
    <w:rsid w:val="00F65519"/>
    <w:rsid w:val="00F66D66"/>
    <w:rsid w:val="00F670FB"/>
    <w:rsid w:val="00F7238D"/>
    <w:rsid w:val="00F73EF4"/>
    <w:rsid w:val="00F74968"/>
    <w:rsid w:val="00F75226"/>
    <w:rsid w:val="00F7561F"/>
    <w:rsid w:val="00F75BCA"/>
    <w:rsid w:val="00F75CDD"/>
    <w:rsid w:val="00F75D60"/>
    <w:rsid w:val="00F766D6"/>
    <w:rsid w:val="00F76741"/>
    <w:rsid w:val="00F802B1"/>
    <w:rsid w:val="00F806A5"/>
    <w:rsid w:val="00F82594"/>
    <w:rsid w:val="00F82CCA"/>
    <w:rsid w:val="00F82D30"/>
    <w:rsid w:val="00F83875"/>
    <w:rsid w:val="00F85F3D"/>
    <w:rsid w:val="00F8652B"/>
    <w:rsid w:val="00F86D73"/>
    <w:rsid w:val="00F92545"/>
    <w:rsid w:val="00F9460F"/>
    <w:rsid w:val="00F9709A"/>
    <w:rsid w:val="00F973C8"/>
    <w:rsid w:val="00FA2807"/>
    <w:rsid w:val="00FA2E8D"/>
    <w:rsid w:val="00FA30A8"/>
    <w:rsid w:val="00FA3724"/>
    <w:rsid w:val="00FA3DED"/>
    <w:rsid w:val="00FA43E7"/>
    <w:rsid w:val="00FA4409"/>
    <w:rsid w:val="00FA4B34"/>
    <w:rsid w:val="00FA5DE5"/>
    <w:rsid w:val="00FA6544"/>
    <w:rsid w:val="00FA656E"/>
    <w:rsid w:val="00FA6827"/>
    <w:rsid w:val="00FA74F1"/>
    <w:rsid w:val="00FA7643"/>
    <w:rsid w:val="00FB03B5"/>
    <w:rsid w:val="00FB2056"/>
    <w:rsid w:val="00FB2419"/>
    <w:rsid w:val="00FB3656"/>
    <w:rsid w:val="00FB4070"/>
    <w:rsid w:val="00FB478C"/>
    <w:rsid w:val="00FB48BA"/>
    <w:rsid w:val="00FB5188"/>
    <w:rsid w:val="00FB625D"/>
    <w:rsid w:val="00FB7D09"/>
    <w:rsid w:val="00FC02D3"/>
    <w:rsid w:val="00FC02F7"/>
    <w:rsid w:val="00FC03BD"/>
    <w:rsid w:val="00FC0A26"/>
    <w:rsid w:val="00FC0F6D"/>
    <w:rsid w:val="00FC238D"/>
    <w:rsid w:val="00FC3209"/>
    <w:rsid w:val="00FC3736"/>
    <w:rsid w:val="00FC3BEC"/>
    <w:rsid w:val="00FC48C8"/>
    <w:rsid w:val="00FC4DA3"/>
    <w:rsid w:val="00FC4EEB"/>
    <w:rsid w:val="00FC502D"/>
    <w:rsid w:val="00FC5328"/>
    <w:rsid w:val="00FC64E1"/>
    <w:rsid w:val="00FC711D"/>
    <w:rsid w:val="00FD0521"/>
    <w:rsid w:val="00FD2EF1"/>
    <w:rsid w:val="00FD3B88"/>
    <w:rsid w:val="00FD4C5B"/>
    <w:rsid w:val="00FD5449"/>
    <w:rsid w:val="00FD605C"/>
    <w:rsid w:val="00FD61A6"/>
    <w:rsid w:val="00FD65E7"/>
    <w:rsid w:val="00FD678A"/>
    <w:rsid w:val="00FD73BF"/>
    <w:rsid w:val="00FD7632"/>
    <w:rsid w:val="00FE0705"/>
    <w:rsid w:val="00FE0CA5"/>
    <w:rsid w:val="00FE139E"/>
    <w:rsid w:val="00FE1D20"/>
    <w:rsid w:val="00FE1DBA"/>
    <w:rsid w:val="00FE32E9"/>
    <w:rsid w:val="00FE66BE"/>
    <w:rsid w:val="00FE746B"/>
    <w:rsid w:val="00FF07EE"/>
    <w:rsid w:val="00FF2473"/>
    <w:rsid w:val="00FF336B"/>
    <w:rsid w:val="00FF35FA"/>
    <w:rsid w:val="00FF5D0D"/>
    <w:rsid w:val="00FF6AC9"/>
    <w:rsid w:val="010C61DA"/>
    <w:rsid w:val="016C0F2F"/>
    <w:rsid w:val="01CE4574"/>
    <w:rsid w:val="030C0E8E"/>
    <w:rsid w:val="03257471"/>
    <w:rsid w:val="03BE2A97"/>
    <w:rsid w:val="04D39D53"/>
    <w:rsid w:val="05026D4B"/>
    <w:rsid w:val="05755481"/>
    <w:rsid w:val="05F7646F"/>
    <w:rsid w:val="06011F73"/>
    <w:rsid w:val="06882242"/>
    <w:rsid w:val="06F258F7"/>
    <w:rsid w:val="0735535F"/>
    <w:rsid w:val="0738013C"/>
    <w:rsid w:val="073A7173"/>
    <w:rsid w:val="074DF9F3"/>
    <w:rsid w:val="07703F91"/>
    <w:rsid w:val="07914A8F"/>
    <w:rsid w:val="07945290"/>
    <w:rsid w:val="0794D0EB"/>
    <w:rsid w:val="07BF2F6A"/>
    <w:rsid w:val="07ED9A0F"/>
    <w:rsid w:val="088E2CF8"/>
    <w:rsid w:val="0989699B"/>
    <w:rsid w:val="09B16834"/>
    <w:rsid w:val="09B7A014"/>
    <w:rsid w:val="09E65C3E"/>
    <w:rsid w:val="0AA01D56"/>
    <w:rsid w:val="0AAF06CA"/>
    <w:rsid w:val="0AC43257"/>
    <w:rsid w:val="0B2400F0"/>
    <w:rsid w:val="0B416914"/>
    <w:rsid w:val="0B745683"/>
    <w:rsid w:val="0B7C0499"/>
    <w:rsid w:val="0BAC4ADC"/>
    <w:rsid w:val="0BB85B90"/>
    <w:rsid w:val="0BC006CB"/>
    <w:rsid w:val="0BDF1B3F"/>
    <w:rsid w:val="0C172CCA"/>
    <w:rsid w:val="0C390B62"/>
    <w:rsid w:val="0C5C7E64"/>
    <w:rsid w:val="0C7554B4"/>
    <w:rsid w:val="0C9157BB"/>
    <w:rsid w:val="0C924AE2"/>
    <w:rsid w:val="0CC9393A"/>
    <w:rsid w:val="0CEC0030"/>
    <w:rsid w:val="0CF22845"/>
    <w:rsid w:val="0D3F1A17"/>
    <w:rsid w:val="0D461B30"/>
    <w:rsid w:val="0D501741"/>
    <w:rsid w:val="0DEE5F77"/>
    <w:rsid w:val="0DFFDE8C"/>
    <w:rsid w:val="0E2E535E"/>
    <w:rsid w:val="0E75E2E0"/>
    <w:rsid w:val="0ED5F063"/>
    <w:rsid w:val="0F510A29"/>
    <w:rsid w:val="0F7F7ACF"/>
    <w:rsid w:val="0FBB2C75"/>
    <w:rsid w:val="0FDBD93A"/>
    <w:rsid w:val="1031756B"/>
    <w:rsid w:val="108061F1"/>
    <w:rsid w:val="11275C77"/>
    <w:rsid w:val="11931F79"/>
    <w:rsid w:val="11BD5413"/>
    <w:rsid w:val="11EFAB9F"/>
    <w:rsid w:val="12126257"/>
    <w:rsid w:val="133A1F99"/>
    <w:rsid w:val="13A166A3"/>
    <w:rsid w:val="147FF452"/>
    <w:rsid w:val="14E63D87"/>
    <w:rsid w:val="15902F78"/>
    <w:rsid w:val="15FB8984"/>
    <w:rsid w:val="16F9C773"/>
    <w:rsid w:val="1703504B"/>
    <w:rsid w:val="1733271C"/>
    <w:rsid w:val="1738BD8F"/>
    <w:rsid w:val="178C660A"/>
    <w:rsid w:val="17BD6F03"/>
    <w:rsid w:val="17BF2841"/>
    <w:rsid w:val="17EBC4E9"/>
    <w:rsid w:val="18753A87"/>
    <w:rsid w:val="193039F0"/>
    <w:rsid w:val="194D2360"/>
    <w:rsid w:val="19A250E6"/>
    <w:rsid w:val="19DE42E1"/>
    <w:rsid w:val="1A2D600F"/>
    <w:rsid w:val="1A5F42CD"/>
    <w:rsid w:val="1A7E69A5"/>
    <w:rsid w:val="1A955AF4"/>
    <w:rsid w:val="1B3BDA6D"/>
    <w:rsid w:val="1B487F31"/>
    <w:rsid w:val="1B737351"/>
    <w:rsid w:val="1BDFFAE9"/>
    <w:rsid w:val="1BF91691"/>
    <w:rsid w:val="1BFD85E5"/>
    <w:rsid w:val="1C5A34B6"/>
    <w:rsid w:val="1CB563CE"/>
    <w:rsid w:val="1CF30C07"/>
    <w:rsid w:val="1CFF414B"/>
    <w:rsid w:val="1DA27967"/>
    <w:rsid w:val="1DBB58C0"/>
    <w:rsid w:val="1DEB7023"/>
    <w:rsid w:val="1DEF59C4"/>
    <w:rsid w:val="1E450853"/>
    <w:rsid w:val="1E5FB1B8"/>
    <w:rsid w:val="1E632DF5"/>
    <w:rsid w:val="1EF7E5F1"/>
    <w:rsid w:val="1EF7FBE6"/>
    <w:rsid w:val="1EFD0303"/>
    <w:rsid w:val="1F3E742C"/>
    <w:rsid w:val="1F4652BE"/>
    <w:rsid w:val="1F6C0009"/>
    <w:rsid w:val="1F7F3089"/>
    <w:rsid w:val="1FA57D22"/>
    <w:rsid w:val="1FBB2EC2"/>
    <w:rsid w:val="1FBF0309"/>
    <w:rsid w:val="1FCDD9AA"/>
    <w:rsid w:val="1FD6754A"/>
    <w:rsid w:val="20A6020A"/>
    <w:rsid w:val="21BC3C33"/>
    <w:rsid w:val="21E26FCC"/>
    <w:rsid w:val="21FB6C60"/>
    <w:rsid w:val="226E52B9"/>
    <w:rsid w:val="234F5D63"/>
    <w:rsid w:val="235157AC"/>
    <w:rsid w:val="238C33B2"/>
    <w:rsid w:val="239258A8"/>
    <w:rsid w:val="23FF077F"/>
    <w:rsid w:val="245037A3"/>
    <w:rsid w:val="249A6036"/>
    <w:rsid w:val="255A0B22"/>
    <w:rsid w:val="258A20AE"/>
    <w:rsid w:val="25D78893"/>
    <w:rsid w:val="25FC4C82"/>
    <w:rsid w:val="277F2054"/>
    <w:rsid w:val="279B2AD2"/>
    <w:rsid w:val="27D60ABE"/>
    <w:rsid w:val="27FDF959"/>
    <w:rsid w:val="285F0762"/>
    <w:rsid w:val="28661D5F"/>
    <w:rsid w:val="28D00CD6"/>
    <w:rsid w:val="29483366"/>
    <w:rsid w:val="295C133B"/>
    <w:rsid w:val="29B67BB5"/>
    <w:rsid w:val="2A283EEB"/>
    <w:rsid w:val="2A6850D7"/>
    <w:rsid w:val="2A8B6F09"/>
    <w:rsid w:val="2A9D47AC"/>
    <w:rsid w:val="2B1C43BC"/>
    <w:rsid w:val="2B6F809F"/>
    <w:rsid w:val="2BFB5437"/>
    <w:rsid w:val="2C3323CB"/>
    <w:rsid w:val="2CCF78BA"/>
    <w:rsid w:val="2CF806B6"/>
    <w:rsid w:val="2D46309E"/>
    <w:rsid w:val="2D57955E"/>
    <w:rsid w:val="2D9FA04F"/>
    <w:rsid w:val="2DB8F648"/>
    <w:rsid w:val="2EBBF9A3"/>
    <w:rsid w:val="2EE47259"/>
    <w:rsid w:val="2F334B8C"/>
    <w:rsid w:val="2F4F7A7D"/>
    <w:rsid w:val="2F5E518E"/>
    <w:rsid w:val="2F6F0148"/>
    <w:rsid w:val="2F76C28C"/>
    <w:rsid w:val="2F7C15D8"/>
    <w:rsid w:val="2FB601FA"/>
    <w:rsid w:val="2FCF2002"/>
    <w:rsid w:val="2FE53D59"/>
    <w:rsid w:val="2FEF821A"/>
    <w:rsid w:val="302502D1"/>
    <w:rsid w:val="306D4DC5"/>
    <w:rsid w:val="30BD0622"/>
    <w:rsid w:val="30D61C80"/>
    <w:rsid w:val="315C6D68"/>
    <w:rsid w:val="31662B8B"/>
    <w:rsid w:val="3170B803"/>
    <w:rsid w:val="31FB6DD1"/>
    <w:rsid w:val="31FD50B8"/>
    <w:rsid w:val="321D5862"/>
    <w:rsid w:val="32C13BDF"/>
    <w:rsid w:val="32D54D47"/>
    <w:rsid w:val="332C4046"/>
    <w:rsid w:val="33321D17"/>
    <w:rsid w:val="334B2B5E"/>
    <w:rsid w:val="336C2A59"/>
    <w:rsid w:val="33B9A17D"/>
    <w:rsid w:val="33BBF0AF"/>
    <w:rsid w:val="33C635EC"/>
    <w:rsid w:val="33F6F1A4"/>
    <w:rsid w:val="3406592D"/>
    <w:rsid w:val="343232C8"/>
    <w:rsid w:val="34523632"/>
    <w:rsid w:val="3480002C"/>
    <w:rsid w:val="34861F5B"/>
    <w:rsid w:val="34D628B6"/>
    <w:rsid w:val="350B5EF2"/>
    <w:rsid w:val="35325872"/>
    <w:rsid w:val="353A4C3F"/>
    <w:rsid w:val="35777913"/>
    <w:rsid w:val="357DAA2F"/>
    <w:rsid w:val="358C4137"/>
    <w:rsid w:val="359BF424"/>
    <w:rsid w:val="359D2F9F"/>
    <w:rsid w:val="35D346CC"/>
    <w:rsid w:val="35D727FD"/>
    <w:rsid w:val="35FA6AE0"/>
    <w:rsid w:val="35FD2318"/>
    <w:rsid w:val="36022221"/>
    <w:rsid w:val="364FA772"/>
    <w:rsid w:val="36575DB3"/>
    <w:rsid w:val="367B3895"/>
    <w:rsid w:val="36DEE552"/>
    <w:rsid w:val="36FC5189"/>
    <w:rsid w:val="3775E35A"/>
    <w:rsid w:val="37AD2BC5"/>
    <w:rsid w:val="37C3E342"/>
    <w:rsid w:val="37CD23E8"/>
    <w:rsid w:val="37DB4833"/>
    <w:rsid w:val="37E59665"/>
    <w:rsid w:val="37E670AF"/>
    <w:rsid w:val="37EED666"/>
    <w:rsid w:val="37F785FF"/>
    <w:rsid w:val="37F883BD"/>
    <w:rsid w:val="37FA8E25"/>
    <w:rsid w:val="38473916"/>
    <w:rsid w:val="38B9BD68"/>
    <w:rsid w:val="38F94ECD"/>
    <w:rsid w:val="39106F5A"/>
    <w:rsid w:val="39585634"/>
    <w:rsid w:val="395F216C"/>
    <w:rsid w:val="39777C65"/>
    <w:rsid w:val="39EF2089"/>
    <w:rsid w:val="3A8258AD"/>
    <w:rsid w:val="3AB37492"/>
    <w:rsid w:val="3AEA78A1"/>
    <w:rsid w:val="3AED135B"/>
    <w:rsid w:val="3AF78677"/>
    <w:rsid w:val="3B7D71CC"/>
    <w:rsid w:val="3B9FB96D"/>
    <w:rsid w:val="3BDD156D"/>
    <w:rsid w:val="3C072F26"/>
    <w:rsid w:val="3C257B4A"/>
    <w:rsid w:val="3C34171F"/>
    <w:rsid w:val="3C3C2583"/>
    <w:rsid w:val="3C476536"/>
    <w:rsid w:val="3C77988A"/>
    <w:rsid w:val="3C8B3830"/>
    <w:rsid w:val="3CDE1871"/>
    <w:rsid w:val="3CDF526A"/>
    <w:rsid w:val="3CE75508"/>
    <w:rsid w:val="3CFA5C70"/>
    <w:rsid w:val="3CFD7226"/>
    <w:rsid w:val="3CFE02EA"/>
    <w:rsid w:val="3D73E980"/>
    <w:rsid w:val="3D8D34C8"/>
    <w:rsid w:val="3DA422C6"/>
    <w:rsid w:val="3DB9B48E"/>
    <w:rsid w:val="3DBF2FAE"/>
    <w:rsid w:val="3DC52E1D"/>
    <w:rsid w:val="3DDE6685"/>
    <w:rsid w:val="3DE28566"/>
    <w:rsid w:val="3DF3419F"/>
    <w:rsid w:val="3DF99385"/>
    <w:rsid w:val="3E74F004"/>
    <w:rsid w:val="3E7FD2B8"/>
    <w:rsid w:val="3EA7BC07"/>
    <w:rsid w:val="3EB54A1B"/>
    <w:rsid w:val="3EBF9715"/>
    <w:rsid w:val="3EEDCB0D"/>
    <w:rsid w:val="3EF9FA8C"/>
    <w:rsid w:val="3EFBA353"/>
    <w:rsid w:val="3EFFFDBD"/>
    <w:rsid w:val="3F3A6688"/>
    <w:rsid w:val="3F5A0424"/>
    <w:rsid w:val="3F5A5F60"/>
    <w:rsid w:val="3F7E5EB1"/>
    <w:rsid w:val="3F8A73CE"/>
    <w:rsid w:val="3F8F1AB2"/>
    <w:rsid w:val="3F986E86"/>
    <w:rsid w:val="3FB50DB9"/>
    <w:rsid w:val="3FB6D05C"/>
    <w:rsid w:val="3FB79853"/>
    <w:rsid w:val="3FBBD6FC"/>
    <w:rsid w:val="3FD43472"/>
    <w:rsid w:val="3FDD07DC"/>
    <w:rsid w:val="3FE2052C"/>
    <w:rsid w:val="3FE7C132"/>
    <w:rsid w:val="3FEEF7D0"/>
    <w:rsid w:val="3FF7C09F"/>
    <w:rsid w:val="3FFB89FA"/>
    <w:rsid w:val="3FFCB57A"/>
    <w:rsid w:val="3FFCE46E"/>
    <w:rsid w:val="3FFF4FB8"/>
    <w:rsid w:val="3FFF6282"/>
    <w:rsid w:val="3FFF6380"/>
    <w:rsid w:val="3FFFACD9"/>
    <w:rsid w:val="3FFFD90D"/>
    <w:rsid w:val="40020F42"/>
    <w:rsid w:val="40244F73"/>
    <w:rsid w:val="40CF51AE"/>
    <w:rsid w:val="415EEB71"/>
    <w:rsid w:val="41727E64"/>
    <w:rsid w:val="419F2DC1"/>
    <w:rsid w:val="41C0687D"/>
    <w:rsid w:val="424C689C"/>
    <w:rsid w:val="42834758"/>
    <w:rsid w:val="42AD4293"/>
    <w:rsid w:val="42CB7A55"/>
    <w:rsid w:val="42DE52BC"/>
    <w:rsid w:val="4301054F"/>
    <w:rsid w:val="43352C86"/>
    <w:rsid w:val="438916CF"/>
    <w:rsid w:val="43DB3FAF"/>
    <w:rsid w:val="43ED6CE9"/>
    <w:rsid w:val="446F22D1"/>
    <w:rsid w:val="4501774B"/>
    <w:rsid w:val="451B1EC8"/>
    <w:rsid w:val="4556490C"/>
    <w:rsid w:val="4559200A"/>
    <w:rsid w:val="457BAEA1"/>
    <w:rsid w:val="45E96261"/>
    <w:rsid w:val="45EA1B01"/>
    <w:rsid w:val="45FB0EBB"/>
    <w:rsid w:val="46143101"/>
    <w:rsid w:val="46CE120E"/>
    <w:rsid w:val="46DB49A2"/>
    <w:rsid w:val="46DCFC67"/>
    <w:rsid w:val="476F2604"/>
    <w:rsid w:val="477F75FB"/>
    <w:rsid w:val="479FA454"/>
    <w:rsid w:val="47B3FCFE"/>
    <w:rsid w:val="47D62CD2"/>
    <w:rsid w:val="484C29A9"/>
    <w:rsid w:val="48598FC3"/>
    <w:rsid w:val="48616003"/>
    <w:rsid w:val="48700954"/>
    <w:rsid w:val="48B630D2"/>
    <w:rsid w:val="48FFF461"/>
    <w:rsid w:val="498D6C5E"/>
    <w:rsid w:val="49EF73A1"/>
    <w:rsid w:val="4A6A4369"/>
    <w:rsid w:val="4AC05CD6"/>
    <w:rsid w:val="4AE64F2B"/>
    <w:rsid w:val="4AF505EB"/>
    <w:rsid w:val="4BAB026F"/>
    <w:rsid w:val="4BB74B26"/>
    <w:rsid w:val="4BBD49D0"/>
    <w:rsid w:val="4BCD62CD"/>
    <w:rsid w:val="4BDC4459"/>
    <w:rsid w:val="4BF46C68"/>
    <w:rsid w:val="4BFBF4E3"/>
    <w:rsid w:val="4C171B98"/>
    <w:rsid w:val="4C686201"/>
    <w:rsid w:val="4C912CFD"/>
    <w:rsid w:val="4CCD4587"/>
    <w:rsid w:val="4CD22221"/>
    <w:rsid w:val="4D066243"/>
    <w:rsid w:val="4D736872"/>
    <w:rsid w:val="4D741F35"/>
    <w:rsid w:val="4DA94C04"/>
    <w:rsid w:val="4DC15695"/>
    <w:rsid w:val="4DFF069B"/>
    <w:rsid w:val="4DFF6E57"/>
    <w:rsid w:val="4EEF29BB"/>
    <w:rsid w:val="4EFF2FB5"/>
    <w:rsid w:val="4EFF55D0"/>
    <w:rsid w:val="4F7BF497"/>
    <w:rsid w:val="4F7E6DA5"/>
    <w:rsid w:val="4FBB958A"/>
    <w:rsid w:val="4FBDADC8"/>
    <w:rsid w:val="4FD74ACC"/>
    <w:rsid w:val="4FFBAC9D"/>
    <w:rsid w:val="500736A0"/>
    <w:rsid w:val="500C2A5C"/>
    <w:rsid w:val="503B103B"/>
    <w:rsid w:val="5050538F"/>
    <w:rsid w:val="50525A8E"/>
    <w:rsid w:val="505B3003"/>
    <w:rsid w:val="50A5487A"/>
    <w:rsid w:val="51041D62"/>
    <w:rsid w:val="512E0303"/>
    <w:rsid w:val="51D75ED3"/>
    <w:rsid w:val="520D2AF2"/>
    <w:rsid w:val="530748AA"/>
    <w:rsid w:val="537DE542"/>
    <w:rsid w:val="538E3AD1"/>
    <w:rsid w:val="538E7ED0"/>
    <w:rsid w:val="53FFE21F"/>
    <w:rsid w:val="547F7CFA"/>
    <w:rsid w:val="559831D0"/>
    <w:rsid w:val="55A87015"/>
    <w:rsid w:val="55FFEC09"/>
    <w:rsid w:val="562278E6"/>
    <w:rsid w:val="56390221"/>
    <w:rsid w:val="563E5B1E"/>
    <w:rsid w:val="56501B9C"/>
    <w:rsid w:val="56AB00A1"/>
    <w:rsid w:val="56B3B432"/>
    <w:rsid w:val="56BF5DE1"/>
    <w:rsid w:val="56FBCBEF"/>
    <w:rsid w:val="5741548A"/>
    <w:rsid w:val="575843FE"/>
    <w:rsid w:val="57712235"/>
    <w:rsid w:val="57930EA2"/>
    <w:rsid w:val="57D73424"/>
    <w:rsid w:val="57EB987F"/>
    <w:rsid w:val="57F72CB6"/>
    <w:rsid w:val="57F7FFDF"/>
    <w:rsid w:val="57FB11FD"/>
    <w:rsid w:val="57FC5C33"/>
    <w:rsid w:val="580679EB"/>
    <w:rsid w:val="58267F6F"/>
    <w:rsid w:val="58463DF3"/>
    <w:rsid w:val="58A334CB"/>
    <w:rsid w:val="590837E9"/>
    <w:rsid w:val="595E394E"/>
    <w:rsid w:val="59784B62"/>
    <w:rsid w:val="59AEAB1E"/>
    <w:rsid w:val="59DFE2F9"/>
    <w:rsid w:val="59F19D15"/>
    <w:rsid w:val="5A04026A"/>
    <w:rsid w:val="5A4017EE"/>
    <w:rsid w:val="5A7C108E"/>
    <w:rsid w:val="5AAA060E"/>
    <w:rsid w:val="5AE7FEF3"/>
    <w:rsid w:val="5AFFDB19"/>
    <w:rsid w:val="5B3FA485"/>
    <w:rsid w:val="5B9531DB"/>
    <w:rsid w:val="5B962193"/>
    <w:rsid w:val="5BB16861"/>
    <w:rsid w:val="5BB53817"/>
    <w:rsid w:val="5BE24E5D"/>
    <w:rsid w:val="5BE9381F"/>
    <w:rsid w:val="5BEF561B"/>
    <w:rsid w:val="5BFB00CD"/>
    <w:rsid w:val="5C3F6100"/>
    <w:rsid w:val="5C7BE46C"/>
    <w:rsid w:val="5C99218C"/>
    <w:rsid w:val="5C9C2A1D"/>
    <w:rsid w:val="5CCD4F27"/>
    <w:rsid w:val="5CDA733D"/>
    <w:rsid w:val="5D1FE9B9"/>
    <w:rsid w:val="5D6D170F"/>
    <w:rsid w:val="5D7DA08E"/>
    <w:rsid w:val="5D82751A"/>
    <w:rsid w:val="5DADB071"/>
    <w:rsid w:val="5DAF9677"/>
    <w:rsid w:val="5DDF11AC"/>
    <w:rsid w:val="5DE12421"/>
    <w:rsid w:val="5DE75D41"/>
    <w:rsid w:val="5DEE3896"/>
    <w:rsid w:val="5DEFAF62"/>
    <w:rsid w:val="5DFAC4DC"/>
    <w:rsid w:val="5DFCC0AF"/>
    <w:rsid w:val="5DFDCB88"/>
    <w:rsid w:val="5DFEB1B3"/>
    <w:rsid w:val="5E122951"/>
    <w:rsid w:val="5E6E06CE"/>
    <w:rsid w:val="5E6E0D0C"/>
    <w:rsid w:val="5E7754AC"/>
    <w:rsid w:val="5E940777"/>
    <w:rsid w:val="5EAF4465"/>
    <w:rsid w:val="5EBF4CDB"/>
    <w:rsid w:val="5ED76B26"/>
    <w:rsid w:val="5EDF6D0E"/>
    <w:rsid w:val="5F0D725D"/>
    <w:rsid w:val="5F190DDA"/>
    <w:rsid w:val="5F3B564C"/>
    <w:rsid w:val="5F3EBE45"/>
    <w:rsid w:val="5F4FCB8C"/>
    <w:rsid w:val="5F5E022E"/>
    <w:rsid w:val="5F5F0A3E"/>
    <w:rsid w:val="5F643CCB"/>
    <w:rsid w:val="5F6497B5"/>
    <w:rsid w:val="5F683235"/>
    <w:rsid w:val="5F7BF44E"/>
    <w:rsid w:val="5F7DC7D1"/>
    <w:rsid w:val="5F7E8FAE"/>
    <w:rsid w:val="5F7EFBCD"/>
    <w:rsid w:val="5F7F1FB1"/>
    <w:rsid w:val="5F8434DA"/>
    <w:rsid w:val="5F9F5BFA"/>
    <w:rsid w:val="5FA14308"/>
    <w:rsid w:val="5FA7E5F9"/>
    <w:rsid w:val="5FB76FFD"/>
    <w:rsid w:val="5FCF408C"/>
    <w:rsid w:val="5FCF8A36"/>
    <w:rsid w:val="5FD67BC5"/>
    <w:rsid w:val="5FDA59CB"/>
    <w:rsid w:val="5FDBB4A9"/>
    <w:rsid w:val="5FE8EB8C"/>
    <w:rsid w:val="5FECBB75"/>
    <w:rsid w:val="5FEFAAE1"/>
    <w:rsid w:val="5FFD1B9B"/>
    <w:rsid w:val="5FFE6AE2"/>
    <w:rsid w:val="5FFEC04C"/>
    <w:rsid w:val="5FFF22BB"/>
    <w:rsid w:val="5FFF6BA0"/>
    <w:rsid w:val="606ABF91"/>
    <w:rsid w:val="60825A37"/>
    <w:rsid w:val="609F6A6B"/>
    <w:rsid w:val="60C915C7"/>
    <w:rsid w:val="61690387"/>
    <w:rsid w:val="61F8823D"/>
    <w:rsid w:val="6233322B"/>
    <w:rsid w:val="6273591D"/>
    <w:rsid w:val="6274048D"/>
    <w:rsid w:val="6334242F"/>
    <w:rsid w:val="63BEEAC4"/>
    <w:rsid w:val="63F3562A"/>
    <w:rsid w:val="640A2A47"/>
    <w:rsid w:val="645A6CB2"/>
    <w:rsid w:val="647FB6F4"/>
    <w:rsid w:val="6497BDD7"/>
    <w:rsid w:val="64CF81B8"/>
    <w:rsid w:val="64D98556"/>
    <w:rsid w:val="64F21F03"/>
    <w:rsid w:val="6574036B"/>
    <w:rsid w:val="65BD6B43"/>
    <w:rsid w:val="65CBBEC7"/>
    <w:rsid w:val="65DBB81E"/>
    <w:rsid w:val="65E5C601"/>
    <w:rsid w:val="66276B33"/>
    <w:rsid w:val="667B6202"/>
    <w:rsid w:val="667C16DB"/>
    <w:rsid w:val="669B2D13"/>
    <w:rsid w:val="66A11E2C"/>
    <w:rsid w:val="66BE43AE"/>
    <w:rsid w:val="66DF7F3B"/>
    <w:rsid w:val="67365B12"/>
    <w:rsid w:val="677996E1"/>
    <w:rsid w:val="677EF5F4"/>
    <w:rsid w:val="677F7EE4"/>
    <w:rsid w:val="67BB3F3B"/>
    <w:rsid w:val="67CBFE08"/>
    <w:rsid w:val="67D29154"/>
    <w:rsid w:val="67DF21BE"/>
    <w:rsid w:val="67EF1E8A"/>
    <w:rsid w:val="67EFBBBB"/>
    <w:rsid w:val="67FFA012"/>
    <w:rsid w:val="67FFA517"/>
    <w:rsid w:val="683755CB"/>
    <w:rsid w:val="68824694"/>
    <w:rsid w:val="689B27BB"/>
    <w:rsid w:val="68F9469D"/>
    <w:rsid w:val="695C5146"/>
    <w:rsid w:val="69971412"/>
    <w:rsid w:val="69BBA61F"/>
    <w:rsid w:val="69CF3E88"/>
    <w:rsid w:val="69EF9D6C"/>
    <w:rsid w:val="6A093558"/>
    <w:rsid w:val="6A21163E"/>
    <w:rsid w:val="6A64148A"/>
    <w:rsid w:val="6A71259D"/>
    <w:rsid w:val="6A76A750"/>
    <w:rsid w:val="6ABF3567"/>
    <w:rsid w:val="6AD3CFA4"/>
    <w:rsid w:val="6AF7CDDC"/>
    <w:rsid w:val="6AFBB243"/>
    <w:rsid w:val="6B48784C"/>
    <w:rsid w:val="6B5FC19B"/>
    <w:rsid w:val="6B66E548"/>
    <w:rsid w:val="6B690965"/>
    <w:rsid w:val="6B7D0742"/>
    <w:rsid w:val="6B8F5BD1"/>
    <w:rsid w:val="6BD73154"/>
    <w:rsid w:val="6BFD0739"/>
    <w:rsid w:val="6BFE87C7"/>
    <w:rsid w:val="6BFF3143"/>
    <w:rsid w:val="6BFFF06D"/>
    <w:rsid w:val="6C027254"/>
    <w:rsid w:val="6C176C2D"/>
    <w:rsid w:val="6C982476"/>
    <w:rsid w:val="6C9B2F1B"/>
    <w:rsid w:val="6CDC16CA"/>
    <w:rsid w:val="6CDE9BBF"/>
    <w:rsid w:val="6CEEFB6C"/>
    <w:rsid w:val="6CFDE3D9"/>
    <w:rsid w:val="6D637EC6"/>
    <w:rsid w:val="6DA13311"/>
    <w:rsid w:val="6DAF0AAC"/>
    <w:rsid w:val="6DCF8297"/>
    <w:rsid w:val="6DDF2565"/>
    <w:rsid w:val="6DEE19AB"/>
    <w:rsid w:val="6DF54B59"/>
    <w:rsid w:val="6DF7E2EC"/>
    <w:rsid w:val="6DFD14D4"/>
    <w:rsid w:val="6DFE5252"/>
    <w:rsid w:val="6DFEA0AA"/>
    <w:rsid w:val="6DFF7113"/>
    <w:rsid w:val="6DFF8A25"/>
    <w:rsid w:val="6E46739E"/>
    <w:rsid w:val="6E4C677B"/>
    <w:rsid w:val="6E7F067A"/>
    <w:rsid w:val="6E833CE1"/>
    <w:rsid w:val="6EBDDC90"/>
    <w:rsid w:val="6ECAB4E3"/>
    <w:rsid w:val="6ECB1B80"/>
    <w:rsid w:val="6ED7348E"/>
    <w:rsid w:val="6EDD239C"/>
    <w:rsid w:val="6EE76F97"/>
    <w:rsid w:val="6EF5CB8E"/>
    <w:rsid w:val="6EFA8E61"/>
    <w:rsid w:val="6EFFCB96"/>
    <w:rsid w:val="6EFFDC49"/>
    <w:rsid w:val="6F133F6C"/>
    <w:rsid w:val="6F2FB053"/>
    <w:rsid w:val="6F3F9F45"/>
    <w:rsid w:val="6F58F130"/>
    <w:rsid w:val="6F5E433E"/>
    <w:rsid w:val="6F615109"/>
    <w:rsid w:val="6F735177"/>
    <w:rsid w:val="6F796A39"/>
    <w:rsid w:val="6F7F25B9"/>
    <w:rsid w:val="6F9B90A3"/>
    <w:rsid w:val="6F9F6808"/>
    <w:rsid w:val="6FAF7C23"/>
    <w:rsid w:val="6FB7AA55"/>
    <w:rsid w:val="6FBFE009"/>
    <w:rsid w:val="6FC70803"/>
    <w:rsid w:val="6FCD4DB0"/>
    <w:rsid w:val="6FCF99B9"/>
    <w:rsid w:val="6FDB7227"/>
    <w:rsid w:val="6FE20EA7"/>
    <w:rsid w:val="6FED2A25"/>
    <w:rsid w:val="6FEF8DBC"/>
    <w:rsid w:val="6FF27A2E"/>
    <w:rsid w:val="6FF7E9EE"/>
    <w:rsid w:val="6FFC68F4"/>
    <w:rsid w:val="6FFF3CF1"/>
    <w:rsid w:val="6FFF88F7"/>
    <w:rsid w:val="6FFFAAB2"/>
    <w:rsid w:val="70126C4D"/>
    <w:rsid w:val="705132A9"/>
    <w:rsid w:val="70AE6BA7"/>
    <w:rsid w:val="70ED9C73"/>
    <w:rsid w:val="70F36655"/>
    <w:rsid w:val="713E185B"/>
    <w:rsid w:val="71727AA5"/>
    <w:rsid w:val="717FEAD9"/>
    <w:rsid w:val="71C51464"/>
    <w:rsid w:val="71DF82D7"/>
    <w:rsid w:val="71E76416"/>
    <w:rsid w:val="71EF1D20"/>
    <w:rsid w:val="71F75308"/>
    <w:rsid w:val="71FDACB6"/>
    <w:rsid w:val="722B6294"/>
    <w:rsid w:val="722F1EB8"/>
    <w:rsid w:val="72AD3069"/>
    <w:rsid w:val="72CFCC9C"/>
    <w:rsid w:val="72FFEAAF"/>
    <w:rsid w:val="73BD072A"/>
    <w:rsid w:val="73DE0BD0"/>
    <w:rsid w:val="73EA35D2"/>
    <w:rsid w:val="73EA8A1D"/>
    <w:rsid w:val="73FEB562"/>
    <w:rsid w:val="73FF30D6"/>
    <w:rsid w:val="743F3A42"/>
    <w:rsid w:val="746058BD"/>
    <w:rsid w:val="74727280"/>
    <w:rsid w:val="748D05C1"/>
    <w:rsid w:val="74B96FA1"/>
    <w:rsid w:val="74B9D1FF"/>
    <w:rsid w:val="750E223C"/>
    <w:rsid w:val="7573110B"/>
    <w:rsid w:val="757D3C0C"/>
    <w:rsid w:val="75BB01EC"/>
    <w:rsid w:val="75DFB8EB"/>
    <w:rsid w:val="75F798FF"/>
    <w:rsid w:val="75FDC1B4"/>
    <w:rsid w:val="75FF0F53"/>
    <w:rsid w:val="761ABDC0"/>
    <w:rsid w:val="76232B2D"/>
    <w:rsid w:val="763DBC23"/>
    <w:rsid w:val="764F2F6D"/>
    <w:rsid w:val="767F9574"/>
    <w:rsid w:val="769655E0"/>
    <w:rsid w:val="769A477A"/>
    <w:rsid w:val="76C13EFC"/>
    <w:rsid w:val="76CB553E"/>
    <w:rsid w:val="76D961D7"/>
    <w:rsid w:val="76FB9BD7"/>
    <w:rsid w:val="76FEF82E"/>
    <w:rsid w:val="77160A92"/>
    <w:rsid w:val="77595339"/>
    <w:rsid w:val="776F9B31"/>
    <w:rsid w:val="777F59B7"/>
    <w:rsid w:val="778F03BE"/>
    <w:rsid w:val="77AA3248"/>
    <w:rsid w:val="77AC366C"/>
    <w:rsid w:val="77AE9B9B"/>
    <w:rsid w:val="77B9C990"/>
    <w:rsid w:val="77DF9DCB"/>
    <w:rsid w:val="77E2B723"/>
    <w:rsid w:val="77EAE132"/>
    <w:rsid w:val="77EB225D"/>
    <w:rsid w:val="77EFA6C1"/>
    <w:rsid w:val="77F50F1B"/>
    <w:rsid w:val="77F737BD"/>
    <w:rsid w:val="77FB26DC"/>
    <w:rsid w:val="77FC5075"/>
    <w:rsid w:val="77FDEA60"/>
    <w:rsid w:val="77FDF57C"/>
    <w:rsid w:val="77FE984F"/>
    <w:rsid w:val="77FF3A94"/>
    <w:rsid w:val="77FFE031"/>
    <w:rsid w:val="781E1146"/>
    <w:rsid w:val="783A9350"/>
    <w:rsid w:val="78423D13"/>
    <w:rsid w:val="786625C1"/>
    <w:rsid w:val="787E006B"/>
    <w:rsid w:val="78BFE71E"/>
    <w:rsid w:val="78EA67CE"/>
    <w:rsid w:val="795819C8"/>
    <w:rsid w:val="795F2E65"/>
    <w:rsid w:val="797F6100"/>
    <w:rsid w:val="797FCF2F"/>
    <w:rsid w:val="79AF2782"/>
    <w:rsid w:val="79B768B7"/>
    <w:rsid w:val="79D8F9BD"/>
    <w:rsid w:val="79ED3711"/>
    <w:rsid w:val="79FB95F8"/>
    <w:rsid w:val="79FCB030"/>
    <w:rsid w:val="79FEA0F1"/>
    <w:rsid w:val="79FF5F25"/>
    <w:rsid w:val="7A0974E1"/>
    <w:rsid w:val="7A153061"/>
    <w:rsid w:val="7A383883"/>
    <w:rsid w:val="7A5F2438"/>
    <w:rsid w:val="7AB5C788"/>
    <w:rsid w:val="7ABB2E41"/>
    <w:rsid w:val="7AC7FFFC"/>
    <w:rsid w:val="7AD0218D"/>
    <w:rsid w:val="7AD71DEF"/>
    <w:rsid w:val="7ADB5FA8"/>
    <w:rsid w:val="7ADB6072"/>
    <w:rsid w:val="7AF72DA7"/>
    <w:rsid w:val="7AFE7BB9"/>
    <w:rsid w:val="7AFF5990"/>
    <w:rsid w:val="7B0B2CBC"/>
    <w:rsid w:val="7B294E15"/>
    <w:rsid w:val="7B3326D2"/>
    <w:rsid w:val="7B4DF754"/>
    <w:rsid w:val="7B97C7EC"/>
    <w:rsid w:val="7BA6E560"/>
    <w:rsid w:val="7BB10551"/>
    <w:rsid w:val="7BB367F5"/>
    <w:rsid w:val="7BBFFE9D"/>
    <w:rsid w:val="7BDB6C82"/>
    <w:rsid w:val="7BDE9FE4"/>
    <w:rsid w:val="7BE1525C"/>
    <w:rsid w:val="7BE24EB6"/>
    <w:rsid w:val="7BE33D5A"/>
    <w:rsid w:val="7BF75266"/>
    <w:rsid w:val="7BF7A9D7"/>
    <w:rsid w:val="7BFB5772"/>
    <w:rsid w:val="7BFD1290"/>
    <w:rsid w:val="7BFDA493"/>
    <w:rsid w:val="7BFEDC3F"/>
    <w:rsid w:val="7BFF4DC6"/>
    <w:rsid w:val="7BFF69C9"/>
    <w:rsid w:val="7BFF7A4B"/>
    <w:rsid w:val="7BFFA718"/>
    <w:rsid w:val="7C1977A8"/>
    <w:rsid w:val="7C32BA45"/>
    <w:rsid w:val="7C5F07AE"/>
    <w:rsid w:val="7C5F70B7"/>
    <w:rsid w:val="7C7A1DDA"/>
    <w:rsid w:val="7C7F6047"/>
    <w:rsid w:val="7C992F21"/>
    <w:rsid w:val="7CAA1482"/>
    <w:rsid w:val="7CAE4944"/>
    <w:rsid w:val="7CE5A62E"/>
    <w:rsid w:val="7CED0F0D"/>
    <w:rsid w:val="7CF6457B"/>
    <w:rsid w:val="7CFF8AC5"/>
    <w:rsid w:val="7D1F0F5A"/>
    <w:rsid w:val="7D256D71"/>
    <w:rsid w:val="7D2FE12E"/>
    <w:rsid w:val="7D6AB12F"/>
    <w:rsid w:val="7D6E736C"/>
    <w:rsid w:val="7D6FFE28"/>
    <w:rsid w:val="7D78CAFA"/>
    <w:rsid w:val="7D7B66AA"/>
    <w:rsid w:val="7D7C112C"/>
    <w:rsid w:val="7D7F07B2"/>
    <w:rsid w:val="7D97A6DC"/>
    <w:rsid w:val="7D9E3215"/>
    <w:rsid w:val="7DAB27FE"/>
    <w:rsid w:val="7DB96489"/>
    <w:rsid w:val="7DBB7344"/>
    <w:rsid w:val="7DBBB84D"/>
    <w:rsid w:val="7DBD797D"/>
    <w:rsid w:val="7DBFF487"/>
    <w:rsid w:val="7DD6C59C"/>
    <w:rsid w:val="7DDBEFD6"/>
    <w:rsid w:val="7DDF8DD3"/>
    <w:rsid w:val="7DEB5E24"/>
    <w:rsid w:val="7DEEA260"/>
    <w:rsid w:val="7DF7FA69"/>
    <w:rsid w:val="7DFF17DB"/>
    <w:rsid w:val="7DFF3412"/>
    <w:rsid w:val="7E3F3E2F"/>
    <w:rsid w:val="7E5F44D2"/>
    <w:rsid w:val="7E7A8C24"/>
    <w:rsid w:val="7E7FE011"/>
    <w:rsid w:val="7E99450F"/>
    <w:rsid w:val="7E9F65EF"/>
    <w:rsid w:val="7EA6F4D0"/>
    <w:rsid w:val="7EBBF8AB"/>
    <w:rsid w:val="7ED74442"/>
    <w:rsid w:val="7EDB0CBC"/>
    <w:rsid w:val="7EDB9DC8"/>
    <w:rsid w:val="7EEDB958"/>
    <w:rsid w:val="7EEF4590"/>
    <w:rsid w:val="7EF3D7CC"/>
    <w:rsid w:val="7EF77678"/>
    <w:rsid w:val="7EFC4C37"/>
    <w:rsid w:val="7EFE50CB"/>
    <w:rsid w:val="7EFE6B23"/>
    <w:rsid w:val="7EFF0B6F"/>
    <w:rsid w:val="7EFF7B69"/>
    <w:rsid w:val="7EFFE6A8"/>
    <w:rsid w:val="7F075BC0"/>
    <w:rsid w:val="7F0B1FF2"/>
    <w:rsid w:val="7F0F1DA7"/>
    <w:rsid w:val="7F174713"/>
    <w:rsid w:val="7F1D3D5E"/>
    <w:rsid w:val="7F1E259A"/>
    <w:rsid w:val="7F1F6E1F"/>
    <w:rsid w:val="7F2B921D"/>
    <w:rsid w:val="7F4229A2"/>
    <w:rsid w:val="7F571E67"/>
    <w:rsid w:val="7F5F55A6"/>
    <w:rsid w:val="7F5F5D8D"/>
    <w:rsid w:val="7F5F8489"/>
    <w:rsid w:val="7F6481B7"/>
    <w:rsid w:val="7F6BB1F7"/>
    <w:rsid w:val="7F6E9AC4"/>
    <w:rsid w:val="7F6F0251"/>
    <w:rsid w:val="7F6FFC9A"/>
    <w:rsid w:val="7F751BA6"/>
    <w:rsid w:val="7F778ADE"/>
    <w:rsid w:val="7F790518"/>
    <w:rsid w:val="7F7B16B6"/>
    <w:rsid w:val="7F7B2A8A"/>
    <w:rsid w:val="7F7BCEC0"/>
    <w:rsid w:val="7F7CBD32"/>
    <w:rsid w:val="7F7F4F9B"/>
    <w:rsid w:val="7F7F7D25"/>
    <w:rsid w:val="7F7FCE60"/>
    <w:rsid w:val="7F7FDCC5"/>
    <w:rsid w:val="7F8F02C3"/>
    <w:rsid w:val="7F9BF628"/>
    <w:rsid w:val="7F9F9A25"/>
    <w:rsid w:val="7FB498EB"/>
    <w:rsid w:val="7FB5E271"/>
    <w:rsid w:val="7FB725F3"/>
    <w:rsid w:val="7FB73A99"/>
    <w:rsid w:val="7FBC9B9D"/>
    <w:rsid w:val="7FBCCB97"/>
    <w:rsid w:val="7FBF6F5C"/>
    <w:rsid w:val="7FBFEAD1"/>
    <w:rsid w:val="7FBFEEEA"/>
    <w:rsid w:val="7FCA25C7"/>
    <w:rsid w:val="7FCF3F45"/>
    <w:rsid w:val="7FD740A6"/>
    <w:rsid w:val="7FDB2374"/>
    <w:rsid w:val="7FDC2C7D"/>
    <w:rsid w:val="7FDD13A4"/>
    <w:rsid w:val="7FDD90C2"/>
    <w:rsid w:val="7FDE254A"/>
    <w:rsid w:val="7FDEC9C7"/>
    <w:rsid w:val="7FDF5695"/>
    <w:rsid w:val="7FDF670E"/>
    <w:rsid w:val="7FEB104A"/>
    <w:rsid w:val="7FEB60B0"/>
    <w:rsid w:val="7FEB6E46"/>
    <w:rsid w:val="7FED6913"/>
    <w:rsid w:val="7FEEBFF1"/>
    <w:rsid w:val="7FEED4FB"/>
    <w:rsid w:val="7FEF22CB"/>
    <w:rsid w:val="7FF2AAFA"/>
    <w:rsid w:val="7FF2FD5E"/>
    <w:rsid w:val="7FF30E83"/>
    <w:rsid w:val="7FF3F163"/>
    <w:rsid w:val="7FF65232"/>
    <w:rsid w:val="7FF86BBF"/>
    <w:rsid w:val="7FFB14ED"/>
    <w:rsid w:val="7FFB3EF3"/>
    <w:rsid w:val="7FFB8B13"/>
    <w:rsid w:val="7FFC5239"/>
    <w:rsid w:val="7FFD47DB"/>
    <w:rsid w:val="7FFDD731"/>
    <w:rsid w:val="7FFE7725"/>
    <w:rsid w:val="7FFED17E"/>
    <w:rsid w:val="7FFF5823"/>
    <w:rsid w:val="7FFF65BB"/>
    <w:rsid w:val="7FFF8EAB"/>
    <w:rsid w:val="7FFF95BF"/>
    <w:rsid w:val="7FFF9795"/>
    <w:rsid w:val="7FFFC8EC"/>
    <w:rsid w:val="7FFFCB03"/>
    <w:rsid w:val="7FFFEDF2"/>
    <w:rsid w:val="83BFD64C"/>
    <w:rsid w:val="865F0948"/>
    <w:rsid w:val="87E76729"/>
    <w:rsid w:val="88EFDD46"/>
    <w:rsid w:val="8BDD2D11"/>
    <w:rsid w:val="8BFB81A2"/>
    <w:rsid w:val="8DB92E08"/>
    <w:rsid w:val="8F1DA4C1"/>
    <w:rsid w:val="8F5CD62F"/>
    <w:rsid w:val="93F73735"/>
    <w:rsid w:val="947A5510"/>
    <w:rsid w:val="957CEC5C"/>
    <w:rsid w:val="97F91B66"/>
    <w:rsid w:val="97FF75D9"/>
    <w:rsid w:val="97FFCF6F"/>
    <w:rsid w:val="9A67B193"/>
    <w:rsid w:val="9A9B3806"/>
    <w:rsid w:val="9AFE503D"/>
    <w:rsid w:val="9B7CA2F4"/>
    <w:rsid w:val="9B933EA7"/>
    <w:rsid w:val="9BAF34C6"/>
    <w:rsid w:val="9BFFE5D9"/>
    <w:rsid w:val="9CAF1639"/>
    <w:rsid w:val="9CED2955"/>
    <w:rsid w:val="9CEFCE36"/>
    <w:rsid w:val="9D7D666A"/>
    <w:rsid w:val="9DFFAC36"/>
    <w:rsid w:val="9E3ECBEE"/>
    <w:rsid w:val="9E4F1123"/>
    <w:rsid w:val="9EEFC51B"/>
    <w:rsid w:val="9EF952AE"/>
    <w:rsid w:val="9EFA0FFD"/>
    <w:rsid w:val="9EFFDECA"/>
    <w:rsid w:val="9F6FE640"/>
    <w:rsid w:val="9F94998B"/>
    <w:rsid w:val="9F9DBB0C"/>
    <w:rsid w:val="9FBE6AB9"/>
    <w:rsid w:val="9FBE7698"/>
    <w:rsid w:val="9FC7FCA5"/>
    <w:rsid w:val="9FDFA5FE"/>
    <w:rsid w:val="9FFDCDEE"/>
    <w:rsid w:val="9FFFF9D6"/>
    <w:rsid w:val="A26DFE41"/>
    <w:rsid w:val="A4BED7D7"/>
    <w:rsid w:val="A5CF3A02"/>
    <w:rsid w:val="A6B5B875"/>
    <w:rsid w:val="A6BBBF37"/>
    <w:rsid w:val="A77FECDB"/>
    <w:rsid w:val="AACDDC5C"/>
    <w:rsid w:val="ABBFB5A3"/>
    <w:rsid w:val="ABFEC53C"/>
    <w:rsid w:val="ADDEB295"/>
    <w:rsid w:val="ADEFB8F4"/>
    <w:rsid w:val="AE1E3A1A"/>
    <w:rsid w:val="AE3AF747"/>
    <w:rsid w:val="AF7F17C5"/>
    <w:rsid w:val="AF8FFBFD"/>
    <w:rsid w:val="AFA64DFC"/>
    <w:rsid w:val="AFB6AD3A"/>
    <w:rsid w:val="AFDEBD6E"/>
    <w:rsid w:val="AFF1A459"/>
    <w:rsid w:val="AFF90A9E"/>
    <w:rsid w:val="AFFB7E36"/>
    <w:rsid w:val="AFFF6A00"/>
    <w:rsid w:val="B0F748BA"/>
    <w:rsid w:val="B0FEF6B6"/>
    <w:rsid w:val="B1FF8D4E"/>
    <w:rsid w:val="B2EE62AA"/>
    <w:rsid w:val="B36E5179"/>
    <w:rsid w:val="B3F29275"/>
    <w:rsid w:val="B3F7B197"/>
    <w:rsid w:val="B3FCA770"/>
    <w:rsid w:val="B3FF2768"/>
    <w:rsid w:val="B57B28D5"/>
    <w:rsid w:val="B58F3BB5"/>
    <w:rsid w:val="B5DE82AA"/>
    <w:rsid w:val="B5EC47C0"/>
    <w:rsid w:val="B5EFF886"/>
    <w:rsid w:val="B6571943"/>
    <w:rsid w:val="B67F5C11"/>
    <w:rsid w:val="B6EF4211"/>
    <w:rsid w:val="B6FA68BE"/>
    <w:rsid w:val="B715923B"/>
    <w:rsid w:val="B776F3D5"/>
    <w:rsid w:val="B77B0FA3"/>
    <w:rsid w:val="B77B6F60"/>
    <w:rsid w:val="B77F5244"/>
    <w:rsid w:val="B7CF5A26"/>
    <w:rsid w:val="B7ED04B2"/>
    <w:rsid w:val="B7FB7BA5"/>
    <w:rsid w:val="B9B7335F"/>
    <w:rsid w:val="B9FE7C18"/>
    <w:rsid w:val="BAD3055B"/>
    <w:rsid w:val="BAF6A80D"/>
    <w:rsid w:val="BAFEA682"/>
    <w:rsid w:val="BB3A48BB"/>
    <w:rsid w:val="BB5F8ED4"/>
    <w:rsid w:val="BBFBEB5E"/>
    <w:rsid w:val="BC999329"/>
    <w:rsid w:val="BD50C970"/>
    <w:rsid w:val="BD5B5AAB"/>
    <w:rsid w:val="BD5E2A4D"/>
    <w:rsid w:val="BD7D08EA"/>
    <w:rsid w:val="BDDBBEBC"/>
    <w:rsid w:val="BDE7E7F3"/>
    <w:rsid w:val="BDEE64A5"/>
    <w:rsid w:val="BDF7276A"/>
    <w:rsid w:val="BDFFEBF0"/>
    <w:rsid w:val="BE62DA3C"/>
    <w:rsid w:val="BE732394"/>
    <w:rsid w:val="BE7F1684"/>
    <w:rsid w:val="BEBCE093"/>
    <w:rsid w:val="BEBFB6AA"/>
    <w:rsid w:val="BEF1CF7F"/>
    <w:rsid w:val="BEF6429D"/>
    <w:rsid w:val="BEF93BF3"/>
    <w:rsid w:val="BEFED930"/>
    <w:rsid w:val="BEFF17BE"/>
    <w:rsid w:val="BEFFBFFC"/>
    <w:rsid w:val="BEFFFF39"/>
    <w:rsid w:val="BF5EEA74"/>
    <w:rsid w:val="BF779D8E"/>
    <w:rsid w:val="BF7F0CD6"/>
    <w:rsid w:val="BF7F10E1"/>
    <w:rsid w:val="BF7F1966"/>
    <w:rsid w:val="BF9B9225"/>
    <w:rsid w:val="BF9FC674"/>
    <w:rsid w:val="BFB3CDA1"/>
    <w:rsid w:val="BFBB6F5E"/>
    <w:rsid w:val="BFBEF1B1"/>
    <w:rsid w:val="BFBFD05B"/>
    <w:rsid w:val="BFC77E5F"/>
    <w:rsid w:val="BFCA4A4B"/>
    <w:rsid w:val="BFDAB7B1"/>
    <w:rsid w:val="BFDBBD83"/>
    <w:rsid w:val="BFEF5F06"/>
    <w:rsid w:val="BFEF7109"/>
    <w:rsid w:val="BFF34CA3"/>
    <w:rsid w:val="BFF46BAC"/>
    <w:rsid w:val="BFF479AD"/>
    <w:rsid w:val="BFF5C3A8"/>
    <w:rsid w:val="BFF6F5D0"/>
    <w:rsid w:val="BFFEAF31"/>
    <w:rsid w:val="BFFF9A57"/>
    <w:rsid w:val="C5DC0E3F"/>
    <w:rsid w:val="C66B9FEB"/>
    <w:rsid w:val="C7BDA248"/>
    <w:rsid w:val="C7D72C8A"/>
    <w:rsid w:val="C8BEB855"/>
    <w:rsid w:val="CB6490A2"/>
    <w:rsid w:val="CB9A93B2"/>
    <w:rsid w:val="CBD39841"/>
    <w:rsid w:val="CBDB22A3"/>
    <w:rsid w:val="CBFF77AE"/>
    <w:rsid w:val="CD5D91C3"/>
    <w:rsid w:val="CE47082E"/>
    <w:rsid w:val="CEA92C04"/>
    <w:rsid w:val="CEFB3173"/>
    <w:rsid w:val="CEFD6FD5"/>
    <w:rsid w:val="CEFF4050"/>
    <w:rsid w:val="CEFF5149"/>
    <w:rsid w:val="CF4BBE3F"/>
    <w:rsid w:val="CF64B160"/>
    <w:rsid w:val="CF656061"/>
    <w:rsid w:val="CF7E832A"/>
    <w:rsid w:val="CF7EF2D1"/>
    <w:rsid w:val="CFCA55ED"/>
    <w:rsid w:val="CFD5B1AD"/>
    <w:rsid w:val="CFDDB635"/>
    <w:rsid w:val="CFDE9DF3"/>
    <w:rsid w:val="CFEF09AF"/>
    <w:rsid w:val="CFEFCFAE"/>
    <w:rsid w:val="CFF57357"/>
    <w:rsid w:val="CFFE7D40"/>
    <w:rsid w:val="CFFF9AF5"/>
    <w:rsid w:val="CFFFED6A"/>
    <w:rsid w:val="D1339C79"/>
    <w:rsid w:val="D2FC0B8E"/>
    <w:rsid w:val="D30F8CB5"/>
    <w:rsid w:val="D31FFE88"/>
    <w:rsid w:val="D36C18D8"/>
    <w:rsid w:val="D3FEFBEF"/>
    <w:rsid w:val="D567CE78"/>
    <w:rsid w:val="D5FBCDB7"/>
    <w:rsid w:val="D667971C"/>
    <w:rsid w:val="D6E4FEA2"/>
    <w:rsid w:val="D6F723CD"/>
    <w:rsid w:val="D6FFB27C"/>
    <w:rsid w:val="D71AC84C"/>
    <w:rsid w:val="D73D97C9"/>
    <w:rsid w:val="D75E0D0B"/>
    <w:rsid w:val="D77F2315"/>
    <w:rsid w:val="D7CFA427"/>
    <w:rsid w:val="D7DA153C"/>
    <w:rsid w:val="D7DCCD67"/>
    <w:rsid w:val="D7DE9A82"/>
    <w:rsid w:val="D7EBB7B4"/>
    <w:rsid w:val="D7EF2406"/>
    <w:rsid w:val="D7FF01A0"/>
    <w:rsid w:val="D87FD8D7"/>
    <w:rsid w:val="D8DC649D"/>
    <w:rsid w:val="D92F890E"/>
    <w:rsid w:val="D9775417"/>
    <w:rsid w:val="D9DF5DBE"/>
    <w:rsid w:val="D9F7F80C"/>
    <w:rsid w:val="D9FDB461"/>
    <w:rsid w:val="DA1D5E1E"/>
    <w:rsid w:val="DA5FB176"/>
    <w:rsid w:val="DAAB7AA4"/>
    <w:rsid w:val="DAEDC090"/>
    <w:rsid w:val="DB73F3A3"/>
    <w:rsid w:val="DBFE44CC"/>
    <w:rsid w:val="DBFE8A31"/>
    <w:rsid w:val="DCFB9A6D"/>
    <w:rsid w:val="DD39FABE"/>
    <w:rsid w:val="DD79D06D"/>
    <w:rsid w:val="DDDB7160"/>
    <w:rsid w:val="DDDD5041"/>
    <w:rsid w:val="DDEF463F"/>
    <w:rsid w:val="DDF79BF9"/>
    <w:rsid w:val="DDF7AC06"/>
    <w:rsid w:val="DDF8F1A5"/>
    <w:rsid w:val="DDFE7CCC"/>
    <w:rsid w:val="DE37894B"/>
    <w:rsid w:val="DE7CBE08"/>
    <w:rsid w:val="DEBB51CB"/>
    <w:rsid w:val="DEDBCFA8"/>
    <w:rsid w:val="DEE31FCB"/>
    <w:rsid w:val="DEFF9A39"/>
    <w:rsid w:val="DF13C9E3"/>
    <w:rsid w:val="DF357310"/>
    <w:rsid w:val="DF5B5945"/>
    <w:rsid w:val="DF6F8B6A"/>
    <w:rsid w:val="DF6FEB77"/>
    <w:rsid w:val="DF6FFF27"/>
    <w:rsid w:val="DF7B0560"/>
    <w:rsid w:val="DF7DAD96"/>
    <w:rsid w:val="DF7E0415"/>
    <w:rsid w:val="DF8DEDFC"/>
    <w:rsid w:val="DF97C28B"/>
    <w:rsid w:val="DFB6AE9C"/>
    <w:rsid w:val="DFC9C963"/>
    <w:rsid w:val="DFD2793F"/>
    <w:rsid w:val="DFD4D46E"/>
    <w:rsid w:val="DFDBE325"/>
    <w:rsid w:val="DFDDCB3E"/>
    <w:rsid w:val="DFDE1A02"/>
    <w:rsid w:val="DFDF7368"/>
    <w:rsid w:val="DFEB8292"/>
    <w:rsid w:val="DFF78F27"/>
    <w:rsid w:val="DFF96272"/>
    <w:rsid w:val="DFF994AD"/>
    <w:rsid w:val="DFFEF938"/>
    <w:rsid w:val="DFFF0A2F"/>
    <w:rsid w:val="DFFF797A"/>
    <w:rsid w:val="DFFFAD01"/>
    <w:rsid w:val="E1F3F0CE"/>
    <w:rsid w:val="E1F4654E"/>
    <w:rsid w:val="E2FFD23E"/>
    <w:rsid w:val="E32DBE6E"/>
    <w:rsid w:val="E377F8F3"/>
    <w:rsid w:val="E3AD1835"/>
    <w:rsid w:val="E3BFEF14"/>
    <w:rsid w:val="E3F68DE5"/>
    <w:rsid w:val="E4D321EB"/>
    <w:rsid w:val="E4DC9553"/>
    <w:rsid w:val="E5F7A8B6"/>
    <w:rsid w:val="E5F94DFB"/>
    <w:rsid w:val="E6974AE4"/>
    <w:rsid w:val="E6BD1C4C"/>
    <w:rsid w:val="E6DB6CAA"/>
    <w:rsid w:val="E6ED7800"/>
    <w:rsid w:val="E6EF50A9"/>
    <w:rsid w:val="E75B2F4E"/>
    <w:rsid w:val="E7778BA4"/>
    <w:rsid w:val="E77FB12E"/>
    <w:rsid w:val="E7B58720"/>
    <w:rsid w:val="E7D56EF7"/>
    <w:rsid w:val="E7DFA9D7"/>
    <w:rsid w:val="E7F78DBA"/>
    <w:rsid w:val="E8FFB8F4"/>
    <w:rsid w:val="E9B7E745"/>
    <w:rsid w:val="EA7F8EE7"/>
    <w:rsid w:val="EAB518B0"/>
    <w:rsid w:val="EAF94FAB"/>
    <w:rsid w:val="EB4F03C4"/>
    <w:rsid w:val="EB5FB8FF"/>
    <w:rsid w:val="EB7DADF7"/>
    <w:rsid w:val="EBB330BD"/>
    <w:rsid w:val="EBBEEBC0"/>
    <w:rsid w:val="EBBFFDFC"/>
    <w:rsid w:val="EBDE82E4"/>
    <w:rsid w:val="EBDEA5CC"/>
    <w:rsid w:val="EBEBE157"/>
    <w:rsid w:val="EBF95E81"/>
    <w:rsid w:val="EC3BF733"/>
    <w:rsid w:val="ECD25E0C"/>
    <w:rsid w:val="ECDAF89C"/>
    <w:rsid w:val="ECFF25E8"/>
    <w:rsid w:val="ED577024"/>
    <w:rsid w:val="ED5FA988"/>
    <w:rsid w:val="ED5FED7D"/>
    <w:rsid w:val="ED77E293"/>
    <w:rsid w:val="ED7BABEA"/>
    <w:rsid w:val="ED8EE9BA"/>
    <w:rsid w:val="EDE72ECC"/>
    <w:rsid w:val="EDEFA37C"/>
    <w:rsid w:val="EDFB8758"/>
    <w:rsid w:val="EDFCB815"/>
    <w:rsid w:val="EE37BC0D"/>
    <w:rsid w:val="EE7E9BC6"/>
    <w:rsid w:val="EE9B89A4"/>
    <w:rsid w:val="EEAF4233"/>
    <w:rsid w:val="EEBE5B2F"/>
    <w:rsid w:val="EED759A7"/>
    <w:rsid w:val="EEF7E284"/>
    <w:rsid w:val="EEFE9A53"/>
    <w:rsid w:val="EF35808D"/>
    <w:rsid w:val="EF3596C0"/>
    <w:rsid w:val="EF5F549F"/>
    <w:rsid w:val="EF7E9546"/>
    <w:rsid w:val="EF7F0D12"/>
    <w:rsid w:val="EF995AC1"/>
    <w:rsid w:val="EF9FCBAF"/>
    <w:rsid w:val="EFA70C80"/>
    <w:rsid w:val="EFAD5772"/>
    <w:rsid w:val="EFB37416"/>
    <w:rsid w:val="EFBE5199"/>
    <w:rsid w:val="EFCA7C54"/>
    <w:rsid w:val="EFCB5822"/>
    <w:rsid w:val="EFDD2462"/>
    <w:rsid w:val="EFF38F7F"/>
    <w:rsid w:val="EFF7E79C"/>
    <w:rsid w:val="EFF7EEC4"/>
    <w:rsid w:val="EFFC930C"/>
    <w:rsid w:val="EFFD14C7"/>
    <w:rsid w:val="EFFD19B5"/>
    <w:rsid w:val="EFFE0E91"/>
    <w:rsid w:val="EFFE1072"/>
    <w:rsid w:val="EFFE4854"/>
    <w:rsid w:val="EFFE9ADB"/>
    <w:rsid w:val="EFFFBF8B"/>
    <w:rsid w:val="EFFFDEA6"/>
    <w:rsid w:val="EFFFF8D3"/>
    <w:rsid w:val="EFFFFB17"/>
    <w:rsid w:val="F0F5519B"/>
    <w:rsid w:val="F167CAB1"/>
    <w:rsid w:val="F1BFE9ED"/>
    <w:rsid w:val="F1E37086"/>
    <w:rsid w:val="F1ED405F"/>
    <w:rsid w:val="F27BD834"/>
    <w:rsid w:val="F2BF58D8"/>
    <w:rsid w:val="F2FB57BD"/>
    <w:rsid w:val="F2FF7BA2"/>
    <w:rsid w:val="F31FC317"/>
    <w:rsid w:val="F37F4FEE"/>
    <w:rsid w:val="F39B163C"/>
    <w:rsid w:val="F3BE7DE3"/>
    <w:rsid w:val="F3DFC48A"/>
    <w:rsid w:val="F3DFCAE4"/>
    <w:rsid w:val="F3DFF222"/>
    <w:rsid w:val="F3EB2583"/>
    <w:rsid w:val="F3FD1286"/>
    <w:rsid w:val="F47D5AF7"/>
    <w:rsid w:val="F4BF0967"/>
    <w:rsid w:val="F4BFB974"/>
    <w:rsid w:val="F56F22EA"/>
    <w:rsid w:val="F56F86AE"/>
    <w:rsid w:val="F578C90D"/>
    <w:rsid w:val="F57FF291"/>
    <w:rsid w:val="F5BA7558"/>
    <w:rsid w:val="F5C7FA36"/>
    <w:rsid w:val="F5ED3376"/>
    <w:rsid w:val="F5EFA01E"/>
    <w:rsid w:val="F5F87707"/>
    <w:rsid w:val="F5F9F206"/>
    <w:rsid w:val="F5FF167F"/>
    <w:rsid w:val="F5FF8AA0"/>
    <w:rsid w:val="F5FFAC7B"/>
    <w:rsid w:val="F5FFB075"/>
    <w:rsid w:val="F5FFEF8A"/>
    <w:rsid w:val="F6BB0101"/>
    <w:rsid w:val="F6FC556E"/>
    <w:rsid w:val="F6FDDB1D"/>
    <w:rsid w:val="F6FF8109"/>
    <w:rsid w:val="F6FFB558"/>
    <w:rsid w:val="F73291CF"/>
    <w:rsid w:val="F75EF2F1"/>
    <w:rsid w:val="F76749FE"/>
    <w:rsid w:val="F77D5A68"/>
    <w:rsid w:val="F77F0F55"/>
    <w:rsid w:val="F7B598AD"/>
    <w:rsid w:val="F7B7705E"/>
    <w:rsid w:val="F7B7989D"/>
    <w:rsid w:val="F7BE2F5C"/>
    <w:rsid w:val="F7BFD072"/>
    <w:rsid w:val="F7DF7E8F"/>
    <w:rsid w:val="F7EC0D58"/>
    <w:rsid w:val="F7EC7BB3"/>
    <w:rsid w:val="F7EEC53B"/>
    <w:rsid w:val="F7EFBBEC"/>
    <w:rsid w:val="F7F6DB64"/>
    <w:rsid w:val="F7F79B7A"/>
    <w:rsid w:val="F7FB8AFB"/>
    <w:rsid w:val="F7FEAB6A"/>
    <w:rsid w:val="F7FFAFAC"/>
    <w:rsid w:val="F7FFF598"/>
    <w:rsid w:val="F7FFFEA2"/>
    <w:rsid w:val="F87B109A"/>
    <w:rsid w:val="F8E701ED"/>
    <w:rsid w:val="F8F7D448"/>
    <w:rsid w:val="F8FF5DE6"/>
    <w:rsid w:val="F935474C"/>
    <w:rsid w:val="F973E303"/>
    <w:rsid w:val="F97BD2F7"/>
    <w:rsid w:val="F97E8FAD"/>
    <w:rsid w:val="F989BCE8"/>
    <w:rsid w:val="F9D5EEE4"/>
    <w:rsid w:val="F9EBAD40"/>
    <w:rsid w:val="F9FE34DA"/>
    <w:rsid w:val="FA3B60A2"/>
    <w:rsid w:val="FA67B7F9"/>
    <w:rsid w:val="FA6F3E70"/>
    <w:rsid w:val="FA7F2156"/>
    <w:rsid w:val="FABF5568"/>
    <w:rsid w:val="FAD5A73A"/>
    <w:rsid w:val="FAE6603B"/>
    <w:rsid w:val="FAE7269E"/>
    <w:rsid w:val="FAEF0ACD"/>
    <w:rsid w:val="FAEFD81C"/>
    <w:rsid w:val="FAFBDDD8"/>
    <w:rsid w:val="FAFD88EB"/>
    <w:rsid w:val="FAFE7B2C"/>
    <w:rsid w:val="FB587594"/>
    <w:rsid w:val="FB6DB040"/>
    <w:rsid w:val="FB7ABBD4"/>
    <w:rsid w:val="FB7DFB10"/>
    <w:rsid w:val="FB7F4B15"/>
    <w:rsid w:val="FB7FDA2F"/>
    <w:rsid w:val="FB997A69"/>
    <w:rsid w:val="FBAF1493"/>
    <w:rsid w:val="FBB3EAC1"/>
    <w:rsid w:val="FBBB231F"/>
    <w:rsid w:val="FBBB7E16"/>
    <w:rsid w:val="FBBF0695"/>
    <w:rsid w:val="FBC192C2"/>
    <w:rsid w:val="FBC2B7E7"/>
    <w:rsid w:val="FBC70928"/>
    <w:rsid w:val="FBDBFF00"/>
    <w:rsid w:val="FBE0C1FC"/>
    <w:rsid w:val="FBE2E6C1"/>
    <w:rsid w:val="FBF0ABF8"/>
    <w:rsid w:val="FBF32540"/>
    <w:rsid w:val="FBF6935F"/>
    <w:rsid w:val="FBF76111"/>
    <w:rsid w:val="FBF92603"/>
    <w:rsid w:val="FBFC4870"/>
    <w:rsid w:val="FBFD3067"/>
    <w:rsid w:val="FBFDF176"/>
    <w:rsid w:val="FBFE2CE0"/>
    <w:rsid w:val="FBFEC5B0"/>
    <w:rsid w:val="FBFEEE2D"/>
    <w:rsid w:val="FBFF0D31"/>
    <w:rsid w:val="FBFFC873"/>
    <w:rsid w:val="FBFFF2F4"/>
    <w:rsid w:val="FC55BFA8"/>
    <w:rsid w:val="FC575829"/>
    <w:rsid w:val="FC7898D7"/>
    <w:rsid w:val="FC7F5D0D"/>
    <w:rsid w:val="FCB1D545"/>
    <w:rsid w:val="FCB75032"/>
    <w:rsid w:val="FCBFE769"/>
    <w:rsid w:val="FCDED1FF"/>
    <w:rsid w:val="FCDF580D"/>
    <w:rsid w:val="FCFE1A13"/>
    <w:rsid w:val="FCFE7E79"/>
    <w:rsid w:val="FCFF30AB"/>
    <w:rsid w:val="FD45B524"/>
    <w:rsid w:val="FD754BBA"/>
    <w:rsid w:val="FD7AC442"/>
    <w:rsid w:val="FD7E939C"/>
    <w:rsid w:val="FD7F05A4"/>
    <w:rsid w:val="FD7FF3C1"/>
    <w:rsid w:val="FD8F70B2"/>
    <w:rsid w:val="FDCF27B9"/>
    <w:rsid w:val="FDD5A136"/>
    <w:rsid w:val="FDDABDF9"/>
    <w:rsid w:val="FDDADE22"/>
    <w:rsid w:val="FDDB76C7"/>
    <w:rsid w:val="FDE7330F"/>
    <w:rsid w:val="FDEB3DFF"/>
    <w:rsid w:val="FDEB9D10"/>
    <w:rsid w:val="FDECD6F2"/>
    <w:rsid w:val="FDEDC709"/>
    <w:rsid w:val="FDEF56BA"/>
    <w:rsid w:val="FDF2B6F1"/>
    <w:rsid w:val="FDF36DC7"/>
    <w:rsid w:val="FDF63529"/>
    <w:rsid w:val="FDF74124"/>
    <w:rsid w:val="FDF75B62"/>
    <w:rsid w:val="FDFB2A11"/>
    <w:rsid w:val="FDFD2422"/>
    <w:rsid w:val="FDFD9D19"/>
    <w:rsid w:val="FDFDE6BA"/>
    <w:rsid w:val="FDFEA790"/>
    <w:rsid w:val="FDFF7EAF"/>
    <w:rsid w:val="FDFF94C4"/>
    <w:rsid w:val="FDFFE98A"/>
    <w:rsid w:val="FE1FE7D7"/>
    <w:rsid w:val="FE36DAA5"/>
    <w:rsid w:val="FE53CFCF"/>
    <w:rsid w:val="FE7D59FF"/>
    <w:rsid w:val="FE7E4CB6"/>
    <w:rsid w:val="FE7F97BA"/>
    <w:rsid w:val="FE9B7309"/>
    <w:rsid w:val="FE9EA74D"/>
    <w:rsid w:val="FE9FDBD7"/>
    <w:rsid w:val="FEABB1FD"/>
    <w:rsid w:val="FEB772AB"/>
    <w:rsid w:val="FED94C7D"/>
    <w:rsid w:val="FEDF20A8"/>
    <w:rsid w:val="FEE7520C"/>
    <w:rsid w:val="FEE7C03F"/>
    <w:rsid w:val="FEECB418"/>
    <w:rsid w:val="FEEF16D9"/>
    <w:rsid w:val="FEEF310D"/>
    <w:rsid w:val="FEF7557B"/>
    <w:rsid w:val="FEF8EB3B"/>
    <w:rsid w:val="FEFCF7D4"/>
    <w:rsid w:val="FEFD7249"/>
    <w:rsid w:val="FEFE6B30"/>
    <w:rsid w:val="FEFF4BB5"/>
    <w:rsid w:val="FF2B7C5F"/>
    <w:rsid w:val="FF2D0EBC"/>
    <w:rsid w:val="FF372FFF"/>
    <w:rsid w:val="FF3A91E1"/>
    <w:rsid w:val="FF3FBE0C"/>
    <w:rsid w:val="FF5509FB"/>
    <w:rsid w:val="FF5757B8"/>
    <w:rsid w:val="FF5F2F33"/>
    <w:rsid w:val="FF63452B"/>
    <w:rsid w:val="FF6B77E7"/>
    <w:rsid w:val="FF6F8271"/>
    <w:rsid w:val="FF6FC3D0"/>
    <w:rsid w:val="FF7753CC"/>
    <w:rsid w:val="FF77A231"/>
    <w:rsid w:val="FF7D6919"/>
    <w:rsid w:val="FF7F23FD"/>
    <w:rsid w:val="FF7F32C1"/>
    <w:rsid w:val="FF7F5935"/>
    <w:rsid w:val="FF7F68AE"/>
    <w:rsid w:val="FF7F7A0B"/>
    <w:rsid w:val="FF7F7BA5"/>
    <w:rsid w:val="FF7F97B9"/>
    <w:rsid w:val="FF8FAA62"/>
    <w:rsid w:val="FF8FB52A"/>
    <w:rsid w:val="FF940639"/>
    <w:rsid w:val="FF9B26FD"/>
    <w:rsid w:val="FFA5E8BF"/>
    <w:rsid w:val="FFAE5AAE"/>
    <w:rsid w:val="FFAF258A"/>
    <w:rsid w:val="FFAF41C6"/>
    <w:rsid w:val="FFAFC2A5"/>
    <w:rsid w:val="FFAFE52E"/>
    <w:rsid w:val="FFB2807B"/>
    <w:rsid w:val="FFB7AD4D"/>
    <w:rsid w:val="FFBD3C71"/>
    <w:rsid w:val="FFBE0ACA"/>
    <w:rsid w:val="FFBEB288"/>
    <w:rsid w:val="FFBF4905"/>
    <w:rsid w:val="FFBF6738"/>
    <w:rsid w:val="FFBF8D58"/>
    <w:rsid w:val="FFC2A09D"/>
    <w:rsid w:val="FFC7DDBF"/>
    <w:rsid w:val="FFCB4822"/>
    <w:rsid w:val="FFCE12C2"/>
    <w:rsid w:val="FFCF2151"/>
    <w:rsid w:val="FFCFFEFE"/>
    <w:rsid w:val="FFD36876"/>
    <w:rsid w:val="FFD6FE28"/>
    <w:rsid w:val="FFD97AF0"/>
    <w:rsid w:val="FFDDEB4A"/>
    <w:rsid w:val="FFDF2B71"/>
    <w:rsid w:val="FFDF65FC"/>
    <w:rsid w:val="FFDF79E6"/>
    <w:rsid w:val="FFDF82FC"/>
    <w:rsid w:val="FFDFCCA9"/>
    <w:rsid w:val="FFDFD518"/>
    <w:rsid w:val="FFDFDAB5"/>
    <w:rsid w:val="FFDFE918"/>
    <w:rsid w:val="FFE3CB32"/>
    <w:rsid w:val="FFE75944"/>
    <w:rsid w:val="FFE940FA"/>
    <w:rsid w:val="FFE9E2B2"/>
    <w:rsid w:val="FFEA3193"/>
    <w:rsid w:val="FFEB7173"/>
    <w:rsid w:val="FFEBF2A3"/>
    <w:rsid w:val="FFEC6AC9"/>
    <w:rsid w:val="FFED513F"/>
    <w:rsid w:val="FFEDEFE3"/>
    <w:rsid w:val="FFEF28CC"/>
    <w:rsid w:val="FFEF8DD2"/>
    <w:rsid w:val="FFF15A00"/>
    <w:rsid w:val="FFF39CAC"/>
    <w:rsid w:val="FFF67C4B"/>
    <w:rsid w:val="FFF71217"/>
    <w:rsid w:val="FFF71AB4"/>
    <w:rsid w:val="FFF721F4"/>
    <w:rsid w:val="FFF9166F"/>
    <w:rsid w:val="FFF9F249"/>
    <w:rsid w:val="FFFA0E8C"/>
    <w:rsid w:val="FFFA551F"/>
    <w:rsid w:val="FFFC5155"/>
    <w:rsid w:val="FFFCBBC5"/>
    <w:rsid w:val="FFFD7161"/>
    <w:rsid w:val="FFFD7DAB"/>
    <w:rsid w:val="FFFD8445"/>
    <w:rsid w:val="FFFE50EF"/>
    <w:rsid w:val="FFFE612D"/>
    <w:rsid w:val="FFFE94BE"/>
    <w:rsid w:val="FFFF0927"/>
    <w:rsid w:val="FFFF0E25"/>
    <w:rsid w:val="FFFF0E34"/>
    <w:rsid w:val="FFFF72D0"/>
    <w:rsid w:val="FFFF77C1"/>
    <w:rsid w:val="FFFFB04E"/>
    <w:rsid w:val="FFFFC286"/>
    <w:rsid w:val="FFFFD8F8"/>
    <w:rsid w:val="FFFFDB02"/>
    <w:rsid w:val="FFFFE83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588" w:lineRule="exact"/>
      <w:ind w:firstLine="640" w:firstLineChars="200"/>
      <w:jc w:val="both"/>
    </w:pPr>
    <w:rPr>
      <w:rFonts w:ascii="Times New Roman" w:hAnsi="Times New Roman" w:eastAsia="仿宋_GB2312" w:cs="Times New Roman"/>
      <w:kern w:val="2"/>
      <w:sz w:val="32"/>
      <w:szCs w:val="22"/>
      <w:lang w:val="en-US" w:eastAsia="zh-CN" w:bidi="ar-SA"/>
    </w:rPr>
  </w:style>
  <w:style w:type="paragraph" w:styleId="2">
    <w:name w:val="heading 1"/>
    <w:next w:val="1"/>
    <w:link w:val="41"/>
    <w:qFormat/>
    <w:uiPriority w:val="9"/>
    <w:pPr>
      <w:widowControl w:val="0"/>
      <w:numPr>
        <w:ilvl w:val="0"/>
        <w:numId w:val="1"/>
      </w:numPr>
      <w:adjustRightInd w:val="0"/>
      <w:snapToGrid w:val="0"/>
      <w:spacing w:before="200" w:after="400"/>
      <w:ind w:left="0"/>
      <w:jc w:val="center"/>
      <w:outlineLvl w:val="0"/>
    </w:pPr>
    <w:rPr>
      <w:rFonts w:ascii="Times New Roman" w:hAnsi="Times New Roman" w:eastAsia="方正小标宋简体" w:cs="Times New Roman"/>
      <w:bCs/>
      <w:kern w:val="44"/>
      <w:sz w:val="36"/>
      <w:szCs w:val="44"/>
      <w:lang w:val="en-US" w:eastAsia="zh-CN" w:bidi="ar-SA"/>
    </w:rPr>
  </w:style>
  <w:style w:type="paragraph" w:styleId="3">
    <w:name w:val="heading 2"/>
    <w:next w:val="1"/>
    <w:link w:val="42"/>
    <w:qFormat/>
    <w:uiPriority w:val="9"/>
    <w:pPr>
      <w:keepNext/>
      <w:keepLines/>
      <w:numPr>
        <w:ilvl w:val="1"/>
        <w:numId w:val="1"/>
      </w:numPr>
      <w:adjustRightInd w:val="0"/>
      <w:snapToGrid w:val="0"/>
      <w:spacing w:before="200" w:after="200"/>
      <w:ind w:left="0"/>
      <w:jc w:val="center"/>
      <w:outlineLvl w:val="1"/>
    </w:pPr>
    <w:rPr>
      <w:rFonts w:ascii="黑体" w:hAnsi="Cambria" w:eastAsia="黑体" w:cs="Times New Roman"/>
      <w:bCs/>
      <w:kern w:val="2"/>
      <w:sz w:val="32"/>
      <w:szCs w:val="30"/>
      <w:lang w:val="en-US" w:eastAsia="zh-CN" w:bidi="ar-SA"/>
    </w:rPr>
  </w:style>
  <w:style w:type="paragraph" w:styleId="4">
    <w:name w:val="heading 3"/>
    <w:next w:val="1"/>
    <w:link w:val="43"/>
    <w:qFormat/>
    <w:uiPriority w:val="9"/>
    <w:pPr>
      <w:keepNext/>
      <w:keepLines/>
      <w:numPr>
        <w:ilvl w:val="2"/>
        <w:numId w:val="1"/>
      </w:numPr>
      <w:adjustRightInd w:val="0"/>
      <w:snapToGrid w:val="0"/>
      <w:spacing w:line="588" w:lineRule="exact"/>
      <w:ind w:left="0"/>
      <w:outlineLvl w:val="2"/>
    </w:pPr>
    <w:rPr>
      <w:rFonts w:ascii="黑体" w:hAnsi="黑体" w:eastAsia="楷体_GB2312" w:cs="Times New Roman"/>
      <w:bCs/>
      <w:kern w:val="2"/>
      <w:sz w:val="32"/>
      <w:szCs w:val="32"/>
      <w:lang w:val="en-US" w:eastAsia="zh-CN" w:bidi="ar-SA"/>
    </w:rPr>
  </w:style>
  <w:style w:type="paragraph" w:styleId="5">
    <w:name w:val="heading 4"/>
    <w:next w:val="1"/>
    <w:link w:val="44"/>
    <w:qFormat/>
    <w:uiPriority w:val="9"/>
    <w:pPr>
      <w:keepNext/>
      <w:keepLines/>
      <w:numPr>
        <w:ilvl w:val="3"/>
        <w:numId w:val="1"/>
      </w:numPr>
      <w:adjustRightInd w:val="0"/>
      <w:snapToGrid w:val="0"/>
      <w:spacing w:before="30" w:beforeLines="30" w:after="30" w:afterLines="30" w:line="360" w:lineRule="auto"/>
      <w:outlineLvl w:val="3"/>
    </w:pPr>
    <w:rPr>
      <w:rFonts w:ascii="宋体" w:hAnsi="宋体" w:eastAsia="宋体" w:cs="Times New Roman"/>
      <w:b/>
      <w:bCs/>
      <w:kern w:val="2"/>
      <w:sz w:val="24"/>
      <w:szCs w:val="28"/>
      <w:lang w:val="en-US" w:eastAsia="zh-CN" w:bidi="ar-SA"/>
    </w:rPr>
  </w:style>
  <w:style w:type="paragraph" w:styleId="6">
    <w:name w:val="heading 5"/>
    <w:basedOn w:val="5"/>
    <w:next w:val="1"/>
    <w:link w:val="45"/>
    <w:qFormat/>
    <w:uiPriority w:val="9"/>
    <w:pPr>
      <w:numPr>
        <w:ilvl w:val="4"/>
      </w:numPr>
      <w:outlineLvl w:val="4"/>
    </w:pPr>
  </w:style>
  <w:style w:type="paragraph" w:styleId="7">
    <w:name w:val="heading 6"/>
    <w:basedOn w:val="1"/>
    <w:next w:val="1"/>
    <w:link w:val="46"/>
    <w:qFormat/>
    <w:uiPriority w:val="9"/>
    <w:pPr>
      <w:keepNext/>
      <w:keepLines/>
      <w:spacing w:before="240" w:after="64" w:line="320" w:lineRule="auto"/>
      <w:ind w:firstLine="0" w:firstLineChars="0"/>
      <w:outlineLvl w:val="5"/>
    </w:pPr>
    <w:rPr>
      <w:rFonts w:ascii="Cambria" w:hAnsi="Cambria"/>
      <w:b/>
      <w:bCs/>
      <w:szCs w:val="24"/>
    </w:rPr>
  </w:style>
  <w:style w:type="paragraph" w:styleId="8">
    <w:name w:val="heading 7"/>
    <w:basedOn w:val="1"/>
    <w:next w:val="1"/>
    <w:link w:val="47"/>
    <w:qFormat/>
    <w:uiPriority w:val="9"/>
    <w:pPr>
      <w:keepNext/>
      <w:keepLines/>
      <w:spacing w:before="240" w:after="64" w:line="320" w:lineRule="auto"/>
      <w:ind w:firstLine="0" w:firstLineChars="0"/>
      <w:outlineLvl w:val="6"/>
    </w:pPr>
    <w:rPr>
      <w:b/>
      <w:bCs/>
      <w:szCs w:val="24"/>
    </w:rPr>
  </w:style>
  <w:style w:type="paragraph" w:styleId="9">
    <w:name w:val="heading 8"/>
    <w:basedOn w:val="1"/>
    <w:next w:val="1"/>
    <w:link w:val="48"/>
    <w:qFormat/>
    <w:uiPriority w:val="9"/>
    <w:pPr>
      <w:keepNext/>
      <w:keepLines/>
      <w:numPr>
        <w:ilvl w:val="7"/>
        <w:numId w:val="1"/>
      </w:numPr>
      <w:spacing w:before="240" w:after="64" w:line="320" w:lineRule="auto"/>
      <w:ind w:firstLine="0" w:firstLineChars="0"/>
      <w:outlineLvl w:val="7"/>
    </w:pPr>
    <w:rPr>
      <w:rFonts w:ascii="Cambria" w:hAnsi="Cambria"/>
      <w:szCs w:val="24"/>
    </w:rPr>
  </w:style>
  <w:style w:type="paragraph" w:styleId="10">
    <w:name w:val="heading 9"/>
    <w:basedOn w:val="1"/>
    <w:next w:val="1"/>
    <w:link w:val="49"/>
    <w:qFormat/>
    <w:uiPriority w:val="9"/>
    <w:pPr>
      <w:keepNext/>
      <w:keepLines/>
      <w:numPr>
        <w:ilvl w:val="8"/>
        <w:numId w:val="1"/>
      </w:numPr>
      <w:spacing w:before="240" w:after="64" w:line="320" w:lineRule="auto"/>
      <w:ind w:firstLine="0" w:firstLineChars="0"/>
      <w:outlineLvl w:val="8"/>
    </w:pPr>
    <w:rPr>
      <w:rFonts w:ascii="Cambria" w:hAnsi="Cambria"/>
      <w:szCs w:val="21"/>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widowControl w:val="0"/>
      <w:adjustRightInd/>
      <w:snapToGrid/>
      <w:spacing w:line="240" w:lineRule="auto"/>
      <w:ind w:left="2520" w:leftChars="1200" w:firstLine="0" w:firstLineChars="0"/>
    </w:pPr>
    <w:rPr>
      <w:rFonts w:asciiTheme="minorHAnsi" w:hAnsiTheme="minorHAnsi" w:eastAsiaTheme="minorEastAsia" w:cstheme="minorBidi"/>
      <w:sz w:val="21"/>
    </w:rPr>
  </w:style>
  <w:style w:type="paragraph" w:styleId="12">
    <w:name w:val="caption"/>
    <w:basedOn w:val="1"/>
    <w:next w:val="1"/>
    <w:qFormat/>
    <w:uiPriority w:val="35"/>
    <w:pPr>
      <w:widowControl w:val="0"/>
      <w:adjustRightInd/>
      <w:snapToGrid/>
    </w:pPr>
    <w:rPr>
      <w:rFonts w:ascii="等线 Light" w:hAnsi="等线 Light" w:eastAsia="黑体"/>
      <w:sz w:val="20"/>
      <w:szCs w:val="20"/>
    </w:rPr>
  </w:style>
  <w:style w:type="paragraph" w:styleId="13">
    <w:name w:val="annotation text"/>
    <w:basedOn w:val="1"/>
    <w:link w:val="66"/>
    <w:unhideWhenUsed/>
    <w:qFormat/>
    <w:uiPriority w:val="99"/>
    <w:pPr>
      <w:jc w:val="left"/>
    </w:pPr>
  </w:style>
  <w:style w:type="paragraph" w:styleId="14">
    <w:name w:val="Body Text"/>
    <w:basedOn w:val="1"/>
    <w:link w:val="81"/>
    <w:unhideWhenUsed/>
    <w:qFormat/>
    <w:uiPriority w:val="1"/>
    <w:pPr>
      <w:widowControl w:val="0"/>
      <w:spacing w:after="120"/>
    </w:pPr>
    <w:rPr>
      <w:sz w:val="28"/>
      <w:szCs w:val="24"/>
    </w:rPr>
  </w:style>
  <w:style w:type="paragraph" w:styleId="15">
    <w:name w:val="Body Text Indent"/>
    <w:basedOn w:val="1"/>
    <w:link w:val="76"/>
    <w:unhideWhenUsed/>
    <w:qFormat/>
    <w:uiPriority w:val="99"/>
    <w:pPr>
      <w:spacing w:after="120"/>
      <w:ind w:left="420" w:leftChars="200"/>
    </w:pPr>
  </w:style>
  <w:style w:type="paragraph" w:styleId="16">
    <w:name w:val="toc 5"/>
    <w:basedOn w:val="1"/>
    <w:next w:val="1"/>
    <w:unhideWhenUsed/>
    <w:qFormat/>
    <w:uiPriority w:val="39"/>
    <w:pPr>
      <w:widowControl w:val="0"/>
      <w:adjustRightInd/>
      <w:snapToGrid/>
      <w:spacing w:line="240" w:lineRule="auto"/>
      <w:ind w:left="1680" w:leftChars="800" w:firstLine="0" w:firstLineChars="0"/>
    </w:pPr>
    <w:rPr>
      <w:rFonts w:asciiTheme="minorHAnsi" w:hAnsiTheme="minorHAnsi" w:eastAsiaTheme="minorEastAsia" w:cstheme="minorBidi"/>
      <w:sz w:val="21"/>
    </w:rPr>
  </w:style>
  <w:style w:type="paragraph" w:styleId="17">
    <w:name w:val="toc 3"/>
    <w:next w:val="1"/>
    <w:unhideWhenUsed/>
    <w:qFormat/>
    <w:uiPriority w:val="39"/>
    <w:pPr>
      <w:adjustRightInd w:val="0"/>
      <w:snapToGrid w:val="0"/>
      <w:spacing w:before="50" w:beforeLines="50" w:after="50" w:afterLines="50"/>
      <w:ind w:left="680"/>
      <w:jc w:val="both"/>
    </w:pPr>
    <w:rPr>
      <w:rFonts w:ascii="等线" w:hAnsi="等线" w:eastAsia="黑体" w:cs="Times New Roman"/>
      <w:sz w:val="24"/>
      <w:szCs w:val="22"/>
      <w:lang w:val="en-US" w:eastAsia="zh-CN" w:bidi="ar-SA"/>
    </w:rPr>
  </w:style>
  <w:style w:type="paragraph" w:styleId="18">
    <w:name w:val="toc 8"/>
    <w:basedOn w:val="1"/>
    <w:next w:val="1"/>
    <w:unhideWhenUsed/>
    <w:qFormat/>
    <w:uiPriority w:val="39"/>
    <w:pPr>
      <w:widowControl w:val="0"/>
      <w:adjustRightInd/>
      <w:snapToGrid/>
      <w:spacing w:line="240" w:lineRule="auto"/>
      <w:ind w:left="2940" w:leftChars="1400" w:firstLine="0" w:firstLineChars="0"/>
    </w:pPr>
    <w:rPr>
      <w:rFonts w:asciiTheme="minorHAnsi" w:hAnsiTheme="minorHAnsi" w:eastAsiaTheme="minorEastAsia" w:cstheme="minorBidi"/>
      <w:sz w:val="21"/>
    </w:rPr>
  </w:style>
  <w:style w:type="paragraph" w:styleId="19">
    <w:name w:val="Date"/>
    <w:basedOn w:val="1"/>
    <w:next w:val="1"/>
    <w:link w:val="100"/>
    <w:semiHidden/>
    <w:unhideWhenUsed/>
    <w:qFormat/>
    <w:uiPriority w:val="99"/>
    <w:pPr>
      <w:ind w:left="100" w:leftChars="2500"/>
    </w:pPr>
  </w:style>
  <w:style w:type="paragraph" w:styleId="20">
    <w:name w:val="Balloon Text"/>
    <w:basedOn w:val="1"/>
    <w:link w:val="71"/>
    <w:unhideWhenUsed/>
    <w:qFormat/>
    <w:uiPriority w:val="99"/>
    <w:pPr>
      <w:widowControl w:val="0"/>
      <w:adjustRightInd/>
      <w:snapToGrid/>
      <w:spacing w:afterLines="50" w:line="240" w:lineRule="auto"/>
      <w:ind w:firstLine="480"/>
    </w:pPr>
    <w:rPr>
      <w:rFonts w:asciiTheme="minorHAnsi" w:hAnsiTheme="minorHAnsi" w:eastAsiaTheme="minorEastAsia" w:cstheme="minorBidi"/>
      <w:sz w:val="18"/>
      <w:szCs w:val="18"/>
    </w:rPr>
  </w:style>
  <w:style w:type="paragraph" w:styleId="21">
    <w:name w:val="footer"/>
    <w:basedOn w:val="1"/>
    <w:link w:val="52"/>
    <w:unhideWhenUsed/>
    <w:qFormat/>
    <w:uiPriority w:val="99"/>
    <w:pPr>
      <w:tabs>
        <w:tab w:val="center" w:pos="4153"/>
        <w:tab w:val="right" w:pos="8306"/>
      </w:tabs>
      <w:jc w:val="left"/>
    </w:pPr>
    <w:rPr>
      <w:rFonts w:asciiTheme="minorHAnsi" w:hAnsiTheme="minorHAnsi" w:eastAsiaTheme="minorEastAsia" w:cstheme="minorBidi"/>
      <w:sz w:val="18"/>
      <w:szCs w:val="18"/>
    </w:rPr>
  </w:style>
  <w:style w:type="paragraph" w:styleId="22">
    <w:name w:val="header"/>
    <w:link w:val="59"/>
    <w:unhideWhenUsed/>
    <w:qFormat/>
    <w:uiPriority w:val="99"/>
    <w:pPr>
      <w:pBdr>
        <w:bottom w:val="single" w:color="auto" w:sz="6" w:space="1"/>
      </w:pBdr>
      <w:adjustRightInd w:val="0"/>
      <w:snapToGrid w:val="0"/>
    </w:pPr>
    <w:rPr>
      <w:rFonts w:ascii="宋体" w:eastAsia="宋体" w:hAnsiTheme="minorHAnsi" w:cstheme="minorBidi"/>
      <w:kern w:val="2"/>
      <w:sz w:val="18"/>
      <w:szCs w:val="18"/>
      <w:lang w:val="en-US" w:eastAsia="zh-CN" w:bidi="ar-SA"/>
    </w:rPr>
  </w:style>
  <w:style w:type="paragraph" w:styleId="23">
    <w:name w:val="toc 1"/>
    <w:next w:val="1"/>
    <w:unhideWhenUsed/>
    <w:qFormat/>
    <w:uiPriority w:val="39"/>
    <w:pPr>
      <w:adjustRightInd w:val="0"/>
      <w:snapToGrid w:val="0"/>
      <w:spacing w:line="600" w:lineRule="exact"/>
      <w:jc w:val="both"/>
    </w:pPr>
    <w:rPr>
      <w:rFonts w:ascii="等线" w:hAnsi="等线" w:eastAsia="楷体_GB2312" w:cs="Times New Roman"/>
      <w:sz w:val="32"/>
      <w:szCs w:val="22"/>
      <w:lang w:val="en-US" w:eastAsia="zh-CN" w:bidi="ar-SA"/>
    </w:rPr>
  </w:style>
  <w:style w:type="paragraph" w:styleId="24">
    <w:name w:val="toc 4"/>
    <w:basedOn w:val="1"/>
    <w:next w:val="1"/>
    <w:unhideWhenUsed/>
    <w:qFormat/>
    <w:uiPriority w:val="39"/>
    <w:pPr>
      <w:widowControl w:val="0"/>
      <w:adjustRightInd/>
      <w:snapToGrid/>
      <w:spacing w:line="240" w:lineRule="auto"/>
      <w:ind w:left="1260" w:leftChars="600" w:firstLine="0" w:firstLineChars="0"/>
    </w:pPr>
    <w:rPr>
      <w:rFonts w:asciiTheme="minorHAnsi" w:hAnsiTheme="minorHAnsi" w:eastAsiaTheme="minorEastAsia" w:cstheme="minorBidi"/>
      <w:sz w:val="21"/>
    </w:rPr>
  </w:style>
  <w:style w:type="paragraph" w:styleId="25">
    <w:name w:val="toc 6"/>
    <w:basedOn w:val="1"/>
    <w:next w:val="1"/>
    <w:unhideWhenUsed/>
    <w:qFormat/>
    <w:uiPriority w:val="39"/>
    <w:pPr>
      <w:widowControl w:val="0"/>
      <w:adjustRightInd/>
      <w:snapToGrid/>
      <w:spacing w:line="240" w:lineRule="auto"/>
      <w:ind w:left="2100" w:leftChars="1000" w:firstLine="0" w:firstLineChars="0"/>
    </w:pPr>
    <w:rPr>
      <w:rFonts w:asciiTheme="minorHAnsi" w:hAnsiTheme="minorHAnsi" w:eastAsiaTheme="minorEastAsia" w:cstheme="minorBidi"/>
      <w:sz w:val="21"/>
    </w:rPr>
  </w:style>
  <w:style w:type="paragraph" w:styleId="26">
    <w:name w:val="toc 2"/>
    <w:next w:val="1"/>
    <w:unhideWhenUsed/>
    <w:qFormat/>
    <w:uiPriority w:val="39"/>
    <w:pPr>
      <w:adjustRightInd w:val="0"/>
      <w:snapToGrid w:val="0"/>
      <w:spacing w:line="600" w:lineRule="exact"/>
      <w:ind w:left="200" w:leftChars="200" w:firstLine="68" w:firstLineChars="68"/>
      <w:jc w:val="both"/>
    </w:pPr>
    <w:rPr>
      <w:rFonts w:ascii="等线" w:hAnsi="等线" w:eastAsia="楷体_GB2312" w:cs="Times New Roman"/>
      <w:sz w:val="32"/>
      <w:szCs w:val="22"/>
      <w:lang w:val="en-US" w:eastAsia="zh-CN" w:bidi="ar-SA"/>
    </w:rPr>
  </w:style>
  <w:style w:type="paragraph" w:styleId="27">
    <w:name w:val="toc 9"/>
    <w:basedOn w:val="1"/>
    <w:next w:val="1"/>
    <w:unhideWhenUsed/>
    <w:qFormat/>
    <w:uiPriority w:val="39"/>
    <w:pPr>
      <w:widowControl w:val="0"/>
      <w:adjustRightInd/>
      <w:snapToGrid/>
      <w:spacing w:line="240" w:lineRule="auto"/>
      <w:ind w:left="3360" w:leftChars="1600" w:firstLine="0" w:firstLineChars="0"/>
    </w:pPr>
    <w:rPr>
      <w:rFonts w:asciiTheme="minorHAnsi" w:hAnsiTheme="minorHAnsi" w:eastAsiaTheme="minorEastAsia" w:cstheme="minorBidi"/>
      <w:sz w:val="21"/>
    </w:rPr>
  </w:style>
  <w:style w:type="paragraph" w:styleId="28">
    <w:name w:val="HTML Preformatted"/>
    <w:basedOn w:val="1"/>
    <w:link w:val="75"/>
    <w:unhideWhenUsed/>
    <w:qFormat/>
    <w:uiPriority w:val="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before="156" w:after="156" w:afterLines="50"/>
      <w:ind w:firstLine="480"/>
      <w:jc w:val="left"/>
    </w:pPr>
    <w:rPr>
      <w:rFonts w:hint="eastAsia"/>
      <w:kern w:val="0"/>
      <w:szCs w:val="24"/>
    </w:rPr>
  </w:style>
  <w:style w:type="paragraph" w:styleId="29">
    <w:name w:val="Normal (Web)"/>
    <w:basedOn w:val="1"/>
    <w:unhideWhenUsed/>
    <w:qFormat/>
    <w:uiPriority w:val="99"/>
    <w:pPr>
      <w:widowControl w:val="0"/>
      <w:adjustRightInd/>
      <w:snapToGrid/>
      <w:spacing w:afterLines="50"/>
      <w:ind w:firstLine="480"/>
      <w:jc w:val="left"/>
    </w:pPr>
    <w:rPr>
      <w:kern w:val="0"/>
    </w:rPr>
  </w:style>
  <w:style w:type="paragraph" w:styleId="30">
    <w:name w:val="annotation subject"/>
    <w:basedOn w:val="13"/>
    <w:next w:val="13"/>
    <w:link w:val="67"/>
    <w:unhideWhenUsed/>
    <w:qFormat/>
    <w:uiPriority w:val="99"/>
    <w:rPr>
      <w:b/>
      <w:bCs/>
    </w:rPr>
  </w:style>
  <w:style w:type="table" w:styleId="32">
    <w:name w:val="Table Grid"/>
    <w:basedOn w:val="3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qFormat/>
    <w:uiPriority w:val="22"/>
    <w:rPr>
      <w:b/>
      <w:bCs/>
    </w:rPr>
  </w:style>
  <w:style w:type="character" w:styleId="35">
    <w:name w:val="FollowedHyperlink"/>
    <w:basedOn w:val="33"/>
    <w:semiHidden/>
    <w:unhideWhenUsed/>
    <w:qFormat/>
    <w:uiPriority w:val="99"/>
    <w:rPr>
      <w:color w:val="954F72"/>
      <w:u w:val="single"/>
    </w:rPr>
  </w:style>
  <w:style w:type="character" w:styleId="36">
    <w:name w:val="Emphasis"/>
    <w:qFormat/>
    <w:uiPriority w:val="20"/>
    <w:rPr>
      <w:i/>
      <w:iCs/>
    </w:rPr>
  </w:style>
  <w:style w:type="character" w:styleId="37">
    <w:name w:val="Hyperlink"/>
    <w:unhideWhenUsed/>
    <w:qFormat/>
    <w:uiPriority w:val="99"/>
    <w:rPr>
      <w:color w:val="0563C1"/>
      <w:u w:val="single"/>
    </w:rPr>
  </w:style>
  <w:style w:type="character" w:styleId="38">
    <w:name w:val="annotation reference"/>
    <w:unhideWhenUsed/>
    <w:qFormat/>
    <w:uiPriority w:val="99"/>
    <w:rPr>
      <w:sz w:val="21"/>
      <w:szCs w:val="21"/>
    </w:rPr>
  </w:style>
  <w:style w:type="character" w:customStyle="1" w:styleId="39">
    <w:name w:val="无间隔 字符"/>
    <w:link w:val="40"/>
    <w:qFormat/>
    <w:uiPriority w:val="1"/>
    <w:rPr>
      <w:sz w:val="24"/>
      <w:szCs w:val="32"/>
    </w:rPr>
  </w:style>
  <w:style w:type="paragraph" w:styleId="40">
    <w:name w:val="No Spacing"/>
    <w:link w:val="39"/>
    <w:qFormat/>
    <w:uiPriority w:val="1"/>
    <w:pPr>
      <w:widowControl w:val="0"/>
      <w:jc w:val="both"/>
    </w:pPr>
    <w:rPr>
      <w:rFonts w:asciiTheme="minorHAnsi" w:hAnsiTheme="minorHAnsi" w:eastAsiaTheme="minorEastAsia" w:cstheme="minorBidi"/>
      <w:kern w:val="2"/>
      <w:sz w:val="24"/>
      <w:szCs w:val="32"/>
      <w:lang w:val="en-US" w:eastAsia="zh-CN" w:bidi="ar-SA"/>
    </w:rPr>
  </w:style>
  <w:style w:type="character" w:customStyle="1" w:styleId="41">
    <w:name w:val="标题 1 字符"/>
    <w:basedOn w:val="33"/>
    <w:link w:val="2"/>
    <w:qFormat/>
    <w:uiPriority w:val="9"/>
    <w:rPr>
      <w:rFonts w:eastAsia="方正小标宋简体"/>
      <w:bCs/>
      <w:kern w:val="44"/>
      <w:sz w:val="36"/>
      <w:szCs w:val="44"/>
    </w:rPr>
  </w:style>
  <w:style w:type="character" w:customStyle="1" w:styleId="42">
    <w:name w:val="标题 2 字符"/>
    <w:basedOn w:val="33"/>
    <w:link w:val="3"/>
    <w:qFormat/>
    <w:uiPriority w:val="9"/>
    <w:rPr>
      <w:rFonts w:ascii="黑体" w:hAnsi="Cambria" w:eastAsia="黑体"/>
      <w:bCs/>
      <w:kern w:val="2"/>
      <w:sz w:val="32"/>
      <w:szCs w:val="30"/>
    </w:rPr>
  </w:style>
  <w:style w:type="character" w:customStyle="1" w:styleId="43">
    <w:name w:val="标题 3 字符"/>
    <w:basedOn w:val="33"/>
    <w:link w:val="4"/>
    <w:qFormat/>
    <w:uiPriority w:val="9"/>
    <w:rPr>
      <w:rFonts w:ascii="黑体" w:hAnsi="黑体" w:eastAsia="楷体_GB2312"/>
      <w:bCs/>
      <w:kern w:val="2"/>
      <w:sz w:val="32"/>
      <w:szCs w:val="32"/>
    </w:rPr>
  </w:style>
  <w:style w:type="character" w:customStyle="1" w:styleId="44">
    <w:name w:val="标题 4 字符"/>
    <w:basedOn w:val="33"/>
    <w:link w:val="5"/>
    <w:qFormat/>
    <w:uiPriority w:val="9"/>
    <w:rPr>
      <w:rFonts w:ascii="宋体" w:hAnsi="宋体"/>
      <w:b/>
      <w:bCs/>
      <w:kern w:val="2"/>
      <w:sz w:val="24"/>
      <w:szCs w:val="28"/>
    </w:rPr>
  </w:style>
  <w:style w:type="character" w:customStyle="1" w:styleId="45">
    <w:name w:val="标题 5 字符"/>
    <w:basedOn w:val="33"/>
    <w:link w:val="6"/>
    <w:qFormat/>
    <w:uiPriority w:val="9"/>
    <w:rPr>
      <w:rFonts w:ascii="宋体" w:hAnsi="宋体"/>
      <w:b/>
      <w:bCs/>
      <w:kern w:val="2"/>
      <w:sz w:val="24"/>
      <w:szCs w:val="28"/>
    </w:rPr>
  </w:style>
  <w:style w:type="character" w:customStyle="1" w:styleId="46">
    <w:name w:val="标题 6 字符"/>
    <w:basedOn w:val="33"/>
    <w:link w:val="7"/>
    <w:qFormat/>
    <w:uiPriority w:val="9"/>
    <w:rPr>
      <w:rFonts w:ascii="Cambria" w:hAnsi="Cambria" w:eastAsia="宋体" w:cs="Times New Roman"/>
      <w:b/>
      <w:bCs/>
      <w:sz w:val="24"/>
      <w:szCs w:val="24"/>
    </w:rPr>
  </w:style>
  <w:style w:type="character" w:customStyle="1" w:styleId="47">
    <w:name w:val="标题 7 字符"/>
    <w:basedOn w:val="33"/>
    <w:link w:val="8"/>
    <w:qFormat/>
    <w:uiPriority w:val="9"/>
    <w:rPr>
      <w:rFonts w:ascii="Times New Roman" w:hAnsi="Times New Roman" w:eastAsia="宋体" w:cs="Times New Roman"/>
      <w:b/>
      <w:bCs/>
      <w:sz w:val="24"/>
      <w:szCs w:val="24"/>
    </w:rPr>
  </w:style>
  <w:style w:type="character" w:customStyle="1" w:styleId="48">
    <w:name w:val="标题 8 字符"/>
    <w:basedOn w:val="33"/>
    <w:link w:val="9"/>
    <w:qFormat/>
    <w:uiPriority w:val="9"/>
    <w:rPr>
      <w:rFonts w:ascii="Cambria" w:hAnsi="Cambria"/>
      <w:kern w:val="2"/>
      <w:sz w:val="24"/>
      <w:szCs w:val="24"/>
    </w:rPr>
  </w:style>
  <w:style w:type="character" w:customStyle="1" w:styleId="49">
    <w:name w:val="标题 9 字符"/>
    <w:basedOn w:val="33"/>
    <w:link w:val="10"/>
    <w:qFormat/>
    <w:uiPriority w:val="9"/>
    <w:rPr>
      <w:rFonts w:ascii="Cambria" w:hAnsi="Cambria"/>
      <w:kern w:val="2"/>
      <w:sz w:val="24"/>
      <w:szCs w:val="21"/>
    </w:rPr>
  </w:style>
  <w:style w:type="character" w:customStyle="1" w:styleId="50">
    <w:name w:val="表格正文 字符"/>
    <w:link w:val="51"/>
    <w:qFormat/>
    <w:uiPriority w:val="0"/>
    <w:rPr>
      <w:rFonts w:ascii="宋体" w:hAnsi="宋体" w:eastAsia="宋体"/>
    </w:rPr>
  </w:style>
  <w:style w:type="paragraph" w:customStyle="1" w:styleId="51">
    <w:name w:val="表格正文"/>
    <w:link w:val="50"/>
    <w:qFormat/>
    <w:uiPriority w:val="0"/>
    <w:pPr>
      <w:adjustRightInd w:val="0"/>
      <w:snapToGrid w:val="0"/>
      <w:jc w:val="center"/>
    </w:pPr>
    <w:rPr>
      <w:rFonts w:ascii="宋体" w:hAnsi="宋体" w:eastAsia="宋体" w:cstheme="minorBidi"/>
      <w:kern w:val="2"/>
      <w:sz w:val="21"/>
      <w:szCs w:val="22"/>
      <w:lang w:val="en-US" w:eastAsia="zh-CN" w:bidi="ar-SA"/>
    </w:rPr>
  </w:style>
  <w:style w:type="character" w:customStyle="1" w:styleId="52">
    <w:name w:val="页脚 字符"/>
    <w:link w:val="21"/>
    <w:qFormat/>
    <w:uiPriority w:val="99"/>
    <w:rPr>
      <w:sz w:val="18"/>
      <w:szCs w:val="18"/>
    </w:rPr>
  </w:style>
  <w:style w:type="character" w:customStyle="1" w:styleId="53">
    <w:name w:val="页脚 字符1"/>
    <w:basedOn w:val="33"/>
    <w:semiHidden/>
    <w:qFormat/>
    <w:uiPriority w:val="99"/>
    <w:rPr>
      <w:rFonts w:ascii="Times New Roman" w:hAnsi="Times New Roman" w:eastAsia="宋体" w:cs="Times New Roman"/>
      <w:sz w:val="18"/>
      <w:szCs w:val="18"/>
    </w:rPr>
  </w:style>
  <w:style w:type="paragraph" w:customStyle="1" w:styleId="54">
    <w:name w:val="封面"/>
    <w:basedOn w:val="1"/>
    <w:link w:val="55"/>
    <w:qFormat/>
    <w:uiPriority w:val="0"/>
    <w:pPr>
      <w:spacing w:before="400" w:beforeLines="400"/>
      <w:ind w:firstLine="0" w:firstLineChars="0"/>
      <w:jc w:val="center"/>
    </w:pPr>
    <w:rPr>
      <w:rFonts w:ascii="黑体" w:eastAsia="黑体"/>
      <w:b/>
      <w:spacing w:val="80"/>
      <w:sz w:val="72"/>
      <w:szCs w:val="72"/>
    </w:rPr>
  </w:style>
  <w:style w:type="character" w:customStyle="1" w:styleId="55">
    <w:name w:val="封面 字符"/>
    <w:link w:val="54"/>
    <w:qFormat/>
    <w:uiPriority w:val="0"/>
    <w:rPr>
      <w:rFonts w:ascii="黑体" w:hAnsi="Times New Roman" w:eastAsia="黑体" w:cs="Times New Roman"/>
      <w:b/>
      <w:spacing w:val="80"/>
      <w:sz w:val="72"/>
      <w:szCs w:val="72"/>
    </w:rPr>
  </w:style>
  <w:style w:type="character" w:customStyle="1" w:styleId="56">
    <w:name w:val="明显强调1"/>
    <w:qFormat/>
    <w:uiPriority w:val="21"/>
    <w:rPr>
      <w:i/>
      <w:iCs/>
      <w:color w:val="4472C4"/>
    </w:rPr>
  </w:style>
  <w:style w:type="paragraph" w:customStyle="1" w:styleId="57">
    <w:name w:val="附表"/>
    <w:next w:val="1"/>
    <w:link w:val="58"/>
    <w:qFormat/>
    <w:uiPriority w:val="0"/>
    <w:pPr>
      <w:widowControl w:val="0"/>
      <w:adjustRightInd w:val="0"/>
      <w:snapToGrid w:val="0"/>
      <w:jc w:val="center"/>
      <w:outlineLvl w:val="0"/>
    </w:pPr>
    <w:rPr>
      <w:rFonts w:ascii="黑体" w:hAnsi="Times New Roman" w:eastAsia="仿宋_GB2312" w:cs="Times New Roman"/>
      <w:bCs/>
      <w:kern w:val="44"/>
      <w:sz w:val="21"/>
      <w:szCs w:val="44"/>
      <w:lang w:val="en-US" w:eastAsia="zh-CN" w:bidi="ar-SA"/>
    </w:rPr>
  </w:style>
  <w:style w:type="character" w:customStyle="1" w:styleId="58">
    <w:name w:val="附表 字符"/>
    <w:link w:val="57"/>
    <w:qFormat/>
    <w:uiPriority w:val="0"/>
    <w:rPr>
      <w:rFonts w:ascii="黑体" w:eastAsia="仿宋_GB2312"/>
      <w:bCs/>
      <w:kern w:val="44"/>
      <w:sz w:val="21"/>
      <w:szCs w:val="44"/>
    </w:rPr>
  </w:style>
  <w:style w:type="character" w:customStyle="1" w:styleId="59">
    <w:name w:val="页眉 字符"/>
    <w:link w:val="22"/>
    <w:qFormat/>
    <w:uiPriority w:val="99"/>
    <w:rPr>
      <w:rFonts w:ascii="宋体" w:eastAsia="宋体"/>
      <w:sz w:val="18"/>
      <w:szCs w:val="18"/>
    </w:rPr>
  </w:style>
  <w:style w:type="character" w:customStyle="1" w:styleId="60">
    <w:name w:val="页眉 字符1"/>
    <w:basedOn w:val="33"/>
    <w:semiHidden/>
    <w:qFormat/>
    <w:uiPriority w:val="99"/>
    <w:rPr>
      <w:rFonts w:ascii="Times New Roman" w:hAnsi="Times New Roman" w:eastAsia="宋体" w:cs="Times New Roman"/>
      <w:sz w:val="18"/>
      <w:szCs w:val="18"/>
    </w:rPr>
  </w:style>
  <w:style w:type="table" w:customStyle="1" w:styleId="61">
    <w:name w:val="样式1"/>
    <w:basedOn w:val="31"/>
    <w:qFormat/>
    <w:uiPriority w:val="99"/>
    <w:pPr>
      <w:adjustRightInd w:val="0"/>
      <w:snapToGrid w:val="0"/>
      <w:jc w:val="center"/>
    </w:pPr>
    <w:rPr>
      <w:rFonts w:ascii="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cantSplit/>
    </w:trPr>
    <w:tcPr>
      <w:vAlign w:val="center"/>
    </w:tcPr>
    <w:tblStylePr w:type="firstRow">
      <w:pPr>
        <w:keepNext/>
        <w:keepLines w:val="0"/>
        <w:pageBreakBefore w:val="0"/>
        <w:widowControl/>
        <w:suppressLineNumbers w:val="0"/>
        <w:suppressAutoHyphens w:val="0"/>
        <w:kinsoku/>
        <w:wordWrap/>
        <w:overflowPunct/>
        <w:topLinePunct w:val="0"/>
        <w:autoSpaceDE/>
        <w:autoSpaceDN/>
        <w:adjustRightInd w:val="0"/>
        <w:snapToGrid w:val="0"/>
        <w:contextualSpacing w:val="0"/>
        <w:jc w:val="center"/>
      </w:pPr>
      <w:rPr>
        <w:rFonts w:eastAsia="宋体"/>
        <w:b/>
        <w:sz w:val="21"/>
      </w:rPr>
      <w:tblPr/>
      <w:trPr>
        <w:tblHeader/>
      </w:trPr>
      <w:tcPr>
        <w:shd w:val="clear" w:color="auto" w:fill="BFBFBF"/>
      </w:tcPr>
    </w:tblStylePr>
  </w:style>
  <w:style w:type="paragraph" w:customStyle="1" w:styleId="62">
    <w:name w:val="TOC 标题1"/>
    <w:basedOn w:val="2"/>
    <w:next w:val="1"/>
    <w:qFormat/>
    <w:uiPriority w:val="39"/>
    <w:pPr>
      <w:numPr>
        <w:numId w:val="0"/>
      </w:numPr>
      <w:spacing w:beforeAutospacing="1"/>
      <w:outlineLvl w:val="9"/>
    </w:pPr>
    <w:rPr>
      <w:rFonts w:ascii="等线 Light" w:hAnsi="等线 Light"/>
      <w:b/>
      <w:bCs w:val="0"/>
      <w:kern w:val="0"/>
      <w:sz w:val="44"/>
      <w:szCs w:val="32"/>
    </w:rPr>
  </w:style>
  <w:style w:type="paragraph" w:customStyle="1" w:styleId="63">
    <w:name w:val="图名"/>
    <w:basedOn w:val="64"/>
    <w:next w:val="1"/>
    <w:link w:val="65"/>
    <w:qFormat/>
    <w:uiPriority w:val="0"/>
    <w:pPr>
      <w:keepNext w:val="0"/>
    </w:pPr>
  </w:style>
  <w:style w:type="paragraph" w:customStyle="1" w:styleId="64">
    <w:name w:val="表名"/>
    <w:next w:val="51"/>
    <w:link w:val="77"/>
    <w:qFormat/>
    <w:uiPriority w:val="0"/>
    <w:pPr>
      <w:keepNext/>
      <w:keepLines/>
      <w:numPr>
        <w:ilvl w:val="5"/>
        <w:numId w:val="1"/>
      </w:numPr>
      <w:adjustRightInd w:val="0"/>
      <w:snapToGrid w:val="0"/>
      <w:outlineLvl w:val="1"/>
    </w:pPr>
    <w:rPr>
      <w:rFonts w:ascii="黑体" w:hAnsi="黑体" w:eastAsia="仿宋_GB2312" w:cs="Times New Roman"/>
      <w:bCs/>
      <w:kern w:val="44"/>
      <w:sz w:val="24"/>
      <w:szCs w:val="44"/>
      <w:lang w:val="en-US" w:eastAsia="zh-CN" w:bidi="ar-SA"/>
    </w:rPr>
  </w:style>
  <w:style w:type="character" w:customStyle="1" w:styleId="65">
    <w:name w:val="图名 字符"/>
    <w:link w:val="63"/>
    <w:qFormat/>
    <w:uiPriority w:val="0"/>
    <w:rPr>
      <w:rFonts w:ascii="黑体" w:hAnsi="黑体" w:eastAsia="黑体"/>
      <w:b/>
      <w:bCs/>
      <w:kern w:val="44"/>
      <w:sz w:val="28"/>
      <w:szCs w:val="44"/>
    </w:rPr>
  </w:style>
  <w:style w:type="character" w:customStyle="1" w:styleId="66">
    <w:name w:val="批注文字 字符"/>
    <w:basedOn w:val="33"/>
    <w:link w:val="13"/>
    <w:qFormat/>
    <w:uiPriority w:val="99"/>
    <w:rPr>
      <w:rFonts w:ascii="Times New Roman" w:hAnsi="Times New Roman" w:eastAsia="宋体" w:cs="Times New Roman"/>
      <w:sz w:val="24"/>
    </w:rPr>
  </w:style>
  <w:style w:type="character" w:customStyle="1" w:styleId="67">
    <w:name w:val="批注主题 字符"/>
    <w:basedOn w:val="66"/>
    <w:link w:val="30"/>
    <w:qFormat/>
    <w:uiPriority w:val="99"/>
    <w:rPr>
      <w:rFonts w:ascii="Times New Roman" w:hAnsi="Times New Roman" w:eastAsia="宋体" w:cs="Times New Roman"/>
      <w:b/>
      <w:bCs/>
      <w:sz w:val="24"/>
    </w:rPr>
  </w:style>
  <w:style w:type="paragraph" w:customStyle="1" w:styleId="68">
    <w:name w:val="图片"/>
    <w:next w:val="63"/>
    <w:link w:val="69"/>
    <w:qFormat/>
    <w:uiPriority w:val="0"/>
    <w:pPr>
      <w:keepNext/>
      <w:widowControl w:val="0"/>
      <w:adjustRightInd w:val="0"/>
      <w:snapToGrid w:val="0"/>
      <w:spacing w:before="100" w:beforeLines="100" w:after="50" w:afterLines="50"/>
      <w:jc w:val="center"/>
    </w:pPr>
    <w:rPr>
      <w:rFonts w:ascii="Times New Roman" w:hAnsi="Times New Roman" w:eastAsia="宋体" w:cs="Times New Roman"/>
      <w:kern w:val="2"/>
      <w:sz w:val="24"/>
      <w:szCs w:val="22"/>
      <w:lang w:val="en-US" w:eastAsia="zh-CN" w:bidi="ar-SA"/>
    </w:rPr>
  </w:style>
  <w:style w:type="character" w:customStyle="1" w:styleId="69">
    <w:name w:val="图片 字符"/>
    <w:link w:val="68"/>
    <w:qFormat/>
    <w:uiPriority w:val="0"/>
    <w:rPr>
      <w:rFonts w:ascii="Times New Roman" w:hAnsi="Times New Roman" w:eastAsia="宋体" w:cs="Times New Roman"/>
      <w:sz w:val="24"/>
    </w:rPr>
  </w:style>
  <w:style w:type="character" w:customStyle="1" w:styleId="70">
    <w:name w:val="正文文本首行缩进 字符"/>
    <w:semiHidden/>
    <w:qFormat/>
    <w:uiPriority w:val="99"/>
  </w:style>
  <w:style w:type="character" w:customStyle="1" w:styleId="71">
    <w:name w:val="批注框文本 字符"/>
    <w:link w:val="20"/>
    <w:qFormat/>
    <w:uiPriority w:val="99"/>
    <w:rPr>
      <w:sz w:val="18"/>
      <w:szCs w:val="18"/>
    </w:rPr>
  </w:style>
  <w:style w:type="character" w:customStyle="1" w:styleId="72">
    <w:name w:val="批注框文本 字符1"/>
    <w:basedOn w:val="33"/>
    <w:semiHidden/>
    <w:qFormat/>
    <w:uiPriority w:val="99"/>
    <w:rPr>
      <w:rFonts w:ascii="Times New Roman" w:hAnsi="Times New Roman" w:eastAsia="宋体" w:cs="Times New Roman"/>
      <w:sz w:val="18"/>
      <w:szCs w:val="18"/>
    </w:rPr>
  </w:style>
  <w:style w:type="paragraph" w:styleId="73">
    <w:name w:val="List Paragraph"/>
    <w:basedOn w:val="1"/>
    <w:link w:val="74"/>
    <w:qFormat/>
    <w:uiPriority w:val="34"/>
    <w:pPr>
      <w:widowControl w:val="0"/>
      <w:adjustRightInd/>
      <w:snapToGrid/>
      <w:ind w:firstLine="420"/>
    </w:pPr>
  </w:style>
  <w:style w:type="character" w:customStyle="1" w:styleId="74">
    <w:name w:val="列表段落 字符"/>
    <w:link w:val="73"/>
    <w:qFormat/>
    <w:uiPriority w:val="34"/>
    <w:rPr>
      <w:rFonts w:ascii="Times New Roman" w:hAnsi="Times New Roman" w:eastAsia="宋体" w:cs="Times New Roman"/>
      <w:sz w:val="24"/>
    </w:rPr>
  </w:style>
  <w:style w:type="character" w:customStyle="1" w:styleId="75">
    <w:name w:val="HTML 预设格式 字符"/>
    <w:basedOn w:val="33"/>
    <w:link w:val="28"/>
    <w:qFormat/>
    <w:uiPriority w:val="99"/>
    <w:rPr>
      <w:rFonts w:ascii="宋体" w:hAnsi="宋体" w:eastAsia="宋体" w:cs="Times New Roman"/>
      <w:kern w:val="0"/>
      <w:sz w:val="24"/>
      <w:szCs w:val="24"/>
    </w:rPr>
  </w:style>
  <w:style w:type="character" w:customStyle="1" w:styleId="76">
    <w:name w:val="正文文本缩进 字符"/>
    <w:basedOn w:val="33"/>
    <w:link w:val="15"/>
    <w:qFormat/>
    <w:uiPriority w:val="99"/>
    <w:rPr>
      <w:rFonts w:ascii="Times New Roman" w:hAnsi="Times New Roman" w:eastAsia="宋体" w:cs="Times New Roman"/>
      <w:sz w:val="24"/>
    </w:rPr>
  </w:style>
  <w:style w:type="character" w:customStyle="1" w:styleId="77">
    <w:name w:val="表名 字符"/>
    <w:basedOn w:val="65"/>
    <w:link w:val="64"/>
    <w:qFormat/>
    <w:uiPriority w:val="0"/>
    <w:rPr>
      <w:rFonts w:ascii="黑体" w:hAnsi="黑体" w:eastAsia="仿宋_GB2312"/>
      <w:b w:val="0"/>
      <w:kern w:val="44"/>
      <w:sz w:val="24"/>
      <w:szCs w:val="44"/>
    </w:rPr>
  </w:style>
  <w:style w:type="character" w:customStyle="1" w:styleId="78">
    <w:name w:val="未处理的提及1"/>
    <w:basedOn w:val="33"/>
    <w:semiHidden/>
    <w:unhideWhenUsed/>
    <w:qFormat/>
    <w:uiPriority w:val="99"/>
    <w:rPr>
      <w:color w:val="605E5C"/>
      <w:shd w:val="clear" w:color="auto" w:fill="E1DFDD"/>
    </w:rPr>
  </w:style>
  <w:style w:type="table" w:customStyle="1" w:styleId="79">
    <w:name w:val="网格型浅色1"/>
    <w:basedOn w:val="31"/>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80">
    <w:name w:val="正文首行缩进 Char"/>
    <w:basedOn w:val="33"/>
    <w:qFormat/>
    <w:uiPriority w:val="0"/>
    <w:rPr>
      <w:rFonts w:hint="eastAsia" w:ascii="黑体" w:hAnsi="宋体" w:eastAsia="黑体" w:cs="黑体"/>
      <w:color w:val="000000"/>
      <w:kern w:val="2"/>
      <w:sz w:val="28"/>
      <w:szCs w:val="24"/>
      <w:lang w:val="en-US" w:eastAsia="zh-CN" w:bidi="ar"/>
    </w:rPr>
  </w:style>
  <w:style w:type="character" w:customStyle="1" w:styleId="81">
    <w:name w:val="正文文本 字符"/>
    <w:basedOn w:val="33"/>
    <w:link w:val="14"/>
    <w:qFormat/>
    <w:uiPriority w:val="0"/>
    <w:rPr>
      <w:rFonts w:hint="eastAsia" w:ascii="黑体" w:hAnsi="宋体" w:eastAsia="黑体" w:cs="黑体"/>
      <w:color w:val="000000"/>
      <w:kern w:val="2"/>
      <w:sz w:val="21"/>
      <w:szCs w:val="24"/>
      <w:lang w:val="en-US" w:eastAsia="zh-CN" w:bidi="ar"/>
    </w:rPr>
  </w:style>
  <w:style w:type="character" w:customStyle="1" w:styleId="82">
    <w:name w:val="正文01 字符"/>
    <w:basedOn w:val="33"/>
    <w:link w:val="83"/>
    <w:qFormat/>
    <w:uiPriority w:val="0"/>
    <w:rPr>
      <w:rFonts w:hint="eastAsia" w:ascii="宋体" w:hAnsi="宋体" w:eastAsia="宋体" w:cs="宋体"/>
      <w:kern w:val="2"/>
      <w:sz w:val="24"/>
      <w:szCs w:val="24"/>
    </w:rPr>
  </w:style>
  <w:style w:type="paragraph" w:customStyle="1" w:styleId="83">
    <w:name w:val="正文01"/>
    <w:basedOn w:val="1"/>
    <w:link w:val="82"/>
    <w:qFormat/>
    <w:uiPriority w:val="0"/>
    <w:pPr>
      <w:widowControl w:val="0"/>
      <w:ind w:firstLine="480"/>
    </w:pPr>
    <w:rPr>
      <w:rFonts w:hint="eastAsia"/>
      <w:szCs w:val="24"/>
    </w:rPr>
  </w:style>
  <w:style w:type="paragraph" w:customStyle="1" w:styleId="84">
    <w:name w:val="msonormal"/>
    <w:basedOn w:val="1"/>
    <w:qFormat/>
    <w:uiPriority w:val="0"/>
    <w:pPr>
      <w:adjustRightInd/>
      <w:snapToGrid/>
      <w:spacing w:before="100" w:beforeAutospacing="1" w:after="100" w:afterAutospacing="1" w:line="240" w:lineRule="auto"/>
      <w:ind w:firstLine="0" w:firstLineChars="0"/>
      <w:jc w:val="left"/>
    </w:pPr>
    <w:rPr>
      <w:rFonts w:cs="宋体"/>
      <w:kern w:val="0"/>
      <w:szCs w:val="24"/>
    </w:rPr>
  </w:style>
  <w:style w:type="paragraph" w:customStyle="1" w:styleId="85">
    <w:name w:val="font5"/>
    <w:basedOn w:val="1"/>
    <w:qFormat/>
    <w:uiPriority w:val="0"/>
    <w:pPr>
      <w:adjustRightInd/>
      <w:snapToGrid/>
      <w:spacing w:before="100" w:beforeAutospacing="1" w:after="100" w:afterAutospacing="1" w:line="240" w:lineRule="auto"/>
      <w:ind w:firstLine="0" w:firstLineChars="0"/>
      <w:jc w:val="left"/>
    </w:pPr>
    <w:rPr>
      <w:rFonts w:ascii="等线" w:hAnsi="等线" w:eastAsia="等线" w:cs="宋体"/>
      <w:kern w:val="0"/>
      <w:sz w:val="18"/>
      <w:szCs w:val="18"/>
    </w:rPr>
  </w:style>
  <w:style w:type="paragraph" w:customStyle="1" w:styleId="86">
    <w:name w:val="font6"/>
    <w:basedOn w:val="1"/>
    <w:qFormat/>
    <w:uiPriority w:val="0"/>
    <w:pPr>
      <w:adjustRightInd/>
      <w:snapToGrid/>
      <w:spacing w:before="100" w:beforeAutospacing="1" w:after="100" w:afterAutospacing="1" w:line="240" w:lineRule="auto"/>
      <w:ind w:firstLine="0" w:firstLineChars="0"/>
      <w:jc w:val="left"/>
    </w:pPr>
    <w:rPr>
      <w:rFonts w:ascii="等线" w:hAnsi="等线" w:eastAsia="等线" w:cs="宋体"/>
      <w:kern w:val="0"/>
      <w:sz w:val="18"/>
      <w:szCs w:val="18"/>
    </w:rPr>
  </w:style>
  <w:style w:type="paragraph" w:customStyle="1" w:styleId="87">
    <w:name w:val="xl65"/>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cs="宋体"/>
      <w:kern w:val="0"/>
      <w:szCs w:val="24"/>
    </w:rPr>
  </w:style>
  <w:style w:type="paragraph" w:customStyle="1" w:styleId="88">
    <w:name w:val="xl66"/>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cs="宋体"/>
      <w:kern w:val="0"/>
      <w:szCs w:val="24"/>
    </w:rPr>
  </w:style>
  <w:style w:type="paragraph" w:customStyle="1" w:styleId="89">
    <w:name w:val="xl67"/>
    <w:basedOn w:val="1"/>
    <w:qFormat/>
    <w:uiPriority w:val="0"/>
    <w:pPr>
      <w:adjustRightInd/>
      <w:snapToGrid/>
      <w:spacing w:before="100" w:beforeAutospacing="1" w:after="100" w:afterAutospacing="1" w:line="240" w:lineRule="auto"/>
      <w:ind w:firstLine="0" w:firstLineChars="0"/>
      <w:jc w:val="left"/>
    </w:pPr>
    <w:rPr>
      <w:rFonts w:cs="宋体"/>
      <w:kern w:val="0"/>
      <w:szCs w:val="24"/>
    </w:rPr>
  </w:style>
  <w:style w:type="paragraph" w:customStyle="1" w:styleId="90">
    <w:name w:val="xl68"/>
    <w:basedOn w:val="1"/>
    <w:qFormat/>
    <w:uiPriority w:val="0"/>
    <w:pPr>
      <w:adjustRightInd/>
      <w:snapToGrid/>
      <w:spacing w:before="100" w:beforeAutospacing="1" w:after="100" w:afterAutospacing="1" w:line="240" w:lineRule="auto"/>
      <w:ind w:firstLine="0" w:firstLineChars="0"/>
      <w:jc w:val="center"/>
      <w:textAlignment w:val="center"/>
    </w:pPr>
    <w:rPr>
      <w:rFonts w:cs="宋体"/>
      <w:kern w:val="0"/>
      <w:szCs w:val="24"/>
    </w:rPr>
  </w:style>
  <w:style w:type="paragraph" w:customStyle="1" w:styleId="91">
    <w:name w:val="4级要点"/>
    <w:next w:val="1"/>
    <w:qFormat/>
    <w:uiPriority w:val="0"/>
    <w:pPr>
      <w:keepNext/>
      <w:adjustRightInd w:val="0"/>
      <w:snapToGrid w:val="0"/>
      <w:spacing w:before="163" w:beforeLines="50" w:after="163" w:afterLines="50" w:line="360" w:lineRule="auto"/>
      <w:ind w:left="85" w:firstLine="340"/>
    </w:pPr>
    <w:rPr>
      <w:rFonts w:ascii="宋体" w:hAnsi="Times New Roman" w:eastAsia="宋体" w:cs="Times New Roman"/>
      <w:b/>
      <w:kern w:val="2"/>
      <w:sz w:val="24"/>
      <w:szCs w:val="22"/>
      <w:lang w:val="en-US" w:eastAsia="zh-CN" w:bidi="ar-SA"/>
    </w:rPr>
  </w:style>
  <w:style w:type="paragraph" w:customStyle="1" w:styleId="92">
    <w:name w:val="5级要点"/>
    <w:next w:val="1"/>
    <w:qFormat/>
    <w:uiPriority w:val="0"/>
    <w:pPr>
      <w:adjustRightInd w:val="0"/>
      <w:snapToGrid w:val="0"/>
      <w:spacing w:before="50" w:beforeLines="50" w:after="50" w:afterLines="50" w:line="360" w:lineRule="auto"/>
      <w:ind w:firstLine="567"/>
    </w:pPr>
    <w:rPr>
      <w:rFonts w:ascii="宋体" w:hAnsi="Times New Roman" w:eastAsia="宋体" w:cs="Times New Roman"/>
      <w:b/>
      <w:kern w:val="2"/>
      <w:sz w:val="24"/>
      <w:szCs w:val="22"/>
      <w:lang w:val="en-US" w:eastAsia="zh-CN" w:bidi="ar-SA"/>
    </w:rPr>
  </w:style>
  <w:style w:type="paragraph" w:customStyle="1" w:styleId="93">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character" w:customStyle="1" w:styleId="94">
    <w:name w:val="表 字符"/>
    <w:link w:val="95"/>
    <w:qFormat/>
    <w:locked/>
    <w:uiPriority w:val="0"/>
    <w:rPr>
      <w:rFonts w:ascii="宋体" w:hAnsi="宋体"/>
      <w:kern w:val="2"/>
      <w:sz w:val="21"/>
      <w:szCs w:val="21"/>
    </w:rPr>
  </w:style>
  <w:style w:type="paragraph" w:customStyle="1" w:styleId="95">
    <w:name w:val="表"/>
    <w:basedOn w:val="1"/>
    <w:link w:val="94"/>
    <w:qFormat/>
    <w:uiPriority w:val="0"/>
    <w:pPr>
      <w:widowControl w:val="0"/>
      <w:adjustRightInd/>
      <w:snapToGrid/>
      <w:spacing w:line="240" w:lineRule="auto"/>
      <w:ind w:firstLine="0" w:firstLineChars="0"/>
    </w:pPr>
    <w:rPr>
      <w:sz w:val="21"/>
      <w:szCs w:val="21"/>
    </w:rPr>
  </w:style>
  <w:style w:type="character" w:customStyle="1" w:styleId="96">
    <w:name w:val="font31"/>
    <w:basedOn w:val="33"/>
    <w:qFormat/>
    <w:uiPriority w:val="0"/>
    <w:rPr>
      <w:rFonts w:hint="eastAsia" w:ascii="仿宋_GB2312" w:eastAsia="仿宋_GB2312" w:cs="仿宋_GB2312"/>
      <w:color w:val="000000"/>
      <w:sz w:val="21"/>
      <w:szCs w:val="21"/>
      <w:u w:val="none"/>
    </w:rPr>
  </w:style>
  <w:style w:type="character" w:customStyle="1" w:styleId="97">
    <w:name w:val="font01"/>
    <w:basedOn w:val="33"/>
    <w:qFormat/>
    <w:uiPriority w:val="0"/>
    <w:rPr>
      <w:rFonts w:ascii="仿宋" w:hAnsi="仿宋" w:eastAsia="仿宋" w:cs="仿宋"/>
      <w:color w:val="000000"/>
      <w:sz w:val="21"/>
      <w:szCs w:val="21"/>
      <w:u w:val="none"/>
    </w:rPr>
  </w:style>
  <w:style w:type="character" w:customStyle="1" w:styleId="98">
    <w:name w:val="font41"/>
    <w:basedOn w:val="33"/>
    <w:qFormat/>
    <w:uiPriority w:val="0"/>
    <w:rPr>
      <w:rFonts w:hint="default" w:ascii="Times New Roman" w:hAnsi="Times New Roman" w:cs="Times New Roman"/>
      <w:color w:val="000000"/>
      <w:sz w:val="21"/>
      <w:szCs w:val="21"/>
      <w:u w:val="none"/>
    </w:rPr>
  </w:style>
  <w:style w:type="character" w:customStyle="1" w:styleId="99">
    <w:name w:val="font51"/>
    <w:basedOn w:val="33"/>
    <w:qFormat/>
    <w:uiPriority w:val="0"/>
    <w:rPr>
      <w:rFonts w:ascii="微软雅黑" w:hAnsi="微软雅黑" w:eastAsia="微软雅黑" w:cs="微软雅黑"/>
      <w:color w:val="000000"/>
      <w:sz w:val="21"/>
      <w:szCs w:val="21"/>
      <w:u w:val="none"/>
    </w:rPr>
  </w:style>
  <w:style w:type="character" w:customStyle="1" w:styleId="100">
    <w:name w:val="日期 字符"/>
    <w:basedOn w:val="33"/>
    <w:link w:val="19"/>
    <w:semiHidden/>
    <w:qFormat/>
    <w:uiPriority w:val="99"/>
    <w:rPr>
      <w:rFonts w:ascii="宋体" w:hAnsi="宋体"/>
      <w:kern w:val="2"/>
      <w:sz w:val="24"/>
      <w:szCs w:val="22"/>
    </w:rPr>
  </w:style>
  <w:style w:type="paragraph" w:customStyle="1" w:styleId="101">
    <w:name w:val="封面2"/>
    <w:link w:val="103"/>
    <w:qFormat/>
    <w:uiPriority w:val="0"/>
    <w:pPr>
      <w:widowControl w:val="0"/>
      <w:spacing w:line="588" w:lineRule="exact"/>
      <w:contextualSpacing/>
      <w:jc w:val="center"/>
      <w:textAlignment w:val="baseline"/>
    </w:pPr>
    <w:rPr>
      <w:rFonts w:ascii="Times New Roman" w:hAnsi="Times New Roman" w:eastAsia="方正小标宋简体" w:cs="Times New Roman"/>
      <w:color w:val="000000"/>
      <w:kern w:val="2"/>
      <w:sz w:val="48"/>
      <w:szCs w:val="96"/>
      <w:lang w:val="en-US" w:eastAsia="zh-CN" w:bidi="ar-SA"/>
    </w:rPr>
  </w:style>
  <w:style w:type="paragraph" w:customStyle="1" w:styleId="102">
    <w:name w:val="专栏"/>
    <w:basedOn w:val="1"/>
    <w:link w:val="104"/>
    <w:qFormat/>
    <w:uiPriority w:val="0"/>
    <w:pPr>
      <w:widowControl w:val="0"/>
      <w:ind w:firstLine="480"/>
    </w:pPr>
    <w:rPr>
      <w:rFonts w:ascii="仿宋_GB2312"/>
      <w:bCs/>
      <w:sz w:val="24"/>
      <w:szCs w:val="20"/>
    </w:rPr>
  </w:style>
  <w:style w:type="character" w:customStyle="1" w:styleId="103">
    <w:name w:val="封面2 字符"/>
    <w:basedOn w:val="33"/>
    <w:link w:val="101"/>
    <w:qFormat/>
    <w:uiPriority w:val="0"/>
    <w:rPr>
      <w:rFonts w:eastAsia="方正小标宋简体"/>
      <w:color w:val="000000"/>
      <w:kern w:val="2"/>
      <w:sz w:val="48"/>
      <w:szCs w:val="96"/>
    </w:rPr>
  </w:style>
  <w:style w:type="character" w:customStyle="1" w:styleId="104">
    <w:name w:val="专栏 字符"/>
    <w:basedOn w:val="33"/>
    <w:link w:val="102"/>
    <w:qFormat/>
    <w:uiPriority w:val="0"/>
    <w:rPr>
      <w:rFonts w:ascii="仿宋_GB2312" w:eastAsia="仿宋_GB2312"/>
      <w:bCs/>
      <w:kern w:val="2"/>
      <w:sz w:val="24"/>
    </w:rPr>
  </w:style>
  <w:style w:type="paragraph" w:customStyle="1" w:styleId="105">
    <w:name w:val="表格"/>
    <w:basedOn w:val="1"/>
    <w:qFormat/>
    <w:uiPriority w:val="0"/>
    <w:pPr>
      <w:widowControl w:val="0"/>
      <w:adjustRightInd/>
      <w:snapToGrid/>
      <w:spacing w:line="300" w:lineRule="exact"/>
      <w:ind w:firstLine="0" w:firstLineChars="0"/>
      <w:jc w:val="center"/>
    </w:pPr>
    <w:rPr>
      <w:rFonts w:ascii="宋体" w:hAnsi="宋体"/>
      <w:sz w:val="21"/>
      <w:szCs w:val="21"/>
    </w:rPr>
  </w:style>
  <w:style w:type="paragraph" w:customStyle="1" w:styleId="106">
    <w:name w:val="专栏文字"/>
    <w:basedOn w:val="1"/>
    <w:qFormat/>
    <w:uiPriority w:val="0"/>
    <w:pPr>
      <w:widowControl w:val="0"/>
      <w:ind w:firstLine="420"/>
    </w:pPr>
    <w:rPr>
      <w:sz w:val="21"/>
      <w:szCs w:val="20"/>
    </w:rPr>
  </w:style>
  <w:style w:type="paragraph" w:customStyle="1" w:styleId="107">
    <w:name w:val="专栏内容"/>
    <w:basedOn w:val="1"/>
    <w:qFormat/>
    <w:uiPriority w:val="0"/>
    <w:pPr>
      <w:widowControl w:val="0"/>
      <w:ind w:firstLine="422"/>
    </w:pPr>
    <w:rPr>
      <w:bCs/>
      <w:sz w:val="21"/>
      <w:szCs w:val="20"/>
    </w:rPr>
  </w:style>
  <w:style w:type="paragraph" w:customStyle="1" w:styleId="108">
    <w:name w:val="专栏标题"/>
    <w:basedOn w:val="1"/>
    <w:qFormat/>
    <w:uiPriority w:val="0"/>
    <w:pPr>
      <w:spacing w:line="500" w:lineRule="exact"/>
      <w:ind w:firstLine="0" w:firstLineChars="0"/>
      <w:jc w:val="center"/>
    </w:pPr>
    <w:rPr>
      <w:rFonts w:ascii="宋体"/>
      <w:b/>
      <w:bCs/>
      <w:sz w:val="28"/>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114</Pages>
  <Words>7869</Words>
  <Characters>44858</Characters>
  <Lines>373</Lines>
  <Paragraphs>105</Paragraphs>
  <TotalTime>23</TotalTime>
  <ScaleCrop>false</ScaleCrop>
  <LinksUpToDate>false</LinksUpToDate>
  <CharactersWithSpaces>52622</CharactersWithSpaces>
  <Application>WPS Office_11.8.2.9980_F1E327BC-269C-435d-A152-05C5408002CA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2024-05-16T11:14:00Z</dcterms:created>
  <dc:creator>Lee wintersweet</dc:creator>
  <cp:lastModifiedBy>kylin</cp:lastModifiedBy>
  <cp:lastPrinted>2025-06-12T19:22:00Z</cp:lastPrinted>
  <dcterms:modified xsi:type="dcterms:W3CDTF">2026-02-05T15:42:19Z</dcterms:modified>
  <cp:revision>101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2052-11.8.2.9980</vt:lpwstr>
  </property>
  <property fmtid="{D5CDD505-2E9C-101B-9397-08002B2CF9AE}" pid="3" name="ICV">
    <vt:lpwstr>38E1466444224D0A93CE8049DB88D4EB</vt:lpwstr>
  </property>
</Properties>
</file>