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sz w:val="48"/>
          <w:szCs w:val="48"/>
        </w:rPr>
      </w:pPr>
      <w:bookmarkStart w:id="173" w:name="_GoBack"/>
      <w:r>
        <w:rPr>
          <w:rFonts w:hint="eastAsia" w:ascii="方正小标宋简体" w:hAnsi="黑体" w:eastAsia="方正小标宋简体"/>
          <w:sz w:val="48"/>
          <w:szCs w:val="48"/>
        </w:rPr>
        <w:t>内乡县灌涨镇国土空间总体规划</w:t>
      </w:r>
    </w:p>
    <w:bookmarkEnd w:id="173"/>
    <w:p>
      <w:pPr>
        <w:widowControl w:val="0"/>
        <w:adjustRightInd/>
        <w:snapToGrid/>
        <w:spacing w:line="240" w:lineRule="auto"/>
        <w:ind w:firstLine="0" w:firstLineChars="0"/>
        <w:jc w:val="center"/>
        <w:rPr>
          <w:rFonts w:ascii="方正小标宋简体" w:hAnsi="黑体" w:eastAsia="方正小标宋简体"/>
          <w:sz w:val="48"/>
          <w:szCs w:val="48"/>
        </w:rPr>
      </w:pPr>
      <w:r>
        <w:rPr>
          <w:rFonts w:hint="eastAsia" w:ascii="方正小标宋简体" w:hAnsi="黑体" w:eastAsia="方正小标宋简体"/>
          <w:sz w:val="48"/>
          <w:szCs w:val="48"/>
        </w:rPr>
        <w:t>（2021-2035年）</w:t>
      </w:r>
    </w:p>
    <w:p>
      <w:pPr>
        <w:spacing w:before="65"/>
        <w:ind w:firstLine="0" w:firstLineChars="0"/>
        <w:jc w:val="center"/>
      </w:pPr>
    </w:p>
    <w:p>
      <w:pPr>
        <w:spacing w:before="65"/>
        <w:ind w:firstLine="0" w:firstLineChars="0"/>
        <w:jc w:val="center"/>
        <w:rPr>
          <w:rFonts w:ascii="方正小标宋简体" w:eastAsia="方正小标宋简体"/>
        </w:rPr>
      </w:pPr>
      <w:r>
        <w:rPr>
          <w:rFonts w:hint="eastAsia" w:ascii="方正小标宋简体" w:eastAsia="方正小标宋简体"/>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ind w:firstLine="0" w:firstLineChars="0"/>
        <w:jc w:val="center"/>
        <w:rPr>
          <w:rFonts w:ascii="黑体" w:hAnsi="黑体" w:eastAsia="黑体"/>
          <w:szCs w:val="32"/>
        </w:rPr>
      </w:pPr>
      <w:r>
        <w:rPr>
          <w:rFonts w:hint="eastAsia" w:ascii="黑体" w:hAnsi="黑体" w:eastAsia="黑体"/>
          <w:szCs w:val="32"/>
        </w:rPr>
        <w:t>内乡县灌涨镇人民政府</w:t>
      </w:r>
    </w:p>
    <w:p>
      <w:pPr>
        <w:ind w:firstLine="0" w:firstLineChars="0"/>
        <w:jc w:val="center"/>
        <w:rPr>
          <w:rFonts w:ascii="黑体" w:hAnsi="黑体" w:eastAsia="黑体"/>
          <w:szCs w:val="32"/>
        </w:rPr>
      </w:pPr>
      <w:r>
        <w:rPr>
          <w:rFonts w:hint="eastAsia" w:ascii="黑体" w:hAnsi="黑体" w:eastAsia="黑体"/>
          <w:szCs w:val="32"/>
        </w:rPr>
        <w:t>2</w:t>
      </w:r>
      <w:r>
        <w:rPr>
          <w:rFonts w:ascii="黑体" w:hAnsi="黑体" w:eastAsia="黑体"/>
          <w:szCs w:val="32"/>
        </w:rPr>
        <w:t>026</w:t>
      </w:r>
      <w:r>
        <w:rPr>
          <w:rFonts w:hint="eastAsia" w:ascii="黑体" w:hAnsi="黑体" w:eastAsia="黑体"/>
          <w:szCs w:val="32"/>
        </w:rPr>
        <w:t>年</w:t>
      </w:r>
      <w:r>
        <w:rPr>
          <w:rFonts w:ascii="黑体" w:hAnsi="黑体" w:eastAsia="黑体"/>
          <w:szCs w:val="32"/>
        </w:rPr>
        <w:t>1</w:t>
      </w:r>
      <w:r>
        <w:rPr>
          <w:rFonts w:hint="eastAsia" w:ascii="黑体" w:hAnsi="黑体" w:eastAsia="黑体"/>
          <w:szCs w:val="32"/>
        </w:rPr>
        <w:t>月</w:t>
      </w:r>
    </w:p>
    <w:p>
      <w:pPr>
        <w:pStyle w:val="53"/>
        <w:spacing w:before="652" w:beforeLines="200" w:after="163"/>
        <w:jc w:val="both"/>
        <w:rPr>
          <w:rFonts w:hAnsi="黑体"/>
          <w:bCs/>
          <w:sz w:val="32"/>
          <w:szCs w:val="32"/>
        </w:rPr>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方正小标宋简体" w:eastAsia="方正小标宋简体"/>
              <w:sz w:val="44"/>
              <w:szCs w:val="44"/>
            </w:rPr>
          </w:pPr>
          <w:r>
            <w:rPr>
              <w:rFonts w:hint="eastAsia" w:ascii="方正小标宋简体" w:eastAsia="方正小标宋简体"/>
              <w:b/>
              <w:bCs/>
              <w:sz w:val="44"/>
              <w:szCs w:val="44"/>
            </w:rPr>
            <w:t>目 录</w:t>
          </w:r>
        </w:p>
        <w:p>
          <w:pPr>
            <w:pStyle w:val="22"/>
            <w:tabs>
              <w:tab w:val="right" w:leader="dot" w:pos="8297"/>
            </w:tabs>
            <w:rPr>
              <w:rFonts w:asciiTheme="minorHAnsi" w:hAnsiTheme="minorHAnsi" w:eastAsiaTheme="minorEastAsia" w:cstheme="minorBidi"/>
              <w:kern w:val="2"/>
              <w:sz w:val="21"/>
              <w:szCs w:val="22"/>
            </w:rPr>
          </w:pPr>
          <w:r>
            <w:rPr>
              <w:rFonts w:ascii="楷体_GB2312" w:hAnsi="Times New Roman" w:cs="楷体_GB2312"/>
              <w:sz w:val="36"/>
            </w:rPr>
            <w:fldChar w:fldCharType="begin"/>
          </w:r>
          <w:r>
            <w:rPr>
              <w:rFonts w:ascii="楷体_GB2312" w:hAnsi="Times New Roman" w:cs="楷体_GB2312"/>
              <w:sz w:val="36"/>
            </w:rPr>
            <w:instrText xml:space="preserve"> TOC \o "1-1" \h \z \u </w:instrText>
          </w:r>
          <w:r>
            <w:rPr>
              <w:rFonts w:ascii="楷体_GB2312" w:hAnsi="Times New Roman" w:cs="楷体_GB2312"/>
              <w:sz w:val="36"/>
            </w:rPr>
            <w:fldChar w:fldCharType="separate"/>
          </w:r>
          <w:r>
            <w:fldChar w:fldCharType="begin"/>
          </w:r>
          <w:r>
            <w:instrText xml:space="preserve"> HYPERLINK \l "_Toc221006677" </w:instrText>
          </w:r>
          <w:r>
            <w:fldChar w:fldCharType="separate"/>
          </w:r>
          <w:r>
            <w:rPr>
              <w:rStyle w:val="36"/>
            </w:rPr>
            <w:t>第一章 规划总则</w:t>
          </w:r>
          <w:r>
            <w:tab/>
          </w:r>
          <w:r>
            <w:fldChar w:fldCharType="begin"/>
          </w:r>
          <w:r>
            <w:instrText xml:space="preserve"> PAGEREF _Toc221006677 \h </w:instrText>
          </w:r>
          <w:r>
            <w:fldChar w:fldCharType="separate"/>
          </w:r>
          <w:r>
            <w:t>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"_Toc221006678" </w:instrText>
          </w:r>
          <w:r>
            <w:fldChar w:fldCharType="separate"/>
          </w:r>
          <w:r>
            <w:rPr>
              <w:rStyle w:val="36"/>
            </w:rPr>
            <w:t>第二章 现状分析</w:t>
          </w:r>
          <w:r>
            <w:tab/>
          </w:r>
          <w:r>
            <w:fldChar w:fldCharType="begin"/>
          </w:r>
          <w:r>
            <w:instrText xml:space="preserve"> PAGEREF _Toc221006678 \h </w:instrText>
          </w:r>
          <w:r>
            <w:fldChar w:fldCharType="separate"/>
          </w:r>
          <w:r>
            <w:t>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"_Toc221006679" </w:instrText>
          </w:r>
          <w:r>
            <w:fldChar w:fldCharType="separate"/>
          </w:r>
          <w:r>
            <w:rPr>
              <w:rStyle w:val="36"/>
            </w:rPr>
            <w:t>第三章 发展定位与目标</w:t>
          </w:r>
          <w:r>
            <w:tab/>
          </w:r>
          <w:r>
            <w:fldChar w:fldCharType="begin"/>
          </w:r>
          <w:r>
            <w:instrText xml:space="preserve"> PAGEREF _Toc221006679 \h </w:instrText>
          </w:r>
          <w:r>
            <w:fldChar w:fldCharType="separate"/>
          </w:r>
          <w:r>
            <w:t>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"_Toc221006680" </w:instrText>
          </w:r>
          <w:r>
            <w:fldChar w:fldCharType="separate"/>
          </w:r>
          <w:r>
            <w:rPr>
              <w:rStyle w:val="36"/>
            </w:rPr>
            <w:t>第四章 底线约束</w:t>
          </w:r>
          <w:r>
            <w:tab/>
          </w:r>
          <w:r>
            <w:fldChar w:fldCharType="begin"/>
          </w:r>
          <w:r>
            <w:instrText xml:space="preserve"> PAGEREF _Toc221006680 \h </w:instrText>
          </w:r>
          <w:r>
            <w:fldChar w:fldCharType="separate"/>
          </w:r>
          <w:r>
            <w:t>12</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"_Toc221006681" </w:instrText>
          </w:r>
          <w:r>
            <w:fldChar w:fldCharType="separate"/>
          </w:r>
          <w:r>
            <w:rPr>
              <w:rStyle w:val="36"/>
            </w:rPr>
            <w:t>第五章 规划分区</w:t>
          </w:r>
          <w:r>
            <w:tab/>
          </w:r>
          <w:r>
            <w:fldChar w:fldCharType="begin"/>
          </w:r>
          <w:r>
            <w:instrText xml:space="preserve"> PAGEREF _Toc221006681 \h </w:instrText>
          </w:r>
          <w:r>
            <w:fldChar w:fldCharType="separate"/>
          </w:r>
          <w:r>
            <w:t>15</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"_Toc221006682" </w:instrText>
          </w:r>
          <w:r>
            <w:fldChar w:fldCharType="separate"/>
          </w:r>
          <w:r>
            <w:rPr>
              <w:rStyle w:val="36"/>
            </w:rPr>
            <w:t>第六章 国土空间功能结构调整</w:t>
          </w:r>
          <w:r>
            <w:tab/>
          </w:r>
          <w:r>
            <w:fldChar w:fldCharType="begin"/>
          </w:r>
          <w:r>
            <w:instrText xml:space="preserve"> PAGEREF _Toc221006682 \h </w:instrText>
          </w:r>
          <w:r>
            <w:fldChar w:fldCharType="separate"/>
          </w:r>
          <w:r>
            <w:t>23</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"_Toc221006683" </w:instrText>
          </w:r>
          <w:r>
            <w:fldChar w:fldCharType="separate"/>
          </w:r>
          <w:r>
            <w:rPr>
              <w:rStyle w:val="36"/>
            </w:rPr>
            <w:t>第七章 自然资源保护与利用</w:t>
          </w:r>
          <w:r>
            <w:tab/>
          </w:r>
          <w:r>
            <w:fldChar w:fldCharType="begin"/>
          </w:r>
          <w:r>
            <w:instrText xml:space="preserve"> PAGEREF _Toc221006683 \h </w:instrText>
          </w:r>
          <w:r>
            <w:fldChar w:fldCharType="separate"/>
          </w:r>
          <w:r>
            <w:t>26</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"_Toc221006684" </w:instrText>
          </w:r>
          <w:r>
            <w:fldChar w:fldCharType="separate"/>
          </w:r>
          <w:r>
            <w:rPr>
              <w:rStyle w:val="36"/>
            </w:rPr>
            <w:t>第八章 产业规划</w:t>
          </w:r>
          <w:r>
            <w:tab/>
          </w:r>
          <w:r>
            <w:fldChar w:fldCharType="begin"/>
          </w:r>
          <w:r>
            <w:instrText xml:space="preserve"> PAGEREF _Toc221006684 \h </w:instrText>
          </w:r>
          <w:r>
            <w:fldChar w:fldCharType="separate"/>
          </w:r>
          <w:r>
            <w:t>36</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"_Toc221006685" </w:instrText>
          </w:r>
          <w:r>
            <w:fldChar w:fldCharType="separate"/>
          </w:r>
          <w:r>
            <w:rPr>
              <w:rStyle w:val="36"/>
            </w:rPr>
            <w:t>第九章 村庄布局</w:t>
          </w:r>
          <w:r>
            <w:tab/>
          </w:r>
          <w:r>
            <w:fldChar w:fldCharType="begin"/>
          </w:r>
          <w:r>
            <w:instrText xml:space="preserve"> PAGEREF _Toc221006685 \h </w:instrText>
          </w:r>
          <w:r>
            <w:fldChar w:fldCharType="separate"/>
          </w:r>
          <w:r>
            <w:t>41</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"_Toc221006686" </w:instrText>
          </w:r>
          <w:r>
            <w:fldChar w:fldCharType="separate"/>
          </w:r>
          <w:r>
            <w:rPr>
              <w:rStyle w:val="36"/>
            </w:rPr>
            <w:t>第十章 支撑体系规划</w:t>
          </w:r>
          <w:r>
            <w:tab/>
          </w:r>
          <w:r>
            <w:fldChar w:fldCharType="begin"/>
          </w:r>
          <w:r>
            <w:instrText xml:space="preserve"> PAGEREF _Toc221006686 \h </w:instrText>
          </w:r>
          <w:r>
            <w:fldChar w:fldCharType="separate"/>
          </w:r>
          <w:r>
            <w:t>47</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"_Toc221006687" </w:instrText>
          </w:r>
          <w:r>
            <w:fldChar w:fldCharType="separate"/>
          </w:r>
          <w:r>
            <w:rPr>
              <w:rStyle w:val="36"/>
            </w:rPr>
            <w:t>第十一章 历史文化与景观风貌规划</w:t>
          </w:r>
          <w:r>
            <w:tab/>
          </w:r>
          <w:r>
            <w:fldChar w:fldCharType="begin"/>
          </w:r>
          <w:r>
            <w:instrText xml:space="preserve"> PAGEREF _Toc221006687 \h </w:instrText>
          </w:r>
          <w:r>
            <w:fldChar w:fldCharType="separate"/>
          </w:r>
          <w:r>
            <w:t>59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"_Toc221006688" </w:instrText>
          </w:r>
          <w:r>
            <w:fldChar w:fldCharType="separate"/>
          </w:r>
          <w:r>
            <w:rPr>
              <w:rStyle w:val="36"/>
            </w:rPr>
            <w:t>第十二章 乡镇政府驻地规划</w:t>
          </w:r>
          <w:r>
            <w:tab/>
          </w:r>
          <w:r>
            <w:fldChar w:fldCharType="begin"/>
          </w:r>
          <w:r>
            <w:instrText xml:space="preserve"> PAGEREF _Toc221006688 \h </w:instrText>
          </w:r>
          <w:r>
            <w:fldChar w:fldCharType="separate"/>
          </w:r>
          <w:r>
            <w:t>64</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"_Toc221006689" </w:instrText>
          </w:r>
          <w:r>
            <w:fldChar w:fldCharType="separate"/>
          </w:r>
          <w:r>
            <w:rPr>
              <w:rStyle w:val="36"/>
            </w:rPr>
            <w:t>第十三章 土地综合整治与生态修复</w:t>
          </w:r>
          <w:r>
            <w:tab/>
          </w:r>
          <w:r>
            <w:fldChar w:fldCharType="begin"/>
          </w:r>
          <w:r>
            <w:instrText xml:space="preserve"> PAGEREF _Toc221006689 \h </w:instrText>
          </w:r>
          <w:r>
            <w:fldChar w:fldCharType="separate"/>
          </w:r>
          <w:r>
            <w:t>82</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"_Toc221006690" </w:instrText>
          </w:r>
          <w:r>
            <w:fldChar w:fldCharType="separate"/>
          </w:r>
          <w:r>
            <w:rPr>
              <w:rStyle w:val="36"/>
            </w:rPr>
            <w:t>第十四章 规划传导</w:t>
          </w:r>
          <w:r>
            <w:tab/>
          </w:r>
          <w:r>
            <w:fldChar w:fldCharType="begin"/>
          </w:r>
          <w:r>
            <w:instrText xml:space="preserve"> PAGEREF _Toc221006690 \h </w:instrText>
          </w:r>
          <w:r>
            <w:fldChar w:fldCharType="separate"/>
          </w:r>
          <w:r>
            <w:t>86</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"_Toc221006691" </w:instrText>
          </w:r>
          <w:r>
            <w:fldChar w:fldCharType="separate"/>
          </w:r>
          <w:r>
            <w:rPr>
              <w:rStyle w:val="36"/>
            </w:rPr>
            <w:t>第十五章 实施保障</w:t>
          </w:r>
          <w:r>
            <w:tab/>
          </w:r>
          <w:r>
            <w:fldChar w:fldCharType="begin"/>
          </w:r>
          <w:r>
            <w:instrText xml:space="preserve"> PAGEREF _Toc221006691 \h </w:instrText>
          </w:r>
          <w:r>
            <w:fldChar w:fldCharType="separate"/>
          </w:r>
          <w:r>
            <w:t>89</w:t>
          </w:r>
          <w:r>
            <w:fldChar w:fldCharType="end"/>
          </w:r>
          <w:r>
            <w:fldChar w:fldCharType="end"/>
          </w:r>
        </w:p>
        <w:p>
          <w:pPr>
            <w:pStyle w:val="22"/>
            <w:tabs>
              <w:tab w:val="right" w:leader="dot" w:pos="8297"/>
            </w:tabs>
            <w:rPr>
              <w:rFonts w:asciiTheme="minorHAnsi" w:hAnsiTheme="minorHAnsi" w:eastAsiaTheme="minorEastAsia" w:cstheme="minorBidi"/>
              <w:kern w:val="2"/>
              <w:sz w:val="21"/>
              <w:szCs w:val="22"/>
            </w:rPr>
          </w:pPr>
          <w:r>
            <w:fldChar w:fldCharType="begin"/>
          </w:r>
          <w:r>
            <w:instrText xml:space="preserve"> HYPERLINK \l "_Toc221006692" </w:instrText>
          </w:r>
          <w:r>
            <w:fldChar w:fldCharType="separate"/>
          </w:r>
          <w:r>
            <w:rPr>
              <w:rStyle w:val="36"/>
            </w:rPr>
            <w:t>第十六章 “通则式”村庄规划管理规定</w:t>
          </w:r>
          <w:r>
            <w:tab/>
          </w:r>
          <w:r>
            <w:fldChar w:fldCharType="begin"/>
          </w:r>
          <w:r>
            <w:instrText xml:space="preserve"> PAGEREF _Toc221006692 \h </w:instrText>
          </w:r>
          <w:r>
            <w:fldChar w:fldCharType="separate"/>
          </w:r>
          <w:r>
            <w:t>92</w:t>
          </w:r>
          <w:r>
            <w:fldChar w:fldCharType="end"/>
          </w:r>
          <w:r>
            <w:fldChar w:fldCharType="end"/>
          </w:r>
        </w:p>
        <w:p>
          <w:pPr>
            <w:spacing w:before="65" w:after="163" w:line="312" w:lineRule="auto"/>
            <w:ind w:firstLine="0" w:firstLineChars="0"/>
          </w:pPr>
          <w:r>
            <w:rPr>
              <w:rFonts w:ascii="楷体_GB2312" w:hAnsi="Times New Roman" w:eastAsia="楷体" w:cs="楷体_GB2312"/>
              <w:kern w:val="0"/>
              <w:sz w:val="36"/>
              <w:szCs w:val="32"/>
            </w:rPr>
            <w:fldChar w:fldCharType="end"/>
          </w:r>
        </w:p>
      </w:sdtContent>
    </w:sdt>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1" w:name="_Toc175648279"/>
      <w:bookmarkStart w:id="2" w:name="_Toc129339489"/>
      <w:bookmarkStart w:id="3" w:name="_Toc127432230"/>
    </w:p>
    <w:p>
      <w:pPr>
        <w:pStyle w:val="2"/>
        <w:spacing w:before="489" w:beforeLines="150" w:after="489" w:afterLines="150"/>
      </w:pPr>
      <w:bookmarkStart w:id="4" w:name="_Toc221006677"/>
      <w:r>
        <w:rPr>
          <w:rFonts w:hint="eastAsia"/>
        </w:rPr>
        <w:t>规划总则</w:t>
      </w:r>
      <w:bookmarkEnd w:id="1"/>
      <w:bookmarkEnd w:id="4"/>
    </w:p>
    <w:p>
      <w:pPr>
        <w:pStyle w:val="4"/>
        <w:spacing w:before="195" w:after="195"/>
      </w:pPr>
      <w:r>
        <w:rPr>
          <w:rFonts w:hint="eastAsia"/>
        </w:rPr>
        <w:t>规划目的</w:t>
      </w:r>
    </w:p>
    <w:p>
      <w:pPr>
        <w:spacing w:before="65"/>
        <w:ind w:firstLine="640"/>
      </w:pPr>
      <w:r>
        <w:rPr>
          <w:rFonts w:hint="eastAsia"/>
        </w:rPr>
        <w:t>为落实习近平生态文明思想和总体国家安全观，贯彻《中共中央国务院关于建立国土空间规划体系并监督实施的若干意见》要求，细化落实《内乡县国土空间总体规划（</w:t>
      </w:r>
      <w:r>
        <w:t>2021-2035年）》，科学有序地推进</w:t>
      </w:r>
      <w:r>
        <w:rPr>
          <w:rFonts w:hint="eastAsia"/>
        </w:rPr>
        <w:t>灌涨镇</w:t>
      </w:r>
      <w:r>
        <w:t>国土空间开发保护的总体安排和综合部署，统筹</w:t>
      </w:r>
      <w:r>
        <w:rPr>
          <w:rFonts w:hint="eastAsia"/>
        </w:rPr>
        <w:t>灌涨镇</w:t>
      </w:r>
      <w:r>
        <w:t>的农业、生态、城镇空间，全面提升</w:t>
      </w:r>
      <w:r>
        <w:rPr>
          <w:rFonts w:hint="eastAsia"/>
        </w:rPr>
        <w:t>灌涨镇</w:t>
      </w:r>
      <w:r>
        <w:t>国土空间治理体系和治理能力现代化水平，特编制《内乡县</w:t>
      </w:r>
      <w:r>
        <w:rPr>
          <w:rFonts w:hint="eastAsia"/>
        </w:rPr>
        <w:t>灌涨镇</w:t>
      </w:r>
      <w:r>
        <w:t>国土空间总体规划（2021-2035年）》（以下简称本规划）</w:t>
      </w:r>
      <w:r>
        <w:rPr>
          <w:rFonts w:hint="eastAsia"/>
        </w:rPr>
        <w:t>。</w:t>
      </w:r>
    </w:p>
    <w:p>
      <w:pPr>
        <w:pStyle w:val="4"/>
        <w:spacing w:before="195" w:after="195"/>
      </w:pPr>
      <w:r>
        <w:rPr>
          <w:rFonts w:hint="eastAsia"/>
        </w:rPr>
        <w:t>指导思想</w:t>
      </w:r>
    </w:p>
    <w:p>
      <w:pPr>
        <w:ind w:firstLine="640"/>
      </w:pPr>
      <w:r>
        <w:rPr>
          <w:rFonts w:hint="eastAsia"/>
        </w:rPr>
        <w:t>以习近平新时代中国特色社会主义思想为指导，紧紧围绕统筹推进“五位一体”总体布局和协调推进“四个全面”战略布局，践行“两高四着力”重大要求，优化国土空间开发格局，加快构建科学有序的国土空间布局体系，统筹安排国土空间开发、资源环境保护、国土综合整治、生态修复和保障体系建设，提升国土空间品质和利用效率，提高国土空间治理能力，推进乡村振兴，促进灌涨镇经济社会发展更高质量、更有效率、更加公平、更可持续。</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按照“问题-目标-策略-机制”的逻辑，因地制宜制定规划方案和实施措施，充分发挥乡镇级总规在空间治理中的基础作用，确保规划能用、管用、好用。</w:t>
      </w:r>
    </w:p>
    <w:p>
      <w:pPr>
        <w:pStyle w:val="4"/>
        <w:spacing w:before="195" w:beforeLines="60" w:after="195" w:afterLines="60" w:line="240" w:lineRule="auto"/>
        <w:ind w:left="0"/>
      </w:pPr>
      <w:r>
        <w:rPr>
          <w:rFonts w:hint="eastAsia"/>
        </w:rPr>
        <w:t>规划范围</w:t>
      </w:r>
    </w:p>
    <w:p>
      <w:pPr>
        <w:spacing w:before="48"/>
        <w:ind w:firstLine="640"/>
      </w:pPr>
      <w:r>
        <w:rPr>
          <w:rFonts w:hint="eastAsia"/>
        </w:rPr>
        <w:t>规划范围为灌涨镇行政辖区内全部国土空间，包含镇域和镇区两个层次。其中：</w:t>
      </w:r>
    </w:p>
    <w:p>
      <w:pPr>
        <w:spacing w:before="48"/>
        <w:ind w:firstLine="640"/>
      </w:pPr>
      <w:r>
        <w:rPr>
          <w:rFonts w:hint="eastAsia"/>
        </w:rPr>
        <w:t>镇域范围为灌涨镇行政辖区内全部国土空间，总面积92.20平方公里。</w:t>
      </w:r>
    </w:p>
    <w:p>
      <w:pPr>
        <w:spacing w:before="48"/>
        <w:ind w:firstLine="640"/>
      </w:pPr>
      <w:r>
        <w:rPr>
          <w:rFonts w:hint="eastAsia"/>
        </w:rPr>
        <w:t>镇区范围为</w:t>
      </w:r>
      <w:r>
        <w:rPr>
          <w:rFonts w:hint="eastAsia"/>
          <w:lang w:bidi="ar"/>
        </w:rPr>
        <w:t>东至红旗路，西、北为现状城镇建设用地边界，南至开元路，总面积126.79公顷。</w:t>
      </w:r>
    </w:p>
    <w:p>
      <w:pPr>
        <w:pStyle w:val="4"/>
        <w:spacing w:before="195" w:beforeLines="60" w:after="195" w:afterLines="60" w:line="240" w:lineRule="auto"/>
        <w:ind w:left="0"/>
      </w:pPr>
      <w:r>
        <w:rPr>
          <w:rFonts w:hint="eastAsia"/>
        </w:rPr>
        <w:t>规划期限</w:t>
      </w:r>
    </w:p>
    <w:p>
      <w:pPr>
        <w:spacing w:before="48"/>
        <w:ind w:firstLine="640"/>
      </w:pPr>
      <w:r>
        <w:rPr>
          <w:rFonts w:hint="eastAsia"/>
        </w:rPr>
        <w:t>规划期限为2</w:t>
      </w:r>
      <w:r>
        <w:t>021</w:t>
      </w:r>
      <w:r>
        <w:rPr>
          <w:rFonts w:hint="eastAsia"/>
        </w:rPr>
        <w:t>年至2</w:t>
      </w:r>
      <w:r>
        <w:t>035</w:t>
      </w:r>
      <w:r>
        <w:rPr>
          <w:rFonts w:hint="eastAsia"/>
        </w:rPr>
        <w:t>年。</w:t>
      </w:r>
    </w:p>
    <w:p>
      <w:pPr>
        <w:spacing w:before="48"/>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beforeLines="60" w:after="195" w:afterLines="60" w:line="240" w:lineRule="auto"/>
        <w:ind w:left="0"/>
      </w:pPr>
      <w:r>
        <w:rPr>
          <w:rFonts w:hint="eastAsia"/>
        </w:rPr>
        <w:t>规划成果</w:t>
      </w:r>
    </w:p>
    <w:p>
      <w:pPr>
        <w:spacing w:before="48"/>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spacing w:before="65"/>
        <w:ind w:firstLine="640"/>
      </w:pPr>
      <w:r>
        <w:rPr>
          <w:rFonts w:hint="eastAsia"/>
        </w:rPr>
        <w:t>文本条款中下划线部分为强制性内容，应严格遵守落实。规划实施管理不得违背强制性内容，调整强制性内容必须按照相关法定程序执行。</w:t>
      </w:r>
    </w:p>
    <w:p>
      <w:pPr>
        <w:spacing w:before="48"/>
        <w:ind w:firstLine="0" w:firstLineChars="0"/>
      </w:pPr>
    </w:p>
    <w:p>
      <w:pPr>
        <w:spacing w:before="48"/>
        <w:ind w:firstLine="640"/>
      </w:pPr>
      <w:r>
        <w:br w:type="page"/>
      </w:r>
    </w:p>
    <w:p>
      <w:pPr>
        <w:spacing w:before="48"/>
        <w:ind w:firstLine="640"/>
      </w:pPr>
    </w:p>
    <w:p>
      <w:pPr>
        <w:pStyle w:val="2"/>
        <w:spacing w:before="489" w:beforeLines="150" w:after="489" w:afterLines="150"/>
      </w:pPr>
      <w:bookmarkStart w:id="5" w:name="_Toc221006678"/>
      <w:bookmarkStart w:id="6" w:name="_Toc175648280"/>
      <w:r>
        <w:rPr>
          <w:rFonts w:hint="eastAsia"/>
        </w:rPr>
        <w:t>现状分析</w:t>
      </w:r>
      <w:bookmarkEnd w:id="5"/>
      <w:bookmarkEnd w:id="6"/>
    </w:p>
    <w:p>
      <w:pPr>
        <w:pStyle w:val="3"/>
        <w:spacing w:before="326" w:beforeLines="100" w:after="326" w:afterLines="100"/>
      </w:pPr>
      <w:bookmarkStart w:id="7" w:name="_Toc175648281"/>
      <w:r>
        <w:rPr>
          <w:rFonts w:hint="eastAsia"/>
        </w:rPr>
        <w:t>自然地理格局和资源禀赋</w:t>
      </w:r>
      <w:bookmarkEnd w:id="7"/>
    </w:p>
    <w:p>
      <w:pPr>
        <w:pStyle w:val="4"/>
        <w:spacing w:before="195" w:beforeLines="60" w:after="195" w:afterLines="60" w:line="240" w:lineRule="auto"/>
        <w:ind w:left="0"/>
      </w:pPr>
      <w:bookmarkStart w:id="8" w:name="_Hlk150173612"/>
      <w:r>
        <w:rPr>
          <w:rFonts w:hint="eastAsia"/>
        </w:rPr>
        <w:t>自然地理格局</w:t>
      </w:r>
    </w:p>
    <w:bookmarkEnd w:id="8"/>
    <w:p>
      <w:pPr>
        <w:spacing w:before="48" w:after="120"/>
        <w:ind w:firstLine="640"/>
      </w:pPr>
      <w:r>
        <w:rPr>
          <w:rFonts w:hint="eastAsia"/>
        </w:rPr>
        <w:t>东、西两边为南北走向的丘陵，中部多为冲积平原，地势平坦，总体呈现北高南低的自然走向。东部地处丘岭地带，南向土谷山，其中有周岗、水田、杨岗、前楼、刘岗、寺洼、山底7个行政村，约占总面积33%。土谷山占地面积400万平方米，远望活像大土堆一样，位于灌涨镇东南部，是镇平县、邓州市和内乡县的三地分界线，海拔352米。中部地处半丘岭地带，南至胡刘接邓州罗庄之北部。其中：从北至南靠东一线，有后马、前马、岗头、杨寨、杨洼、宋营、李营；从北至南靠西一线，有陈营、前湾、杨营、郭营、胡刘。共12个村，约占总面积49%。正中部地处平原地带有杨集、刘营、魏庄、街北、灌涨、屈营6个行政村，约占总面积的18%。</w:t>
      </w:r>
    </w:p>
    <w:p>
      <w:pPr>
        <w:spacing w:before="48"/>
        <w:ind w:firstLine="640"/>
      </w:pPr>
      <w:r>
        <w:t>水土条件较好，气候温和，四季分明</w:t>
      </w:r>
      <w:r>
        <w:rPr>
          <w:rFonts w:hint="eastAsia"/>
        </w:rPr>
        <w:t>。年均气温15℃左右，最高气温达39℃，最低气温－4℃。光热充足，春夏秋较长，冬季较短。春旱或冬旱现象时有发生。光照年均为1973.6小时左右，春夏秋季为2282小时以上，日照率为45％左右，适宜各种农作物的生长。降水量比较充沛。降水分布不均，冬春干旱少雨雪，夏季伏旱多，旱灾较为频繁。降雨多集中在六、七月份，年降雨量700－800毫米，富水年达900毫米，贫水年为400毫米左右。每年自四月至九月降雨较多，平均620毫米，占年降水量78%。降雪量少，下雪少而薄，三或五天即自行化尽，庄稼不受冷冻之害，有生长旺，收获早的现象。年平均无霜期二百余天，适宜各种农作物的生长。常年风力不大，自然风平均风速2.6米/秒，一般为4－5级。春天多东风、东南风；秋天多南风和西南风，冬天多西北风，其中降雨前为5－7级（夏季），暴风雨时风力超过八级，多年来未发生过风灾</w:t>
      </w:r>
      <w:r>
        <w:t>。</w:t>
      </w:r>
    </w:p>
    <w:p>
      <w:pPr>
        <w:pStyle w:val="4"/>
        <w:spacing w:before="195" w:beforeLines="60" w:after="195" w:afterLines="60" w:line="240" w:lineRule="auto"/>
        <w:ind w:left="0"/>
      </w:pPr>
      <w:bookmarkStart w:id="9" w:name="_Hlk150173613"/>
      <w:r>
        <w:rPr>
          <w:rFonts w:hint="eastAsia"/>
        </w:rPr>
        <w:t>自然资源禀赋</w:t>
      </w:r>
    </w:p>
    <w:bookmarkEnd w:id="9"/>
    <w:p>
      <w:pPr>
        <w:spacing w:before="48" w:after="120"/>
        <w:ind w:firstLine="640"/>
        <w:rPr>
          <w:b/>
          <w:bCs/>
        </w:rPr>
      </w:pPr>
      <w:r>
        <w:rPr>
          <w:rFonts w:hint="eastAsia"/>
        </w:rPr>
        <w:t>林地资源、耕地资源、旅游资源丰富，灌涨镇境内有宝天曼自然博物馆和春秋城；宝天曼自然博物馆位于灌涨镇前湾村境内；春秋城，位于灌涨镇前湾村，为“商圣”范蠡纪念地</w:t>
      </w:r>
      <w:r>
        <w:t>。</w:t>
      </w:r>
      <w:r>
        <w:rPr>
          <w:rFonts w:hint="eastAsia"/>
        </w:rPr>
        <w:t>河流为默河和曾家河，自北向南，常年不息。在默河上游的王店镇，建有“默河截潜流”工程，引水南入本镇。</w:t>
      </w:r>
    </w:p>
    <w:p>
      <w:pPr>
        <w:pStyle w:val="4"/>
        <w:spacing w:before="195" w:beforeLines="60" w:after="195" w:afterLines="60" w:line="240" w:lineRule="auto"/>
        <w:ind w:left="0"/>
      </w:pPr>
      <w:bookmarkStart w:id="10" w:name="_Hlk150173614"/>
      <w:r>
        <w:rPr>
          <w:rFonts w:hint="eastAsia"/>
        </w:rPr>
        <w:t>国土空间用地现状</w:t>
      </w:r>
      <w:bookmarkEnd w:id="10"/>
    </w:p>
    <w:p>
      <w:pPr>
        <w:spacing w:before="48"/>
        <w:ind w:firstLine="640"/>
      </w:pPr>
      <w:r>
        <w:rPr>
          <w:rFonts w:hint="eastAsia"/>
        </w:rPr>
        <w:t>根据</w:t>
      </w:r>
      <w:r>
        <w:t>2020年国土变更调查数据，</w:t>
      </w:r>
      <w:r>
        <w:rPr>
          <w:rFonts w:hint="eastAsia"/>
        </w:rPr>
        <w:t>灌涨镇</w:t>
      </w:r>
      <w:r>
        <w:t>镇域总面积为9218.72公顷，其中，耕地5757.10公顷，占比62.45%；园地315.55公顷，占比3.42%；林地840.92公顷，占比9.12%；草地33.97公顷，占比0.37%；湿地26.62公顷，占比0.29%；农业设施建设用地304.28公顷，占比3.30%；城镇用地200.64公顷，占比2.18%；村庄用地1016.84公顷，占比11.03%；区域基础设施用地172.36公顷，占比1.87%；其他建设用地47.53公顷，占比0.52%；陆地水</w:t>
      </w:r>
      <w:r>
        <w:rPr>
          <w:rFonts w:hint="eastAsia"/>
        </w:rPr>
        <w:t>域</w:t>
      </w:r>
      <w:r>
        <w:t>379.06公顷，占比4.11 %；其他土地123.85公顷，占比1.34%。</w:t>
      </w:r>
    </w:p>
    <w:p>
      <w:pPr>
        <w:pStyle w:val="3"/>
        <w:spacing w:before="326" w:beforeLines="100" w:after="326" w:afterLines="100"/>
      </w:pPr>
      <w:bookmarkStart w:id="11" w:name="_Toc175648282"/>
      <w:r>
        <w:rPr>
          <w:rFonts w:hint="eastAsia"/>
        </w:rPr>
        <w:t>资源环境承载</w:t>
      </w:r>
      <w:r>
        <w:t>能</w:t>
      </w:r>
      <w:r>
        <w:rPr>
          <w:rFonts w:hint="eastAsia"/>
        </w:rPr>
        <w:t>力和国土空间开发适宜性评价</w:t>
      </w:r>
      <w:bookmarkEnd w:id="11"/>
    </w:p>
    <w:p>
      <w:pPr>
        <w:pStyle w:val="4"/>
        <w:spacing w:before="195" w:beforeLines="60" w:after="195" w:afterLines="60" w:line="240" w:lineRule="auto"/>
        <w:ind w:left="0"/>
      </w:pPr>
      <w:r>
        <w:rPr>
          <w:rFonts w:hint="eastAsia"/>
        </w:rPr>
        <w:t>生态保护重要性评价</w:t>
      </w:r>
    </w:p>
    <w:p>
      <w:pPr>
        <w:spacing w:before="48"/>
        <w:ind w:firstLine="640"/>
      </w:pPr>
      <w:r>
        <w:rPr>
          <w:rFonts w:hint="eastAsia"/>
          <w:lang w:bidi="ar"/>
        </w:rPr>
        <w:t>全镇</w:t>
      </w:r>
      <w:r>
        <w:rPr>
          <w:lang w:bidi="ar"/>
        </w:rPr>
        <w:t>生态保护重要区面积为</w:t>
      </w:r>
      <w:r>
        <w:rPr>
          <w:rFonts w:hint="eastAsia"/>
        </w:rPr>
        <w:t>12.31平方公里，占全镇面积的13.35</w:t>
      </w:r>
      <w:r>
        <w:t>%</w:t>
      </w:r>
      <w:r>
        <w:rPr>
          <w:lang w:bidi="ar"/>
        </w:rPr>
        <w:t>。</w:t>
      </w:r>
    </w:p>
    <w:p>
      <w:pPr>
        <w:pStyle w:val="4"/>
        <w:spacing w:before="195" w:beforeLines="60" w:after="195" w:afterLines="60" w:line="240" w:lineRule="auto"/>
        <w:ind w:left="0"/>
      </w:pPr>
      <w:r>
        <w:rPr>
          <w:rFonts w:hint="eastAsia"/>
        </w:rPr>
        <w:t>农业生产适宜性评价</w:t>
      </w:r>
    </w:p>
    <w:p>
      <w:pPr>
        <w:spacing w:before="48"/>
        <w:ind w:firstLine="640"/>
      </w:pPr>
      <w:r>
        <w:rPr>
          <w:rFonts w:hint="eastAsia"/>
          <w:lang w:bidi="ar"/>
        </w:rPr>
        <w:t>全镇农业生产（种植业）适宜区面积为</w:t>
      </w:r>
      <w:r>
        <w:rPr>
          <w:rFonts w:hint="eastAsia"/>
        </w:rPr>
        <w:t>71.18平方公里，</w:t>
      </w:r>
      <w:r>
        <w:rPr>
          <w:rFonts w:hint="eastAsia"/>
          <w:lang w:bidi="ar"/>
        </w:rPr>
        <w:t>占比为77.20%，全县中占比较高。农业生产不适宜区面积为</w:t>
      </w:r>
      <w:r>
        <w:rPr>
          <w:lang w:bidi="ar"/>
        </w:rPr>
        <w:t>8.82平方公里，占比为9.57</w:t>
      </w:r>
      <w:r>
        <w:rPr>
          <w:rFonts w:hint="eastAsia"/>
          <w:lang w:bidi="ar"/>
        </w:rPr>
        <w:t>%。</w:t>
      </w:r>
    </w:p>
    <w:p>
      <w:pPr>
        <w:pStyle w:val="4"/>
        <w:spacing w:before="195" w:beforeLines="60" w:after="195" w:afterLines="60" w:line="240" w:lineRule="auto"/>
        <w:ind w:left="0"/>
      </w:pPr>
      <w:r>
        <w:rPr>
          <w:rFonts w:hint="eastAsia"/>
        </w:rPr>
        <w:t>城镇建设适宜性评价</w:t>
      </w:r>
    </w:p>
    <w:p>
      <w:pPr>
        <w:spacing w:before="48"/>
        <w:ind w:firstLine="640"/>
      </w:pPr>
      <w:r>
        <w:rPr>
          <w:rFonts w:hint="eastAsia"/>
          <w:lang w:bidi="ar"/>
        </w:rPr>
        <w:t>全镇</w:t>
      </w:r>
      <w:r>
        <w:rPr>
          <w:rFonts w:hint="eastAsia"/>
        </w:rPr>
        <w:t>均为城镇建设适宜区，面积为92.2平方公里</w:t>
      </w:r>
      <w:r>
        <w:rPr>
          <w:rFonts w:hint="eastAsia"/>
          <w:lang w:bidi="ar"/>
        </w:rPr>
        <w:t>。</w:t>
      </w:r>
    </w:p>
    <w:p>
      <w:pPr>
        <w:pStyle w:val="3"/>
        <w:spacing w:before="326" w:beforeLines="100" w:after="326" w:afterLines="100"/>
      </w:pPr>
      <w:bookmarkStart w:id="12" w:name="_Toc175648283"/>
      <w:r>
        <w:rPr>
          <w:rFonts w:hint="eastAsia"/>
        </w:rPr>
        <w:t>发展现状与发展成效</w:t>
      </w:r>
      <w:bookmarkEnd w:id="12"/>
    </w:p>
    <w:p>
      <w:pPr>
        <w:pStyle w:val="4"/>
        <w:spacing w:before="195" w:beforeLines="60" w:after="195" w:afterLines="60" w:line="240" w:lineRule="auto"/>
        <w:ind w:left="0"/>
      </w:pPr>
      <w:r>
        <w:rPr>
          <w:rFonts w:hint="eastAsia"/>
        </w:rPr>
        <w:t>发展现状与成效</w:t>
      </w:r>
    </w:p>
    <w:p>
      <w:pPr>
        <w:spacing w:before="48"/>
        <w:ind w:firstLine="640"/>
      </w:pPr>
      <w:r>
        <w:rPr>
          <w:rFonts w:hint="eastAsia"/>
        </w:rPr>
        <w:t>设施农业方面。通过发展设施农业，不断提升六大特色产业的竞争力。目前内乡县灌涨镇以以色列设施蔬菜、福瑞兹设施中药、草腐菌设施菌类为代表的特色设施农业已经形成。在灌涨镇杨集、刘营等村流转土地3000余亩，建设现代蔬菜大棚200余座，年产各类蔬菜5万余吨，带动周边村民就业增收。</w:t>
      </w:r>
    </w:p>
    <w:p>
      <w:pPr>
        <w:spacing w:before="48"/>
        <w:ind w:firstLine="640"/>
      </w:pPr>
      <w:r>
        <w:rPr>
          <w:rFonts w:hint="eastAsia"/>
        </w:rPr>
        <w:t>工业项目方面。2022年，全镇共招引项目12个，市级签约项目3个，开工建设6个。年产15万吨肉食辅料研发生产加工项目，不仅推动了灌涨农产品从初加工向深加工转型，而且带动了订单农业和产业链上游企业的转型发展。围绕中药材基地、数字化种养循环示范区、和信二期、食品城南路建设、等项目，“专班一线推进、政策一线宣传、问题一线解决、矛盾一线化解”，先后征用、流转土地4000余亩，协调处理各类矛盾纠纷160余起，保障了重点项目的顺利实施。</w:t>
      </w:r>
    </w:p>
    <w:p>
      <w:pPr>
        <w:spacing w:before="48"/>
        <w:ind w:firstLine="640"/>
      </w:pPr>
      <w:r>
        <w:rPr>
          <w:rFonts w:hint="eastAsia"/>
        </w:rPr>
        <w:t>近郊农游方面。以产业园、数字化种养循环示范区、马集艺术村、默河两岸的生态产业等都将引爆灌涨旅游，成为城里人休闲旅游的好去处。围绕这一“农游圈”，大力开展通畅工程、硬化工程、美化工程和“一宅变四园”工程，今年以来，共拆除危旧房屋575座，硬化入户道1.2万米，涂白美化墙体60万平方米，新建菜园、游园等330余处。</w:t>
      </w:r>
    </w:p>
    <w:p>
      <w:pPr>
        <w:pStyle w:val="3"/>
        <w:spacing w:before="326" w:beforeLines="100" w:after="326" w:afterLines="100"/>
      </w:pPr>
      <w:bookmarkStart w:id="13" w:name="_Toc175648284"/>
      <w:r>
        <w:rPr>
          <w:rFonts w:hint="eastAsia"/>
        </w:rPr>
        <w:t>主要问题和风险挑战</w:t>
      </w:r>
      <w:bookmarkEnd w:id="13"/>
    </w:p>
    <w:p>
      <w:pPr>
        <w:pStyle w:val="4"/>
        <w:spacing w:before="195" w:beforeLines="60" w:after="195" w:afterLines="60" w:line="240" w:lineRule="auto"/>
        <w:ind w:left="0"/>
      </w:pPr>
      <w:r>
        <w:rPr>
          <w:rFonts w:hint="eastAsia"/>
        </w:rPr>
        <w:t>主要问题</w:t>
      </w:r>
    </w:p>
    <w:p>
      <w:pPr>
        <w:spacing w:before="48"/>
        <w:ind w:firstLine="640"/>
        <w:rPr>
          <w:lang w:bidi="ar"/>
        </w:rPr>
      </w:pPr>
      <w:r>
        <w:rPr>
          <w:rFonts w:hint="eastAsia"/>
          <w:lang w:bidi="ar"/>
        </w:rPr>
        <w:t>镇域公共服务设施和基础设施建设有待加强。全镇公共服务设施配置尚可，但缺少养老、体育、公园绿地等。基础设施不够完善，排污、污水处理、农业基础设施等方面存在不足，基础设施建设有待进一步加强。</w:t>
      </w:r>
    </w:p>
    <w:p>
      <w:pPr>
        <w:spacing w:before="48"/>
        <w:ind w:firstLine="640"/>
        <w:rPr>
          <w:lang w:bidi="ar"/>
        </w:rPr>
      </w:pPr>
      <w:r>
        <w:rPr>
          <w:rFonts w:hint="eastAsia"/>
          <w:lang w:bidi="ar"/>
        </w:rPr>
        <w:t>城镇化水平低，人口流出多。2020年，灌涨镇户籍人口约为5.86万人(依据统计局数据)，根据第七次人口普查数据，灌涨镇常住人口3.87万人，户籍人口与常住人口相对比，人口净流出1.99万人，占比高达33.9%，并且人口流出仍在持续，另一方面，2020年灌涨的城镇化水平仅为10.3%，城镇化进城缓慢。</w:t>
      </w:r>
    </w:p>
    <w:p>
      <w:pPr>
        <w:spacing w:before="48"/>
        <w:ind w:firstLine="640"/>
        <w:rPr>
          <w:lang w:bidi="ar"/>
        </w:rPr>
      </w:pPr>
      <w:r>
        <w:rPr>
          <w:rFonts w:hint="eastAsia"/>
          <w:lang w:bidi="ar"/>
        </w:rPr>
        <w:t>镇域人居环境有待进一步提升。近年来灌涨镇积极开展镇域人居环境整治，实现农村垃圾社会化运行、全面推行厕所革命等，村庄人居环境得到有效提升，但仍存在污水胡乱排放、房前屋后杂物堆放、部分道路未硬化等方面的问题，需进一步加强人居环境整治，从而提升乡村风貌。</w:t>
      </w:r>
    </w:p>
    <w:p>
      <w:pPr>
        <w:pStyle w:val="4"/>
        <w:spacing w:before="195" w:beforeLines="60" w:after="195" w:afterLines="60" w:line="240" w:lineRule="auto"/>
        <w:ind w:left="0"/>
      </w:pPr>
      <w:r>
        <w:rPr>
          <w:rFonts w:hint="eastAsia"/>
        </w:rPr>
        <w:t>风险挑战</w:t>
      </w:r>
    </w:p>
    <w:p>
      <w:pPr>
        <w:spacing w:before="48"/>
        <w:ind w:firstLine="640"/>
      </w:pPr>
      <w:r>
        <w:rPr>
          <w:rFonts w:hint="eastAsia"/>
        </w:rPr>
        <w:t>人口外流及人口老龄化风险。随着社会经济发展，区域要素流动将更加频繁，人口外流、人口老龄化对灌涨镇未来城镇化率和产业发展将产生重大影响，灌涨镇社会福利体系构建也存在一定压力。</w:t>
      </w:r>
    </w:p>
    <w:p>
      <w:pPr>
        <w:spacing w:before="48"/>
        <w:ind w:firstLine="640"/>
        <w:rPr>
          <w:lang w:bidi="ar"/>
        </w:rPr>
      </w:pPr>
      <w:r>
        <w:rPr>
          <w:rFonts w:hint="eastAsia"/>
        </w:rPr>
        <w:t>目前灌涨镇主要产业发展方向为设施农业和农业旅游，对耕地和永久基本农田保护存在一定挑战</w:t>
      </w:r>
      <w:r>
        <w:rPr>
          <w:rFonts w:hint="eastAsia"/>
          <w:lang w:bidi="ar"/>
        </w:rPr>
        <w:t>。</w:t>
      </w:r>
    </w:p>
    <w:p>
      <w:pPr>
        <w:spacing w:before="48"/>
        <w:ind w:firstLine="640"/>
        <w:rPr>
          <w:b/>
          <w:bCs/>
        </w:rPr>
      </w:pPr>
      <w:r>
        <w:rPr>
          <w:rFonts w:hint="eastAsia"/>
          <w:lang w:bidi="ar"/>
        </w:rPr>
        <w:t>灌涨镇镇区有一些化工产业，对周边居民和整体生态环境保护存在一定风险挑战。</w:t>
      </w:r>
      <w:r>
        <w:rPr>
          <w:b/>
          <w:bCs/>
        </w:rPr>
        <w:br w:type="page"/>
      </w:r>
    </w:p>
    <w:p>
      <w:pPr>
        <w:spacing w:before="48"/>
        <w:ind w:firstLine="643"/>
        <w:rPr>
          <w:b/>
          <w:bCs/>
        </w:rPr>
      </w:pPr>
    </w:p>
    <w:p>
      <w:pPr>
        <w:pStyle w:val="2"/>
        <w:spacing w:before="489" w:beforeLines="150" w:after="489" w:afterLines="150"/>
      </w:pPr>
      <w:bookmarkStart w:id="14" w:name="_Toc175648286"/>
      <w:bookmarkStart w:id="15" w:name="_Toc221006679"/>
      <w:r>
        <w:rPr>
          <w:rFonts w:hint="eastAsia"/>
        </w:rPr>
        <w:t>发展定位与目标</w:t>
      </w:r>
      <w:bookmarkEnd w:id="14"/>
      <w:bookmarkEnd w:id="15"/>
    </w:p>
    <w:p>
      <w:pPr>
        <w:pStyle w:val="3"/>
        <w:spacing w:before="326" w:beforeLines="100" w:after="326" w:afterLines="100"/>
      </w:pPr>
      <w:bookmarkStart w:id="16" w:name="_Toc175648287"/>
      <w:r>
        <w:rPr>
          <w:rFonts w:hint="eastAsia"/>
        </w:rPr>
        <w:t>发展定位</w:t>
      </w:r>
      <w:bookmarkEnd w:id="16"/>
    </w:p>
    <w:p>
      <w:pPr>
        <w:pStyle w:val="4"/>
        <w:spacing w:before="195" w:beforeLines="60" w:after="195" w:afterLines="60" w:line="240" w:lineRule="auto"/>
        <w:ind w:left="0"/>
      </w:pPr>
      <w:r>
        <w:rPr>
          <w:rFonts w:hint="eastAsia"/>
        </w:rPr>
        <w:t>落实乡镇主体功能</w:t>
      </w:r>
    </w:p>
    <w:p>
      <w:pPr>
        <w:spacing w:before="48"/>
        <w:ind w:firstLine="640"/>
      </w:pPr>
      <w:r>
        <w:rPr>
          <w:rFonts w:hint="eastAsia"/>
          <w:u w:val="single"/>
          <w:lang w:bidi="ar"/>
        </w:rPr>
        <w:t>灌涨镇为城市化地区</w:t>
      </w:r>
      <w:r>
        <w:rPr>
          <w:rFonts w:hint="eastAsia"/>
          <w:u w:val="single"/>
        </w:rPr>
        <w:t>。</w:t>
      </w:r>
      <w:r>
        <w:rPr>
          <w:rFonts w:hint="eastAsia"/>
        </w:rPr>
        <w:t>着力完善功能配套，优化空间结构，合理提高国土开发强度，引导城镇人口集聚，提高土地利用效率，提升城镇服务功能。</w:t>
      </w:r>
    </w:p>
    <w:p>
      <w:pPr>
        <w:pStyle w:val="4"/>
        <w:spacing w:before="195" w:beforeLines="60" w:after="195" w:afterLines="60" w:line="240" w:lineRule="auto"/>
        <w:ind w:left="0"/>
      </w:pPr>
      <w:r>
        <w:rPr>
          <w:rFonts w:hint="eastAsia"/>
        </w:rPr>
        <w:t>发展定位</w:t>
      </w:r>
    </w:p>
    <w:p>
      <w:pPr>
        <w:spacing w:before="48"/>
        <w:ind w:firstLine="640"/>
      </w:pPr>
      <w:r>
        <w:rPr>
          <w:rFonts w:hint="eastAsia"/>
          <w:lang w:bidi="ar"/>
        </w:rPr>
        <w:t>以现代农业与产业发展为指导，积极发展智慧农业、田园旅游、食品加工，打造内乡县粮食中坚区、内乡县田园旅游先行区、内乡县食品工业重镇。</w:t>
      </w:r>
    </w:p>
    <w:p>
      <w:pPr>
        <w:pStyle w:val="3"/>
        <w:spacing w:before="326" w:beforeLines="100" w:after="326" w:afterLines="100"/>
      </w:pPr>
      <w:bookmarkStart w:id="17" w:name="_Toc175648288"/>
      <w:r>
        <w:rPr>
          <w:rFonts w:hint="eastAsia"/>
        </w:rPr>
        <w:t>发展目标</w:t>
      </w:r>
      <w:bookmarkEnd w:id="17"/>
    </w:p>
    <w:p>
      <w:pPr>
        <w:pStyle w:val="4"/>
        <w:spacing w:before="195" w:beforeLines="60" w:after="195" w:afterLines="60" w:line="240" w:lineRule="auto"/>
        <w:ind w:left="0"/>
      </w:pPr>
      <w:r>
        <w:rPr>
          <w:rFonts w:hint="eastAsia"/>
        </w:rPr>
        <w:t>发展目标</w:t>
      </w:r>
    </w:p>
    <w:p>
      <w:pPr>
        <w:ind w:firstLine="640"/>
      </w:pPr>
      <w:r>
        <w:t>1.2025</w:t>
      </w:r>
      <w:r>
        <w:rPr>
          <w:rFonts w:hint="eastAsia"/>
        </w:rPr>
        <w:t>年发展目标</w:t>
      </w:r>
    </w:p>
    <w:p>
      <w:pPr>
        <w:ind w:firstLine="640"/>
      </w:pPr>
      <w:r>
        <w:rPr>
          <w:rFonts w:hint="eastAsia"/>
        </w:rPr>
        <w:t>生态保护和生态修复取得初步成效；初步形成绿色特色、开放创新、三产融合的现代产业体系；乡村振兴取得有效推进，初步建成</w:t>
      </w:r>
      <w:bookmarkStart w:id="18" w:name="_Hlk143791640"/>
      <w:r>
        <w:rPr>
          <w:rFonts w:hint="eastAsia"/>
        </w:rPr>
        <w:t>生态产业特色突出、功能服务完善、人居环境优秀的宜居宜业、宜游宜养的特色小镇。</w:t>
      </w:r>
      <w:bookmarkEnd w:id="18"/>
    </w:p>
    <w:p>
      <w:pPr>
        <w:ind w:firstLine="640"/>
      </w:pPr>
      <w:r>
        <w:t>2.</w:t>
      </w:r>
      <w:r>
        <w:rPr>
          <w:rFonts w:hint="eastAsia"/>
        </w:rPr>
        <w:t>2035年发展目标</w:t>
      </w:r>
    </w:p>
    <w:p>
      <w:pPr>
        <w:ind w:firstLine="640"/>
      </w:pPr>
      <w:r>
        <w:rPr>
          <w:rFonts w:hint="eastAsia"/>
        </w:rPr>
        <w:t>生态保护和生态修复取得显著成效；基本形成绿色特色、开放创新、三产融合的现代产业体系；乡村振兴取得</w:t>
      </w:r>
      <w:r>
        <w:t>重大进展</w:t>
      </w:r>
      <w:r>
        <w:rPr>
          <w:rFonts w:hint="eastAsia"/>
        </w:rPr>
        <w:t>，生态产业特色突出、功能服务完善、人居环境优秀的宜居宜业、宜游宜养的特色小镇。</w:t>
      </w:r>
    </w:p>
    <w:p>
      <w:pPr>
        <w:pStyle w:val="4"/>
        <w:spacing w:before="195" w:beforeLines="60" w:after="195" w:afterLines="60" w:line="240" w:lineRule="auto"/>
        <w:ind w:left="0"/>
      </w:pPr>
      <w:r>
        <w:rPr>
          <w:rFonts w:hint="eastAsia"/>
        </w:rPr>
        <w:t>规划指标体系</w:t>
      </w:r>
    </w:p>
    <w:p>
      <w:pPr>
        <w:spacing w:before="48"/>
        <w:ind w:firstLine="640"/>
      </w:pPr>
      <w:bookmarkStart w:id="19" w:name="_Hlk152769328"/>
      <w:r>
        <w:rPr>
          <w:rFonts w:hint="eastAsia"/>
        </w:rPr>
        <w:t>全镇国土空间规划指标体系涉及空间底线、空间结构与效率以及空间品质，共三大类</w:t>
      </w:r>
      <w:r>
        <w:t>17</w:t>
      </w:r>
      <w:r>
        <w:rPr>
          <w:rFonts w:hint="eastAsia"/>
        </w:rPr>
        <w:t>项，其中约束性指标</w:t>
      </w:r>
      <w:r>
        <w:t>7</w:t>
      </w:r>
      <w:r>
        <w:rPr>
          <w:rFonts w:hint="eastAsia"/>
        </w:rPr>
        <w:t>项，预期性指标</w:t>
      </w:r>
      <w:r>
        <w:t>12</w:t>
      </w:r>
      <w:r>
        <w:rPr>
          <w:rFonts w:hint="eastAsia"/>
        </w:rPr>
        <w:t>项。指标体系基于2</w:t>
      </w:r>
      <w:r>
        <w:t>020</w:t>
      </w:r>
      <w:r>
        <w:rPr>
          <w:rFonts w:hint="eastAsia"/>
        </w:rPr>
        <w:t>年为基期值，提出2</w:t>
      </w:r>
      <w:r>
        <w:t>025</w:t>
      </w:r>
      <w:r>
        <w:rPr>
          <w:rFonts w:hint="eastAsia"/>
        </w:rPr>
        <w:t>年和2</w:t>
      </w:r>
      <w:r>
        <w:t>035</w:t>
      </w:r>
      <w:r>
        <w:rPr>
          <w:rFonts w:hint="eastAsia"/>
        </w:rPr>
        <w:t>年目标值</w:t>
      </w:r>
      <w:r>
        <w:t>。</w:t>
      </w:r>
      <w:r>
        <w:rPr>
          <w:rFonts w:hint="eastAsia"/>
        </w:rPr>
        <w:t>详见附表</w:t>
      </w:r>
      <w:r>
        <w:t>1</w:t>
      </w:r>
      <w:r>
        <w:rPr>
          <w:rFonts w:hint="eastAsia"/>
        </w:rPr>
        <w:t>。</w:t>
      </w:r>
    </w:p>
    <w:p>
      <w:pPr>
        <w:pStyle w:val="3"/>
      </w:pPr>
      <w:r>
        <w:rPr>
          <w:rFonts w:hint="eastAsia"/>
        </w:rPr>
        <w:t>国土空间开发保护策略</w:t>
      </w:r>
    </w:p>
    <w:p>
      <w:pPr>
        <w:pStyle w:val="4"/>
        <w:spacing w:before="195" w:beforeLines="60" w:after="195" w:afterLines="60" w:line="240" w:lineRule="auto"/>
        <w:ind w:left="0"/>
      </w:pPr>
      <w:bookmarkStart w:id="20" w:name="_Hlk200561688"/>
      <w:bookmarkStart w:id="21" w:name="_Hlk200529460"/>
      <w:r>
        <w:rPr>
          <w:rFonts w:hint="eastAsia"/>
        </w:rPr>
        <w:t>国土空间开发保护策略</w:t>
      </w:r>
    </w:p>
    <w:bookmarkEnd w:id="20"/>
    <w:p>
      <w:pPr>
        <w:spacing w:before="65"/>
        <w:ind w:firstLine="640"/>
      </w:pPr>
      <w:bookmarkStart w:id="22" w:name="_Hlk200561701"/>
      <w:r>
        <w:rPr>
          <w:rFonts w:hint="eastAsia"/>
        </w:rPr>
        <w:t>落实底线约束，保证三条控制线落地。落实最严格的耕地保护制度、生态保护制度和节约用地制度。科学避让地质灾害风险，构建安全韧性国土空间，维护粮食安全、生态安全。</w:t>
      </w:r>
    </w:p>
    <w:p>
      <w:pPr>
        <w:spacing w:before="65"/>
        <w:ind w:firstLine="640"/>
      </w:pPr>
      <w:r>
        <w:t>优化空间格局</w:t>
      </w:r>
      <w:r>
        <w:rPr>
          <w:rFonts w:hint="eastAsia"/>
        </w:rPr>
        <w:t>，</w:t>
      </w:r>
      <w:r>
        <w:t>构建高效、协调、可持续的国土空间结构</w:t>
      </w:r>
      <w:r>
        <w:rPr>
          <w:rFonts w:hint="eastAsia"/>
        </w:rPr>
        <w:t>，统一协调生产空间、生活空间、生态空间布局。推动产业转型升级，发展特色优势产业和绿色蔬菜、菌菇产业，引导产业用地向镇区集中。严控高耗能、高污染项目用地。</w:t>
      </w:r>
    </w:p>
    <w:p>
      <w:pPr>
        <w:spacing w:before="65"/>
        <w:ind w:firstLine="640"/>
      </w:pPr>
      <w:r>
        <w:rPr>
          <w:rFonts w:hint="eastAsia"/>
        </w:rPr>
        <w:t>优化居住用地布局，完善文化、教育、医疗、养老、社区服务、绿地等配套设施，推进城镇老旧小区改造和保障性住房建设。引导居民适度朝镇区集中居住，改善人居环境。</w:t>
      </w:r>
    </w:p>
    <w:p>
      <w:pPr>
        <w:spacing w:before="65"/>
        <w:ind w:firstLine="640"/>
      </w:pPr>
      <w:r>
        <w:t>强化基础设施支撑</w:t>
      </w:r>
      <w:r>
        <w:rPr>
          <w:rFonts w:hint="eastAsia"/>
        </w:rPr>
        <w:t>。构建便捷高效的内外交通网络，完善市政道路、停车场。提升供水、排水（雨污分流）、供电、供气、供热、通信、垃圾处理（分类）、污水处理等设施能力和智慧化水平。加强防洪排涝、抗震、消防、地质灾害防治等设施建设和应急能力。</w:t>
      </w:r>
    </w:p>
    <w:p>
      <w:pPr>
        <w:spacing w:before="65"/>
        <w:ind w:firstLine="640"/>
      </w:pPr>
      <w:r>
        <w:rPr>
          <w:rFonts w:hint="eastAsia"/>
        </w:rPr>
        <w:t>盘活存量建设用地，推进低效用地再开发、工矿废弃地复垦利用、闲置宅基地和农房盘活。探索点状供地、混合用地等灵活供地方式。</w:t>
      </w:r>
      <w:bookmarkEnd w:id="22"/>
    </w:p>
    <w:bookmarkEnd w:id="21"/>
    <w:p>
      <w:pPr>
        <w:spacing w:before="48"/>
        <w:ind w:firstLine="640"/>
      </w:pPr>
    </w:p>
    <w:bookmarkEnd w:id="19"/>
    <w:p>
      <w:pPr>
        <w:spacing w:before="48"/>
        <w:ind w:firstLine="640"/>
      </w:pPr>
      <w:r>
        <w:br w:type="page"/>
      </w:r>
    </w:p>
    <w:p>
      <w:pPr>
        <w:spacing w:before="48"/>
        <w:ind w:firstLine="640"/>
      </w:pPr>
    </w:p>
    <w:p>
      <w:pPr>
        <w:pStyle w:val="2"/>
        <w:spacing w:before="489" w:beforeLines="150" w:after="489" w:afterLines="150"/>
      </w:pPr>
      <w:bookmarkStart w:id="23" w:name="_Toc221006680"/>
      <w:bookmarkStart w:id="24" w:name="_Hlk150329632"/>
      <w:r>
        <w:rPr>
          <w:rFonts w:hint="eastAsia"/>
        </w:rPr>
        <w:t>底线约束</w:t>
      </w:r>
      <w:bookmarkEnd w:id="23"/>
    </w:p>
    <w:bookmarkEnd w:id="24"/>
    <w:p>
      <w:pPr>
        <w:pStyle w:val="3"/>
        <w:spacing w:before="326" w:beforeLines="100" w:after="326" w:afterLines="100"/>
      </w:pPr>
      <w:bookmarkStart w:id="25" w:name="_Toc175648292"/>
      <w:bookmarkStart w:id="26" w:name="_Hlk142658448"/>
      <w:r>
        <w:rPr>
          <w:rFonts w:hint="eastAsia"/>
        </w:rPr>
        <w:t>严格落实“三区三线”</w:t>
      </w:r>
      <w:bookmarkEnd w:id="25"/>
    </w:p>
    <w:bookmarkEnd w:id="26"/>
    <w:p>
      <w:pPr>
        <w:pStyle w:val="4"/>
        <w:spacing w:before="195" w:beforeLines="60" w:after="195" w:afterLines="60" w:line="240" w:lineRule="auto"/>
        <w:ind w:left="0"/>
      </w:pPr>
      <w:r>
        <w:rPr>
          <w:rFonts w:hint="eastAsia"/>
        </w:rPr>
        <w:t>严格落实</w:t>
      </w:r>
      <w:r>
        <w:t>耕地和</w:t>
      </w:r>
      <w:r>
        <w:rPr>
          <w:rFonts w:hint="eastAsia"/>
        </w:rPr>
        <w:t>永久基本农田</w:t>
      </w:r>
    </w:p>
    <w:p>
      <w:pPr>
        <w:ind w:firstLine="640"/>
        <w:rPr>
          <w:u w:val="single"/>
        </w:rPr>
      </w:pPr>
      <w:r>
        <w:rPr>
          <w:rFonts w:hint="eastAsia"/>
          <w:u w:val="single"/>
        </w:rPr>
        <w:t>根据内乡县级规划传导，灌涨镇下达耕地保护目标不低于</w:t>
      </w:r>
      <w:r>
        <w:rPr>
          <w:u w:val="single"/>
        </w:rPr>
        <w:t>5688.09公顷，下达永久基本农田保护面积不低于5267.31公顷。</w:t>
      </w:r>
      <w:r>
        <w:rPr>
          <w:rFonts w:hint="eastAsia"/>
          <w:u w:val="single"/>
        </w:rPr>
        <w:t>夏馆镇</w:t>
      </w:r>
      <w:r>
        <w:rPr>
          <w:u w:val="single"/>
        </w:rPr>
        <w:t>实际落实耕地保护面积不低于5688.09公顷，</w:t>
      </w:r>
      <w:r>
        <w:t>根据永久基本农田核实处置成果，实际落实永久基本农田面积5365.10公顷。</w:t>
      </w:r>
    </w:p>
    <w:p>
      <w:pPr>
        <w:pStyle w:val="4"/>
        <w:spacing w:before="195" w:beforeLines="60" w:after="195" w:afterLines="60" w:line="240" w:lineRule="auto"/>
        <w:ind w:left="0"/>
      </w:pPr>
      <w:r>
        <w:rPr>
          <w:rFonts w:hint="eastAsia"/>
        </w:rPr>
        <w:t>严格落实生态保护红线</w:t>
      </w:r>
    </w:p>
    <w:p>
      <w:pPr>
        <w:ind w:firstLine="640"/>
      </w:pPr>
      <w:bookmarkStart w:id="27" w:name="_Hlk150442329"/>
      <w:r>
        <w:rPr>
          <w:rFonts w:hint="eastAsia"/>
        </w:rPr>
        <w:t>全镇</w:t>
      </w:r>
      <w:r>
        <w:t>不涉及生态保护红线</w:t>
      </w:r>
      <w:r>
        <w:rPr>
          <w:rFonts w:hint="eastAsia"/>
        </w:rPr>
        <w:t>，若生态红线后续调整，按照调整后的生态保护红线进行管理</w:t>
      </w:r>
      <w:r>
        <w:t>。</w:t>
      </w:r>
    </w:p>
    <w:bookmarkEnd w:id="27"/>
    <w:p>
      <w:pPr>
        <w:pStyle w:val="4"/>
        <w:spacing w:before="195" w:beforeLines="60" w:after="195" w:afterLines="60" w:line="240" w:lineRule="auto"/>
        <w:ind w:left="0"/>
      </w:pPr>
      <w:r>
        <w:rPr>
          <w:rFonts w:hint="eastAsia"/>
        </w:rPr>
        <w:t>严格落实城镇开发边界</w:t>
      </w:r>
    </w:p>
    <w:p>
      <w:pPr>
        <w:spacing w:before="48" w:after="156"/>
        <w:ind w:firstLine="640"/>
      </w:pPr>
      <w:r>
        <w:rPr>
          <w:rFonts w:hint="eastAsia"/>
          <w:u w:val="single"/>
        </w:rPr>
        <w:t>根据上位规划，灌涨镇落实城镇开发边界面积为313.96</w:t>
      </w:r>
      <w:r>
        <w:rPr>
          <w:u w:val="single"/>
        </w:rPr>
        <w:t>公顷</w:t>
      </w:r>
      <w:r>
        <w:rPr>
          <w:rFonts w:hint="eastAsia"/>
          <w:u w:val="single"/>
        </w:rPr>
        <w:t>。</w:t>
      </w:r>
      <w:r>
        <w:t>镇区未布新增城镇开发边界指标</w:t>
      </w:r>
      <w:r>
        <w:rPr>
          <w:rFonts w:hint="eastAsia"/>
        </w:rPr>
        <w:t>。</w:t>
      </w:r>
    </w:p>
    <w:p>
      <w:pPr>
        <w:pStyle w:val="3"/>
        <w:spacing w:before="326" w:beforeLines="100" w:after="326" w:afterLines="100"/>
      </w:pPr>
      <w:bookmarkStart w:id="28" w:name="_Toc175648293"/>
      <w:bookmarkStart w:id="29" w:name="_Hlk142575005"/>
      <w:r>
        <w:rPr>
          <w:rFonts w:hint="eastAsia"/>
        </w:rPr>
        <w:t>核准落实其他控制线</w:t>
      </w:r>
      <w:bookmarkEnd w:id="28"/>
    </w:p>
    <w:p>
      <w:pPr>
        <w:pStyle w:val="4"/>
        <w:spacing w:before="195" w:beforeLines="60" w:after="195" w:afterLines="60" w:line="240" w:lineRule="auto"/>
        <w:ind w:left="0"/>
      </w:pPr>
      <w:r>
        <w:rPr>
          <w:rFonts w:hint="eastAsia"/>
        </w:rPr>
        <w:t>历史文化保护线</w:t>
      </w:r>
    </w:p>
    <w:p>
      <w:pPr>
        <w:spacing w:before="48" w:after="156"/>
        <w:ind w:firstLine="640"/>
      </w:pPr>
      <w:bookmarkStart w:id="30" w:name="_Hlk152257056"/>
      <w:r>
        <w:rPr>
          <w:rFonts w:hint="eastAsia"/>
          <w:u w:val="single"/>
        </w:rPr>
        <w:t>全镇历史文化保护线1</w:t>
      </w:r>
      <w:r>
        <w:rPr>
          <w:u w:val="single"/>
        </w:rPr>
        <w:t>处，为县级文物保护单位</w:t>
      </w:r>
      <w:r>
        <w:rPr>
          <w:rFonts w:hint="eastAsia"/>
          <w:u w:val="single"/>
        </w:rPr>
        <w:t>郭营古墓群</w:t>
      </w:r>
      <w:r>
        <w:rPr>
          <w:u w:val="single"/>
        </w:rPr>
        <w:t>，历史文化保护线</w:t>
      </w:r>
      <w:r>
        <w:rPr>
          <w:rFonts w:hint="eastAsia"/>
          <w:u w:val="single"/>
        </w:rPr>
        <w:t>以龟盖形最高处四周延伸20米</w:t>
      </w:r>
      <w:r>
        <w:rPr>
          <w:u w:val="single"/>
        </w:rPr>
        <w:t>。</w:t>
      </w:r>
      <w:r>
        <w:rPr>
          <w:rFonts w:hint="eastAsia"/>
        </w:rPr>
        <w:t>灌涨镇历史文化保护线结合镇域历史文化遗产保护范围和建设控制地带的划定情况，及时落实动态补划，纳入国土空间规划“一张图”进行管控。</w:t>
      </w:r>
    </w:p>
    <w:bookmarkEnd w:id="30"/>
    <w:p>
      <w:pPr>
        <w:pStyle w:val="4"/>
        <w:spacing w:before="195" w:beforeLines="60" w:after="195" w:afterLines="60" w:line="240" w:lineRule="auto"/>
        <w:ind w:left="0"/>
      </w:pPr>
      <w:r>
        <w:rPr>
          <w:rFonts w:hint="eastAsia"/>
        </w:rPr>
        <w:t>洪涝风险控制线</w:t>
      </w:r>
    </w:p>
    <w:p>
      <w:pPr>
        <w:spacing w:before="48" w:after="156"/>
        <w:ind w:firstLine="640"/>
      </w:pPr>
      <w:bookmarkStart w:id="31" w:name="_Hlk152257166"/>
      <w:r>
        <w:rPr>
          <w:rFonts w:hint="eastAsia"/>
        </w:rPr>
        <w:t>按照河道管理范围，落实洪涝风险控制线，待相关专项规划编制完成后，更新落实洪涝灾害风险控制线。共划定河道管理范围</w:t>
      </w:r>
      <w:r>
        <w:t>2条，划定面积405.00公顷，分别为</w:t>
      </w:r>
      <w:r>
        <w:rPr>
          <w:rFonts w:hint="eastAsia"/>
        </w:rPr>
        <w:t>默河、王湾河</w:t>
      </w:r>
      <w:r>
        <w:t>。洪涝风险控制线内禁止新增城乡建设用地，确需新增的，需经得水利部门的意见后落实。</w:t>
      </w:r>
    </w:p>
    <w:bookmarkEnd w:id="31"/>
    <w:p>
      <w:pPr>
        <w:pStyle w:val="4"/>
        <w:spacing w:before="195" w:beforeLines="60" w:after="195" w:afterLines="60" w:line="240" w:lineRule="auto"/>
        <w:ind w:left="0"/>
      </w:pPr>
      <w:r>
        <w:rPr>
          <w:rFonts w:hint="eastAsia"/>
        </w:rPr>
        <w:t>廊道控制线</w:t>
      </w:r>
    </w:p>
    <w:p>
      <w:pPr>
        <w:spacing w:before="48"/>
        <w:ind w:firstLine="640"/>
      </w:pPr>
      <w:bookmarkStart w:id="32" w:name="_Hlk152257192"/>
      <w:r>
        <w:rPr>
          <w:rFonts w:hint="eastAsia"/>
        </w:rPr>
        <w:t>全镇交通控制廊道涉及高速公路：沪陕高速；国道：</w:t>
      </w:r>
      <w:r>
        <w:t>G312</w:t>
      </w:r>
      <w:r>
        <w:rPr>
          <w:rFonts w:hint="eastAsia"/>
        </w:rPr>
        <w:t>、</w:t>
      </w:r>
      <w:r>
        <w:t>G312老线路</w:t>
      </w:r>
      <w:r>
        <w:rPr>
          <w:rFonts w:hint="eastAsia"/>
        </w:rPr>
        <w:t>；省道：</w:t>
      </w:r>
      <w:r>
        <w:t>S243、S330；县道：X040；乡道：Y002、Y018、YO19、Y022、Y057，根据《公路安全保护条例》，在公路两侧修建永久性工程设施，其建筑物边缘与公路边沟外缘的间距为：国道不少于二十米；省道不少于15米；县道不少于10米；乡道不少于5米。高速公路的，公路建筑控制区的范围从公路用地外缘起向外的距离标准不少于30米。</w:t>
      </w:r>
      <w:bookmarkEnd w:id="32"/>
    </w:p>
    <w:p>
      <w:pPr>
        <w:spacing w:before="48"/>
        <w:ind w:firstLine="640"/>
      </w:pPr>
    </w:p>
    <w:p>
      <w:pPr>
        <w:pStyle w:val="3"/>
        <w:spacing w:before="326" w:beforeLines="100" w:after="326" w:afterLines="100"/>
      </w:pPr>
      <w:bookmarkStart w:id="33" w:name="_Toc175648294"/>
      <w:r>
        <w:rPr>
          <w:rFonts w:hint="eastAsia"/>
        </w:rPr>
        <w:t>划定村庄建设边界</w:t>
      </w:r>
      <w:bookmarkEnd w:id="33"/>
    </w:p>
    <w:p>
      <w:pPr>
        <w:pStyle w:val="4"/>
        <w:spacing w:before="195" w:beforeLines="60" w:after="195" w:afterLines="60" w:line="240" w:lineRule="auto"/>
        <w:ind w:left="0"/>
      </w:pPr>
      <w:r>
        <w:rPr>
          <w:rFonts w:hint="eastAsia"/>
        </w:rPr>
        <w:t>村庄建设边界</w:t>
      </w:r>
      <w:r>
        <w:t>划定</w:t>
      </w:r>
    </w:p>
    <w:p>
      <w:pPr>
        <w:spacing w:before="48"/>
        <w:ind w:firstLine="640"/>
      </w:pPr>
      <w:bookmarkStart w:id="34" w:name="_Hlk175646380"/>
      <w:r>
        <w:rPr>
          <w:rFonts w:hint="eastAsia"/>
        </w:rPr>
        <w:t>全镇划定村庄建设边界</w:t>
      </w:r>
      <w:r>
        <w:t>961.22公顷，其中，机动指标为1.32公顷，占村庄建设边界的0.42%。</w:t>
      </w:r>
    </w:p>
    <w:bookmarkEnd w:id="34"/>
    <w:p>
      <w:pPr>
        <w:ind w:firstLine="640"/>
      </w:pPr>
      <w:bookmarkStart w:id="35" w:name="_Toc175648295"/>
      <w:r>
        <w:br w:type="page"/>
      </w:r>
    </w:p>
    <w:p>
      <w:pPr>
        <w:ind w:firstLine="640"/>
      </w:pPr>
    </w:p>
    <w:p>
      <w:pPr>
        <w:pStyle w:val="2"/>
      </w:pPr>
      <w:bookmarkStart w:id="36" w:name="_Toc221006681"/>
      <w:r>
        <w:rPr>
          <w:rFonts w:hint="eastAsia"/>
        </w:rPr>
        <w:t>规划分区</w:t>
      </w:r>
      <w:bookmarkEnd w:id="36"/>
    </w:p>
    <w:p>
      <w:pPr>
        <w:pStyle w:val="3"/>
        <w:spacing w:before="326" w:beforeLines="100" w:after="326" w:afterLines="100"/>
      </w:pPr>
      <w:r>
        <w:rPr>
          <w:rFonts w:hint="eastAsia"/>
        </w:rPr>
        <w:t>国土空间开发保护总体格局</w:t>
      </w:r>
      <w:bookmarkEnd w:id="35"/>
    </w:p>
    <w:p>
      <w:pPr>
        <w:pStyle w:val="4"/>
        <w:spacing w:before="195" w:beforeLines="60" w:after="195" w:afterLines="60" w:line="240" w:lineRule="auto"/>
        <w:ind w:left="0"/>
      </w:pPr>
      <w:r>
        <w:rPr>
          <w:rFonts w:hint="eastAsia"/>
        </w:rPr>
        <w:t>国土空间开发保护总体格局</w:t>
      </w:r>
    </w:p>
    <w:p>
      <w:pPr>
        <w:spacing w:before="48"/>
        <w:ind w:firstLine="640"/>
      </w:pPr>
      <w:r>
        <w:rPr>
          <w:rFonts w:hint="eastAsia"/>
        </w:rPr>
        <w:t>融合三生空间，兼顾保护与发展，构建“一横一纵，一核多点，两区两带”的生态化集约化的国土空间开发保护总体格局。</w:t>
      </w:r>
    </w:p>
    <w:p>
      <w:pPr>
        <w:spacing w:before="48"/>
        <w:ind w:firstLine="640"/>
      </w:pPr>
      <w:r>
        <w:rPr>
          <w:rFonts w:hint="eastAsia"/>
        </w:rPr>
        <w:t>一横为（城镇发展主轴）：以老国道G312为纽带</w:t>
      </w:r>
      <w:r>
        <w:t>，是</w:t>
      </w:r>
      <w:r>
        <w:rPr>
          <w:rFonts w:hint="eastAsia"/>
        </w:rPr>
        <w:t>灌涨</w:t>
      </w:r>
      <w:r>
        <w:t>镇与内乡县城、镇平县相连的发展主轴带</w:t>
      </w:r>
      <w:r>
        <w:rPr>
          <w:rFonts w:hint="eastAsia"/>
        </w:rPr>
        <w:t>。</w:t>
      </w:r>
    </w:p>
    <w:p>
      <w:pPr>
        <w:spacing w:before="48"/>
        <w:ind w:firstLine="640"/>
      </w:pPr>
      <w:r>
        <w:rPr>
          <w:rFonts w:hint="eastAsia"/>
        </w:rPr>
        <w:t>一纵：为沿省道S330和X040形成的镇村发展次轴。</w:t>
      </w:r>
    </w:p>
    <w:p>
      <w:pPr>
        <w:spacing w:before="48"/>
        <w:ind w:firstLine="640"/>
      </w:pPr>
      <w:r>
        <w:rPr>
          <w:rFonts w:hint="eastAsia"/>
        </w:rPr>
        <w:t>一核：为灌涨镇镇区形成的发展核心；多点为前湾村、郭营村、刘营村、杨寨村、杨洼村、杨岗村、前楼村</w:t>
      </w:r>
      <w:r>
        <w:t>。</w:t>
      </w:r>
      <w:r>
        <w:rPr>
          <w:rFonts w:hint="eastAsia"/>
        </w:rPr>
        <w:t>以发展极核为核心，以集聚提升类和特色保护类村庄为重点</w:t>
      </w:r>
      <w:r>
        <w:t>统领全镇发展，形成“一纵</w:t>
      </w:r>
      <w:r>
        <w:rPr>
          <w:rFonts w:hint="eastAsia"/>
        </w:rPr>
        <w:t>一横</w:t>
      </w:r>
      <w:r>
        <w:t>，</w:t>
      </w:r>
      <w:r>
        <w:rPr>
          <w:rFonts w:hint="eastAsia"/>
        </w:rPr>
        <w:t>一</w:t>
      </w:r>
      <w:r>
        <w:t>核多点”的城乡发展格局</w:t>
      </w:r>
      <w:r>
        <w:rPr>
          <w:rFonts w:hint="eastAsia"/>
        </w:rPr>
        <w:t>。</w:t>
      </w:r>
    </w:p>
    <w:p>
      <w:pPr>
        <w:spacing w:before="48"/>
        <w:ind w:firstLine="640"/>
      </w:pPr>
      <w:r>
        <w:rPr>
          <w:rFonts w:hint="eastAsia"/>
        </w:rPr>
        <w:t>“两区”：主要指以工业为主的内乡县开发区灌涨片区、高效农业生产区；“两带”：以</w:t>
      </w:r>
      <w:bookmarkStart w:id="37" w:name="_Hlk152319828"/>
      <w:r>
        <w:rPr>
          <w:rFonts w:hint="eastAsia"/>
        </w:rPr>
        <w:t>默河、曾家河为两条生态廊道；</w:t>
      </w:r>
      <w:bookmarkEnd w:id="37"/>
      <w:r>
        <w:rPr>
          <w:rFonts w:hint="eastAsia"/>
        </w:rPr>
        <w:t xml:space="preserve"> “两区两带”是全镇发展的生态底色。</w:t>
      </w:r>
    </w:p>
    <w:p>
      <w:pPr>
        <w:pStyle w:val="3"/>
        <w:spacing w:before="326" w:beforeLines="100" w:after="326" w:afterLines="100"/>
      </w:pPr>
      <w:bookmarkStart w:id="38" w:name="_Toc175648296"/>
      <w:r>
        <w:rPr>
          <w:rFonts w:hint="eastAsia"/>
        </w:rPr>
        <w:t>规划分区与用途管制</w:t>
      </w:r>
      <w:bookmarkEnd w:id="38"/>
    </w:p>
    <w:p>
      <w:pPr>
        <w:pStyle w:val="4"/>
        <w:spacing w:before="195" w:beforeLines="60" w:after="195" w:afterLines="60" w:line="240" w:lineRule="auto"/>
        <w:ind w:left="0"/>
      </w:pPr>
      <w:r>
        <w:rPr>
          <w:rFonts w:hint="eastAsia"/>
        </w:rPr>
        <w:t>生态保护区</w:t>
      </w:r>
    </w:p>
    <w:p>
      <w:pPr>
        <w:ind w:firstLine="640"/>
      </w:pPr>
      <w:r>
        <w:rPr>
          <w:rFonts w:hint="eastAsia"/>
        </w:rPr>
        <w:t>1</w:t>
      </w:r>
      <w:r>
        <w:t>.生态保护区划定</w:t>
      </w:r>
    </w:p>
    <w:p>
      <w:pPr>
        <w:ind w:firstLine="640"/>
      </w:pPr>
      <w:r>
        <w:rPr>
          <w:rFonts w:hint="eastAsia"/>
        </w:rPr>
        <w:t>依据上位规划传导，全镇不涉及生态保护区，若生态红线后续调整，生态保护区一并调整，按照调整后的生态保护区进行管理。</w:t>
      </w:r>
    </w:p>
    <w:p>
      <w:pPr>
        <w:ind w:firstLine="640"/>
      </w:pPr>
      <w:r>
        <w:rPr>
          <w:rFonts w:hint="eastAsia"/>
        </w:rPr>
        <w:t>2</w:t>
      </w:r>
      <w:r>
        <w:t>.管控规则</w:t>
      </w:r>
    </w:p>
    <w:p>
      <w:pPr>
        <w:ind w:firstLine="640"/>
      </w:pPr>
      <w:r>
        <w:rPr>
          <w:rFonts w:hint="eastAsia"/>
        </w:rPr>
        <w:t>生态保护区内国土空间用途准入、退出按照《中共中央办公厅国务院办公厅关于划定并严守生态保护红线的若干意见》、《自然资源部生态环境部 国家林业和草原局关于加强生态保护红线管理的通知（试行）》、《河南省生态保护红线管理办法》、《河南省生态保护红线实施细则》以及生态保护红线相关法律法规进行管控。</w:t>
      </w:r>
    </w:p>
    <w:p>
      <w:pPr>
        <w:spacing w:before="48"/>
        <w:ind w:firstLine="640"/>
      </w:pPr>
      <w:r>
        <w:rPr>
          <w:rFonts w:hint="eastAsia"/>
        </w:rPr>
        <w:t>生态保护红线内，自然保护地核心保护区原则上禁止人为活动，其他区域严格禁止不符合主体功能定位的开发性、生产性建设活动。生态保护红线内各类自然保护地，饮用水水源地保护区等禁止开发区域的管理，同时执行相关法律法规规定。</w:t>
      </w:r>
    </w:p>
    <w:p>
      <w:pPr>
        <w:pStyle w:val="4"/>
        <w:spacing w:before="195" w:beforeLines="60" w:after="195" w:afterLines="60" w:line="240" w:lineRule="auto"/>
        <w:ind w:left="0"/>
      </w:pPr>
      <w:r>
        <w:rPr>
          <w:rFonts w:hint="eastAsia"/>
        </w:rPr>
        <w:t>生态控制区</w:t>
      </w:r>
    </w:p>
    <w:p>
      <w:pPr>
        <w:ind w:firstLine="640"/>
      </w:pPr>
      <w:r>
        <w:rPr>
          <w:rFonts w:hint="eastAsia"/>
        </w:rPr>
        <w:t>1</w:t>
      </w:r>
      <w:r>
        <w:t>.生态控制区划定</w:t>
      </w:r>
    </w:p>
    <w:p>
      <w:pPr>
        <w:ind w:firstLine="640"/>
      </w:pPr>
      <w:r>
        <w:rPr>
          <w:rFonts w:hint="eastAsia"/>
          <w:lang w:bidi="ar"/>
        </w:rPr>
        <w:t>依据上位规划传导，并结合灌涨镇实际情况，局部进行优化，全镇划定生态控制区面积</w:t>
      </w:r>
      <w:r>
        <w:t>319.40公顷，占全域面积的3.46%</w:t>
      </w:r>
      <w:r>
        <w:rPr>
          <w:rFonts w:hint="eastAsia"/>
          <w:lang w:bidi="ar"/>
        </w:rPr>
        <w:t>。</w:t>
      </w:r>
      <w:bookmarkStart w:id="39" w:name="_Hlk152319665"/>
    </w:p>
    <w:bookmarkEnd w:id="39"/>
    <w:p>
      <w:pPr>
        <w:ind w:firstLine="640"/>
      </w:pPr>
      <w:r>
        <w:rPr>
          <w:rFonts w:hint="eastAsia"/>
        </w:rPr>
        <w:t>2</w:t>
      </w:r>
      <w:r>
        <w:t>.管控规则</w:t>
      </w:r>
    </w:p>
    <w:p>
      <w:pPr>
        <w:ind w:firstLine="640"/>
      </w:pPr>
      <w:r>
        <w:rPr>
          <w:rFonts w:hint="eastAsia"/>
          <w:lang w:bidi="ar"/>
        </w:rPr>
        <w:t>（1）用途准入</w:t>
      </w:r>
    </w:p>
    <w:p>
      <w:pPr>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48"/>
        <w:ind w:firstLine="640"/>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48"/>
        <w:ind w:firstLine="640"/>
      </w:pPr>
      <w:r>
        <w:rPr>
          <w:rFonts w:hint="eastAsia"/>
          <w:lang w:bidi="ar"/>
        </w:rPr>
        <w:t>（2）用途退出</w:t>
      </w:r>
    </w:p>
    <w:p>
      <w:pPr>
        <w:spacing w:before="48"/>
        <w:ind w:firstLine="640"/>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pStyle w:val="4"/>
        <w:spacing w:before="195" w:beforeLines="60" w:after="195" w:afterLines="60" w:line="240" w:lineRule="auto"/>
        <w:ind w:left="0"/>
      </w:pPr>
      <w:r>
        <w:rPr>
          <w:rFonts w:hint="eastAsia"/>
        </w:rPr>
        <w:t>农田保护区</w:t>
      </w:r>
    </w:p>
    <w:p>
      <w:pPr>
        <w:ind w:firstLine="640"/>
      </w:pPr>
      <w:r>
        <w:rPr>
          <w:rFonts w:hint="eastAsia"/>
        </w:rPr>
        <w:t>1</w:t>
      </w:r>
      <w:r>
        <w:t>.农田保护区划定</w:t>
      </w:r>
    </w:p>
    <w:p>
      <w:pPr>
        <w:ind w:firstLine="640"/>
      </w:pPr>
      <w:bookmarkStart w:id="40" w:name="_Hlk152319961"/>
      <w:r>
        <w:rPr>
          <w:rFonts w:hint="eastAsia"/>
          <w:lang w:bidi="ar"/>
        </w:rPr>
        <w:t>全镇划定农田保护区面积</w:t>
      </w:r>
      <w:r>
        <w:t>5496.38公顷，占全域面积的59.62%</w:t>
      </w:r>
      <w:r>
        <w:rPr>
          <w:rFonts w:hint="eastAsia"/>
          <w:lang w:bidi="ar"/>
        </w:rPr>
        <w:t>。</w:t>
      </w:r>
    </w:p>
    <w:bookmarkEnd w:id="40"/>
    <w:p>
      <w:pPr>
        <w:ind w:firstLine="640"/>
      </w:pPr>
      <w:r>
        <w:rPr>
          <w:rFonts w:hint="eastAsia"/>
        </w:rPr>
        <w:t>2</w:t>
      </w:r>
      <w:r>
        <w:t>.管控规则</w:t>
      </w:r>
    </w:p>
    <w:p>
      <w:pPr>
        <w:ind w:firstLine="640"/>
      </w:pPr>
      <w:r>
        <w:rPr>
          <w:rFonts w:hint="eastAsia"/>
          <w:lang w:bidi="ar"/>
        </w:rPr>
        <w:t>（1）用途准入</w:t>
      </w:r>
    </w:p>
    <w:p>
      <w:pPr>
        <w:spacing w:before="48"/>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48"/>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48"/>
        <w:ind w:firstLine="640"/>
      </w:pPr>
      <w:r>
        <w:rPr>
          <w:rFonts w:hint="eastAsia"/>
        </w:rPr>
        <w:t>农田保护区内限制准入农业设施建设用地，农业设施建设用地不再使用的，必须恢复原用途。</w:t>
      </w:r>
    </w:p>
    <w:p>
      <w:pPr>
        <w:spacing w:before="48"/>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48"/>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48"/>
        <w:ind w:firstLine="640"/>
      </w:pPr>
      <w:r>
        <w:rPr>
          <w:rFonts w:hint="eastAsia"/>
          <w:lang w:bidi="ar"/>
        </w:rPr>
        <w:t>（2）用途退出</w:t>
      </w:r>
    </w:p>
    <w:p>
      <w:pPr>
        <w:spacing w:before="48"/>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beforeLines="60" w:after="195" w:afterLines="60" w:line="240" w:lineRule="auto"/>
        <w:ind w:left="0"/>
      </w:pPr>
      <w:r>
        <w:rPr>
          <w:rFonts w:hint="eastAsia"/>
        </w:rPr>
        <w:t>城镇发展区</w:t>
      </w:r>
    </w:p>
    <w:p>
      <w:pPr>
        <w:ind w:firstLine="640"/>
      </w:pPr>
      <w:r>
        <w:rPr>
          <w:rFonts w:hint="eastAsia"/>
        </w:rPr>
        <w:t>1</w:t>
      </w:r>
      <w:r>
        <w:t>.城镇发展区划定</w:t>
      </w:r>
    </w:p>
    <w:p>
      <w:pPr>
        <w:ind w:firstLine="640"/>
      </w:pPr>
      <w:bookmarkStart w:id="41" w:name="_Hlk152319991"/>
      <w:r>
        <w:rPr>
          <w:rFonts w:hint="eastAsia"/>
        </w:rPr>
        <w:t>全镇划定城镇发展区面积</w:t>
      </w:r>
      <w:r>
        <w:t>313.96公顷，全部为集中建设区，占全域面积的</w:t>
      </w:r>
      <w:r>
        <w:rPr>
          <w:rFonts w:hint="eastAsia"/>
        </w:rPr>
        <w:t>3.41</w:t>
      </w:r>
      <w:r>
        <w:t>%</w:t>
      </w:r>
      <w:r>
        <w:rPr>
          <w:rFonts w:hint="eastAsia"/>
        </w:rPr>
        <w:t>。</w:t>
      </w:r>
    </w:p>
    <w:bookmarkEnd w:id="41"/>
    <w:p>
      <w:pPr>
        <w:ind w:firstLine="640"/>
      </w:pPr>
      <w:r>
        <w:rPr>
          <w:rFonts w:hint="eastAsia"/>
        </w:rPr>
        <w:t>2</w:t>
      </w:r>
      <w:r>
        <w:t>.管控规则</w:t>
      </w:r>
    </w:p>
    <w:p>
      <w:pPr>
        <w:ind w:firstLine="640"/>
      </w:pPr>
      <w:r>
        <w:rPr>
          <w:rFonts w:hint="eastAsia"/>
        </w:rPr>
        <w:t>城镇发展区主要用于城镇建设，是允许开展城镇开发建设行为的核心区域，应实现详细规划全覆盖，按照详细规划进行精细化管理，限制农业生产、土地整治和村庄建设。</w:t>
      </w:r>
    </w:p>
    <w:p>
      <w:pPr>
        <w:spacing w:before="48"/>
        <w:ind w:firstLine="640"/>
      </w:pPr>
      <w:r>
        <w:rPr>
          <w:rFonts w:hint="eastAsia"/>
          <w:lang w:bidi="ar"/>
        </w:rPr>
        <w:t>（1）用途准入</w:t>
      </w:r>
    </w:p>
    <w:p>
      <w:pPr>
        <w:spacing w:before="48"/>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spacing w:before="48"/>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spacing w:before="48"/>
        <w:ind w:firstLine="640"/>
      </w:pPr>
      <w:r>
        <w:rPr>
          <w:rFonts w:hint="eastAsia"/>
          <w:lang w:bidi="ar"/>
        </w:rPr>
        <w:t>城镇集中建设区内的战略预留区宜维持现状用途为主，在用途明确前应控制区内新建扩建各项建设，按照原用途使用。</w:t>
      </w:r>
    </w:p>
    <w:p>
      <w:pPr>
        <w:spacing w:before="48"/>
        <w:ind w:firstLine="640"/>
      </w:pPr>
      <w:r>
        <w:rPr>
          <w:rFonts w:hint="eastAsia"/>
          <w:lang w:bidi="ar"/>
        </w:rPr>
        <w:t>（2）用途退出</w:t>
      </w:r>
    </w:p>
    <w:p>
      <w:pPr>
        <w:spacing w:before="48"/>
        <w:ind w:firstLine="640"/>
      </w:pPr>
      <w:r>
        <w:rPr>
          <w:rFonts w:hint="eastAsia"/>
          <w:lang w:bidi="ar"/>
        </w:rPr>
        <w:t>对用途分区主导功能产生负面影响的用途应通过国土空间规划的编制和实施逐步退出。</w:t>
      </w:r>
    </w:p>
    <w:p>
      <w:pPr>
        <w:pStyle w:val="4"/>
        <w:spacing w:before="195" w:beforeLines="60" w:after="195" w:afterLines="60" w:line="240" w:lineRule="auto"/>
        <w:ind w:left="0"/>
      </w:pPr>
      <w:r>
        <w:rPr>
          <w:rFonts w:hint="eastAsia"/>
        </w:rPr>
        <w:t>乡村发展区</w:t>
      </w:r>
    </w:p>
    <w:p>
      <w:pPr>
        <w:ind w:firstLine="640"/>
      </w:pPr>
      <w:bookmarkStart w:id="42" w:name="_Hlk152837370"/>
      <w:r>
        <w:rPr>
          <w:rFonts w:hint="eastAsia"/>
          <w:lang w:bidi="ar"/>
        </w:rPr>
        <w:t>全镇划定乡村发展区面积</w:t>
      </w:r>
      <w:r>
        <w:rPr>
          <w:lang w:bidi="ar"/>
        </w:rPr>
        <w:t>3088.98</w:t>
      </w:r>
      <w:r>
        <w:rPr>
          <w:rFonts w:hint="eastAsia"/>
          <w:lang w:bidi="ar"/>
        </w:rPr>
        <w:t>公顷，占全域面积的</w:t>
      </w:r>
      <w:r>
        <w:rPr>
          <w:lang w:bidi="ar"/>
        </w:rPr>
        <w:t>33.51</w:t>
      </w:r>
      <w:r>
        <w:rPr>
          <w:rFonts w:hint="eastAsia"/>
          <w:lang w:bidi="ar"/>
        </w:rPr>
        <w:t>%。乡村发展区包含村庄建设区、一般农业区、林业发展区等二级规划分区。</w:t>
      </w:r>
    </w:p>
    <w:bookmarkEnd w:id="42"/>
    <w:p>
      <w:pPr>
        <w:ind w:firstLine="640"/>
      </w:pPr>
      <w:r>
        <w:rPr>
          <w:rFonts w:hint="eastAsia"/>
        </w:rPr>
        <w:t>1</w:t>
      </w:r>
      <w:r>
        <w:t>.</w:t>
      </w:r>
      <w:r>
        <w:rPr>
          <w:rFonts w:hint="eastAsia"/>
        </w:rPr>
        <w:t>村庄建设区</w:t>
      </w:r>
    </w:p>
    <w:p>
      <w:pPr>
        <w:ind w:firstLine="640"/>
      </w:pPr>
      <w:r>
        <w:rPr>
          <w:rFonts w:hint="eastAsia"/>
        </w:rPr>
        <w:t>全镇划定村庄建设区面积</w:t>
      </w:r>
      <w:r>
        <w:t>959.90公顷，占全域</w:t>
      </w:r>
      <w:r>
        <w:rPr>
          <w:rFonts w:hint="eastAsia"/>
        </w:rPr>
        <w:t>乡村发展区</w:t>
      </w:r>
      <w:r>
        <w:t>面积的31.07%。</w:t>
      </w:r>
    </w:p>
    <w:p>
      <w:pPr>
        <w:ind w:firstLine="640"/>
      </w:pPr>
      <w:r>
        <w:rPr>
          <w:lang w:bidi="ar"/>
        </w:rPr>
        <w:t>（</w:t>
      </w:r>
      <w:r>
        <w:rPr>
          <w:rFonts w:hint="eastAsia"/>
          <w:lang w:bidi="ar"/>
        </w:rPr>
        <w:t>1）用途准入</w:t>
      </w:r>
    </w:p>
    <w:p>
      <w:pPr>
        <w:spacing w:before="48"/>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48"/>
        <w:ind w:firstLine="640"/>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48"/>
        <w:ind w:firstLine="640"/>
      </w:pPr>
      <w:r>
        <w:rPr>
          <w:lang w:bidi="ar"/>
        </w:rPr>
        <w:t>（</w:t>
      </w:r>
      <w:r>
        <w:rPr>
          <w:rFonts w:hint="eastAsia"/>
          <w:lang w:bidi="ar"/>
        </w:rPr>
        <w:t>2）用途退出</w:t>
      </w:r>
    </w:p>
    <w:p>
      <w:pPr>
        <w:spacing w:before="48"/>
        <w:ind w:firstLine="640"/>
      </w:pPr>
      <w:r>
        <w:rPr>
          <w:rFonts w:hint="eastAsia"/>
          <w:lang w:bidi="ar"/>
        </w:rPr>
        <w:t>对村民生产、生活有负面影响的生产、开发活动应当通过国土空间规划的编制和实施逐步退出。</w:t>
      </w:r>
    </w:p>
    <w:p>
      <w:pPr>
        <w:ind w:firstLine="640"/>
      </w:pPr>
      <w:r>
        <w:rPr>
          <w:rFonts w:hint="eastAsia"/>
        </w:rPr>
        <w:t>2</w:t>
      </w:r>
      <w:r>
        <w:t>.</w:t>
      </w:r>
      <w:r>
        <w:rPr>
          <w:rFonts w:hint="eastAsia"/>
        </w:rPr>
        <w:t>一般农业区</w:t>
      </w:r>
    </w:p>
    <w:p>
      <w:pPr>
        <w:ind w:firstLine="640"/>
      </w:pPr>
      <w:r>
        <w:rPr>
          <w:rFonts w:hint="eastAsia"/>
          <w:lang w:bidi="ar"/>
        </w:rPr>
        <w:t>全镇划定一般农业区面积</w:t>
      </w:r>
      <w:r>
        <w:rPr>
          <w:lang w:bidi="ar"/>
        </w:rPr>
        <w:t>2129.08公顷，占全域乡村发展区面积的68.93%。</w:t>
      </w:r>
    </w:p>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一般农业区中。</w:t>
      </w:r>
    </w:p>
    <w:p>
      <w:pPr>
        <w:spacing w:before="65"/>
        <w:ind w:firstLine="640"/>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spacing w:before="48"/>
        <w:ind w:firstLine="640"/>
        <w:rPr>
          <w:lang w:bidi="ar"/>
        </w:rPr>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spacing w:before="48"/>
        <w:ind w:firstLine="640"/>
        <w:rPr>
          <w:lang w:bidi="ar"/>
        </w:rPr>
      </w:pPr>
      <w:r>
        <w:rPr>
          <w:lang w:bidi="ar"/>
        </w:rPr>
        <w:br w:type="page"/>
      </w:r>
    </w:p>
    <w:p>
      <w:pPr>
        <w:spacing w:before="48"/>
        <w:ind w:firstLine="640"/>
      </w:pPr>
    </w:p>
    <w:p>
      <w:pPr>
        <w:pStyle w:val="2"/>
      </w:pPr>
      <w:bookmarkStart w:id="43" w:name="_Toc221006682"/>
      <w:r>
        <w:rPr>
          <w:rFonts w:hint="eastAsia"/>
        </w:rPr>
        <w:t>国土空间功能结构调整</w:t>
      </w:r>
      <w:bookmarkEnd w:id="43"/>
    </w:p>
    <w:p>
      <w:pPr>
        <w:pStyle w:val="3"/>
        <w:spacing w:before="326" w:beforeLines="100" w:after="326" w:afterLines="100"/>
      </w:pPr>
      <w:bookmarkStart w:id="44" w:name="_Toc175648297"/>
      <w:r>
        <w:rPr>
          <w:rFonts w:hint="eastAsia"/>
        </w:rPr>
        <w:t>国土空间功能结构调整</w:t>
      </w:r>
      <w:bookmarkEnd w:id="44"/>
    </w:p>
    <w:bookmarkEnd w:id="29"/>
    <w:p>
      <w:pPr>
        <w:pStyle w:val="4"/>
        <w:spacing w:before="195" w:beforeLines="60" w:after="195" w:afterLines="60" w:line="240" w:lineRule="auto"/>
        <w:ind w:left="0"/>
      </w:pPr>
      <w:r>
        <w:rPr>
          <w:rFonts w:hint="eastAsia"/>
        </w:rPr>
        <w:t>优化国土空间功能结构调整</w:t>
      </w:r>
    </w:p>
    <w:p>
      <w:pPr>
        <w:widowControl w:val="0"/>
        <w:spacing w:before="48" w:after="163" w:afterLines="50"/>
        <w:ind w:firstLine="640"/>
        <w:rPr>
          <w:rFonts w:ascii="Times New Roman" w:cs="宋体"/>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r>
        <w:t>5688.09</w:t>
      </w:r>
      <w:r>
        <w:rPr>
          <w:rFonts w:hint="eastAsia" w:ascii="Times New Roman" w:cs="宋体"/>
          <w:lang w:bidi="ar"/>
        </w:rPr>
        <w:t>公顷（耕地保有量）；</w:t>
      </w:r>
      <w:r>
        <w:rPr>
          <w:rFonts w:ascii="Times New Roman" w:cs="宋体"/>
          <w:lang w:bidi="ar"/>
        </w:rPr>
        <w:t>规划至2035年</w:t>
      </w:r>
      <w:r>
        <w:rPr>
          <w:rFonts w:hint="eastAsia" w:ascii="Times New Roman" w:cs="宋体"/>
          <w:lang w:bidi="ar"/>
        </w:rPr>
        <w:t>园地面积适量减少，林地面积保持稳定；草地面积</w:t>
      </w:r>
      <w:bookmarkStart w:id="45" w:name="OLE_LINK5"/>
      <w:bookmarkStart w:id="46" w:name="OLE_LINK4"/>
      <w:r>
        <w:rPr>
          <w:rFonts w:hint="eastAsia" w:ascii="Times New Roman" w:cs="宋体"/>
          <w:lang w:bidi="ar"/>
        </w:rPr>
        <w:t>适度减少</w:t>
      </w:r>
      <w:bookmarkEnd w:id="45"/>
      <w:bookmarkEnd w:id="46"/>
      <w:r>
        <w:rPr>
          <w:rFonts w:hint="eastAsia" w:ascii="Times New Roman" w:cs="宋体"/>
          <w:lang w:bidi="ar"/>
        </w:rPr>
        <w:t>；湿地保持稳定；农业设施建设用地适度增加；城镇用地面积不超过</w:t>
      </w:r>
      <w:r>
        <w:t>320.73</w:t>
      </w:r>
      <w:r>
        <w:rPr>
          <w:rFonts w:hint="eastAsia" w:ascii="Times New Roman" w:cs="宋体"/>
          <w:lang w:bidi="ar"/>
        </w:rPr>
        <w:t>公顷；</w:t>
      </w:r>
      <w:r>
        <w:rPr>
          <w:rFonts w:hint="eastAsia"/>
        </w:rPr>
        <w:t>村庄用地规模不得超过城镇开发边界外村庄用地总规模</w:t>
      </w:r>
      <w:r>
        <w:rPr>
          <w:rFonts w:ascii="Times New Roman" w:cs="宋体"/>
          <w:lang w:bidi="ar"/>
        </w:rPr>
        <w:t>961.22</w:t>
      </w:r>
      <w:r>
        <w:t>公顷</w:t>
      </w:r>
      <w:r>
        <w:rPr>
          <w:rFonts w:hint="eastAsia" w:ascii="Times New Roman" w:cs="宋体"/>
          <w:lang w:bidi="ar"/>
        </w:rPr>
        <w:t>；区域基础设施用地面积持续增加；其他建设用地面积适度增加；陆地水域</w:t>
      </w:r>
      <w:r>
        <w:rPr>
          <w:rFonts w:hint="eastAsia"/>
          <w:lang w:bidi="ar"/>
        </w:rPr>
        <w:t>保持稳定</w:t>
      </w:r>
      <w:r>
        <w:rPr>
          <w:rFonts w:hint="eastAsia" w:ascii="Times New Roman" w:cs="宋体"/>
          <w:lang w:bidi="ar"/>
        </w:rPr>
        <w:t>（</w:t>
      </w:r>
      <w:r>
        <w:rPr>
          <w:rFonts w:hint="eastAsia"/>
          <w:lang w:val="zh-CN" w:bidi="ar"/>
        </w:rPr>
        <w:t>详见附表</w:t>
      </w:r>
      <w:r>
        <w:rPr>
          <w:lang w:val="zh-CN" w:bidi="ar"/>
        </w:rPr>
        <w:t>4</w:t>
      </w:r>
      <w:r>
        <w:rPr>
          <w:rFonts w:hint="eastAsia" w:ascii="Times New Roman" w:cs="宋体"/>
          <w:lang w:bidi="ar"/>
        </w:rPr>
        <w:t>）。</w:t>
      </w:r>
    </w:p>
    <w:p>
      <w:pPr>
        <w:pStyle w:val="5"/>
        <w:ind w:firstLine="640"/>
      </w:pPr>
      <w:bookmarkStart w:id="47" w:name="_Hlk206605833"/>
      <w:r>
        <w:rPr>
          <w:rFonts w:hint="eastAsia"/>
        </w:rPr>
        <w:t>优化农用地结构</w:t>
      </w:r>
    </w:p>
    <w:bookmarkEnd w:id="47"/>
    <w:p>
      <w:pPr>
        <w:widowControl w:val="0"/>
        <w:spacing w:before="48" w:after="163" w:afterLines="50"/>
        <w:ind w:firstLine="640"/>
        <w:rPr>
          <w:lang w:bidi="ar"/>
        </w:rPr>
      </w:pPr>
      <w:r>
        <w:rPr>
          <w:rFonts w:hint="eastAsia"/>
          <w:lang w:bidi="ar"/>
        </w:rPr>
        <w:t>耕地：规划期内全镇耕地面积不低于在“三区三线”划定成果中确定的耕地保护目标</w:t>
      </w:r>
      <w:r>
        <w:t>5688.09</w:t>
      </w:r>
      <w:r>
        <w:rPr>
          <w:rFonts w:hint="eastAsia"/>
          <w:lang w:bidi="ar"/>
        </w:rPr>
        <w:t>公顷。</w:t>
      </w:r>
    </w:p>
    <w:p>
      <w:pPr>
        <w:widowControl w:val="0"/>
        <w:spacing w:before="48" w:after="163" w:afterLines="50"/>
        <w:ind w:firstLine="640"/>
        <w:rPr>
          <w:lang w:bidi="ar"/>
        </w:rPr>
      </w:pPr>
      <w:r>
        <w:rPr>
          <w:rFonts w:hint="eastAsia"/>
          <w:lang w:bidi="ar"/>
        </w:rPr>
        <w:t>园地：规划至2035年，园地面积适度减少。</w:t>
      </w:r>
    </w:p>
    <w:p>
      <w:pPr>
        <w:widowControl w:val="0"/>
        <w:spacing w:before="48" w:after="163" w:afterLines="50"/>
        <w:ind w:firstLine="640"/>
        <w:rPr>
          <w:lang w:bidi="ar"/>
        </w:rPr>
      </w:pPr>
      <w:r>
        <w:rPr>
          <w:rFonts w:hint="eastAsia"/>
          <w:lang w:bidi="ar"/>
        </w:rPr>
        <w:t>林地：规划期内，林地面积保持稳定。</w:t>
      </w:r>
    </w:p>
    <w:p>
      <w:pPr>
        <w:widowControl w:val="0"/>
        <w:spacing w:before="48" w:after="163" w:afterLines="50"/>
        <w:ind w:firstLine="640"/>
        <w:rPr>
          <w:lang w:bidi="ar"/>
        </w:rPr>
      </w:pPr>
      <w:r>
        <w:rPr>
          <w:rFonts w:hint="eastAsia"/>
          <w:lang w:bidi="ar"/>
        </w:rPr>
        <w:t>草地：规划至2035年，草地面积结合土地综合整治项目</w:t>
      </w:r>
      <w:r>
        <w:rPr>
          <w:rFonts w:hint="eastAsia" w:ascii="Times New Roman" w:cs="宋体"/>
          <w:lang w:bidi="ar"/>
        </w:rPr>
        <w:t>适度减少</w:t>
      </w:r>
      <w:r>
        <w:rPr>
          <w:rFonts w:hint="eastAsia"/>
          <w:lang w:bidi="ar"/>
        </w:rPr>
        <w:t>。</w:t>
      </w:r>
    </w:p>
    <w:p>
      <w:pPr>
        <w:widowControl w:val="0"/>
        <w:spacing w:before="48" w:after="163" w:afterLines="50"/>
        <w:ind w:firstLine="640"/>
        <w:rPr>
          <w:lang w:bidi="ar"/>
        </w:rPr>
      </w:pPr>
      <w:r>
        <w:rPr>
          <w:rFonts w:hint="eastAsia"/>
          <w:lang w:bidi="ar"/>
        </w:rPr>
        <w:t>湿地：规划至</w:t>
      </w:r>
      <w:r>
        <w:rPr>
          <w:lang w:bidi="ar"/>
        </w:rPr>
        <w:t>2035年，</w:t>
      </w:r>
      <w:r>
        <w:rPr>
          <w:rFonts w:hint="eastAsia"/>
          <w:lang w:bidi="ar"/>
        </w:rPr>
        <w:t>湿地</w:t>
      </w:r>
      <w:r>
        <w:rPr>
          <w:lang w:bidi="ar"/>
        </w:rPr>
        <w:t>面积</w:t>
      </w:r>
      <w:r>
        <w:rPr>
          <w:rFonts w:hint="eastAsia"/>
          <w:lang w:bidi="ar"/>
        </w:rPr>
        <w:t>保持稳定。</w:t>
      </w:r>
    </w:p>
    <w:p>
      <w:pPr>
        <w:ind w:firstLine="640"/>
      </w:pPr>
      <w:r>
        <w:rPr>
          <w:rFonts w:hint="eastAsia"/>
        </w:rPr>
        <w:t>农业设施建设用地：根据《河南省人民政府办公厅关于印发河南省因地制宜发展设施种植业促进农民增收三年行动方案（2025—2027年）的通知》，结合每个行政村的实际需求，分批分步安排100亩左右相对集中的一般耕地，保障设施种植业稳步发展。因此农业设施建设用地适度增加。</w:t>
      </w:r>
    </w:p>
    <w:p>
      <w:pPr>
        <w:pStyle w:val="5"/>
        <w:ind w:firstLine="640"/>
      </w:pPr>
      <w:bookmarkStart w:id="48" w:name="_Hlk206605851"/>
      <w:r>
        <w:rPr>
          <w:rFonts w:hint="eastAsia"/>
        </w:rPr>
        <w:t>优化建设用地结构</w:t>
      </w:r>
      <w:bookmarkEnd w:id="48"/>
    </w:p>
    <w:p>
      <w:pPr>
        <w:spacing w:before="48"/>
        <w:ind w:firstLine="640"/>
        <w:rPr>
          <w:lang w:bidi="ar"/>
        </w:rPr>
      </w:pPr>
      <w:r>
        <w:rPr>
          <w:rFonts w:hint="eastAsia"/>
          <w:lang w:bidi="ar"/>
        </w:rPr>
        <w:t>城镇用地：</w:t>
      </w:r>
      <w:r>
        <w:rPr>
          <w:lang w:bidi="ar"/>
        </w:rPr>
        <w:t>规划至2035年城镇用地规模不得超过</w:t>
      </w:r>
      <w:r>
        <w:t>320.73</w:t>
      </w:r>
      <w:r>
        <w:rPr>
          <w:lang w:bidi="ar"/>
        </w:rPr>
        <w:t>公顷</w:t>
      </w:r>
      <w:r>
        <w:rPr>
          <w:rFonts w:hint="eastAsia"/>
          <w:lang w:bidi="ar"/>
        </w:rPr>
        <w:t>。</w:t>
      </w:r>
    </w:p>
    <w:p>
      <w:pPr>
        <w:spacing w:before="48"/>
        <w:ind w:firstLine="640"/>
      </w:pPr>
      <w:r>
        <w:rPr>
          <w:rFonts w:hint="eastAsia"/>
          <w:lang w:bidi="ar"/>
        </w:rPr>
        <w:t>村庄用地：规划至2</w:t>
      </w:r>
      <w:r>
        <w:rPr>
          <w:lang w:bidi="ar"/>
        </w:rPr>
        <w:t>035</w:t>
      </w:r>
      <w:r>
        <w:rPr>
          <w:rFonts w:hint="eastAsia"/>
          <w:lang w:bidi="ar"/>
        </w:rPr>
        <w:t>年村庄用地</w:t>
      </w:r>
      <w:r>
        <w:rPr>
          <w:lang w:bidi="ar"/>
        </w:rPr>
        <w:t>规模不得超过城镇开发边界外村庄用地总规模</w:t>
      </w:r>
      <w:r>
        <w:rPr>
          <w:rFonts w:ascii="Times New Roman" w:cs="宋体"/>
          <w:lang w:bidi="ar"/>
        </w:rPr>
        <w:t>961.22</w:t>
      </w:r>
      <w:r>
        <w:rPr>
          <w:lang w:bidi="ar"/>
        </w:rPr>
        <w:t>公顷</w:t>
      </w:r>
      <w:r>
        <w:rPr>
          <w:rFonts w:hint="eastAsia"/>
          <w:lang w:bidi="ar"/>
        </w:rPr>
        <w:t>。</w:t>
      </w:r>
    </w:p>
    <w:p>
      <w:pPr>
        <w:spacing w:before="48"/>
        <w:ind w:firstLine="640"/>
      </w:pPr>
      <w:bookmarkStart w:id="49" w:name="_Hlk206605887"/>
      <w:r>
        <w:rPr>
          <w:rFonts w:hint="eastAsia"/>
          <w:lang w:bidi="ar"/>
        </w:rPr>
        <w:t>区域基础设施用地：</w:t>
      </w:r>
      <w:bookmarkEnd w:id="49"/>
      <w:r>
        <w:rPr>
          <w:rFonts w:hint="eastAsia"/>
          <w:lang w:bidi="ar"/>
        </w:rPr>
        <w:t>规划期内，严格落实国家、省、市级重点项目用地需求，规划期内区域基础设施用地根据实际需求增加。</w:t>
      </w:r>
    </w:p>
    <w:p>
      <w:pPr>
        <w:ind w:firstLine="640"/>
      </w:pPr>
      <w:bookmarkStart w:id="50" w:name="_Hlk206605897"/>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规划，矿产、旅游、民生等用地需求，规划期内其他建设用地适度增加。</w:t>
      </w:r>
    </w:p>
    <w:bookmarkEnd w:id="50"/>
    <w:p>
      <w:pPr>
        <w:pStyle w:val="5"/>
        <w:ind w:firstLine="640"/>
      </w:pPr>
      <w:bookmarkStart w:id="51" w:name="_Hlk206605870"/>
      <w:r>
        <w:rPr>
          <w:rFonts w:hint="eastAsia"/>
        </w:rPr>
        <w:t>合理利用其他土地</w:t>
      </w:r>
      <w:bookmarkEnd w:id="51"/>
    </w:p>
    <w:p>
      <w:pPr>
        <w:ind w:firstLine="640"/>
        <w:rPr>
          <w:lang w:bidi="ar"/>
        </w:rPr>
      </w:pPr>
      <w:r>
        <w:rPr>
          <w:rFonts w:hint="eastAsia"/>
          <w:lang w:bidi="ar"/>
        </w:rPr>
        <w:t>严格河湖水域岸线管理保护，积极开展洹河、桃园河、牟珠河以及农村</w:t>
      </w:r>
      <w:r>
        <w:rPr>
          <w:lang w:bidi="ar"/>
        </w:rPr>
        <w:t>水系沟渠连通治理工程，提高河道防洪能力，规划期末陆地水域面积保持稳定</w:t>
      </w:r>
      <w:r>
        <w:rPr>
          <w:rFonts w:hint="eastAsia"/>
          <w:lang w:bidi="ar"/>
        </w:rPr>
        <w:t>。</w:t>
      </w:r>
    </w:p>
    <w:p>
      <w:pPr>
        <w:pStyle w:val="3"/>
        <w:spacing w:before="326" w:beforeLines="100" w:after="326" w:afterLines="100"/>
      </w:pPr>
      <w:bookmarkStart w:id="52" w:name="_Toc175648298"/>
      <w:r>
        <w:rPr>
          <w:rFonts w:hint="eastAsia"/>
        </w:rPr>
        <w:t>留白用地</w:t>
      </w:r>
      <w:bookmarkEnd w:id="52"/>
    </w:p>
    <w:p>
      <w:pPr>
        <w:pStyle w:val="4"/>
        <w:spacing w:before="195" w:beforeLines="60" w:after="195" w:afterLines="60" w:line="240" w:lineRule="auto"/>
        <w:ind w:left="0"/>
      </w:pPr>
      <w:r>
        <w:rPr>
          <w:rFonts w:hint="eastAsia"/>
        </w:rPr>
        <w:t>留白用地</w:t>
      </w:r>
    </w:p>
    <w:p>
      <w:pPr>
        <w:spacing w:before="48"/>
        <w:ind w:firstLine="640"/>
      </w:pPr>
      <w:r>
        <w:rPr>
          <w:rFonts w:hint="eastAsia"/>
        </w:rPr>
        <w:t>村庄规划阶段可按照现状村庄建设用地的</w:t>
      </w:r>
      <w:r>
        <w:t>5%作为规划留白，用于暂时无法确定用途或位置的乡镇域内农村公益设施、乡村文旅设施、农村一二三产融合发展用地等。规划留白不得占用永久基本农田、生态保护红线。</w:t>
      </w:r>
    </w:p>
    <w:p>
      <w:pPr>
        <w:spacing w:before="48"/>
        <w:ind w:firstLine="640"/>
      </w:pPr>
      <w:r>
        <w:br w:type="page"/>
      </w:r>
    </w:p>
    <w:p>
      <w:pPr>
        <w:spacing w:before="48"/>
        <w:ind w:firstLine="640"/>
      </w:pPr>
    </w:p>
    <w:p>
      <w:pPr>
        <w:pStyle w:val="2"/>
        <w:spacing w:before="489" w:beforeLines="150" w:after="489" w:afterLines="150"/>
      </w:pPr>
      <w:bookmarkStart w:id="53" w:name="_Toc221006683"/>
      <w:bookmarkStart w:id="54" w:name="_Toc175648299"/>
      <w:r>
        <w:rPr>
          <w:rFonts w:hint="eastAsia"/>
        </w:rPr>
        <w:t>自然资源保护与利用</w:t>
      </w:r>
      <w:bookmarkEnd w:id="53"/>
      <w:bookmarkEnd w:id="54"/>
    </w:p>
    <w:p>
      <w:pPr>
        <w:pStyle w:val="3"/>
        <w:spacing w:before="326" w:beforeLines="100" w:after="326" w:afterLines="100"/>
      </w:pPr>
      <w:bookmarkStart w:id="55" w:name="_Toc175648300"/>
      <w:r>
        <w:rPr>
          <w:rFonts w:hint="eastAsia"/>
        </w:rPr>
        <w:t>耕地资源保护与利用</w:t>
      </w:r>
      <w:bookmarkEnd w:id="55"/>
    </w:p>
    <w:p>
      <w:pPr>
        <w:pStyle w:val="4"/>
        <w:spacing w:before="195" w:beforeLines="60" w:after="195" w:afterLines="60" w:line="240" w:lineRule="auto"/>
        <w:ind w:left="0"/>
      </w:pPr>
      <w:r>
        <w:rPr>
          <w:rFonts w:hint="eastAsia"/>
        </w:rPr>
        <w:t>严格落实耕地保护责任</w:t>
      </w:r>
    </w:p>
    <w:p>
      <w:pPr>
        <w:spacing w:before="48"/>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规划至2035年，全镇耕地保有量不低于</w:t>
      </w:r>
      <w:r>
        <w:rPr>
          <w:rFonts w:hint="eastAsia"/>
          <w:u w:val="single"/>
        </w:rPr>
        <w:t>5688.09公顷，永久基本农田保护目标不低于</w:t>
      </w:r>
      <w:r>
        <w:rPr>
          <w:u w:val="single"/>
        </w:rPr>
        <w:t>5267.31</w:t>
      </w:r>
      <w:r>
        <w:rPr>
          <w:rFonts w:hint="eastAsia"/>
          <w:u w:val="single"/>
        </w:rPr>
        <w:t>公顷</w:t>
      </w:r>
      <w:r>
        <w:rPr>
          <w:rFonts w:hint="eastAsia"/>
          <w:lang w:bidi="ar"/>
        </w:rPr>
        <w:t>，</w:t>
      </w:r>
      <w:r>
        <w:rPr>
          <w:lang w:bidi="ar"/>
        </w:rPr>
        <w:t>根据永久基本农田核实处置成果，实际落实永久基本农田保护红线面积5365.10公顷。</w:t>
      </w:r>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镇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48"/>
        <w:ind w:firstLine="640"/>
        <w:rPr>
          <w:lang w:bidi="ar"/>
        </w:rPr>
      </w:pPr>
      <w:r>
        <w:rPr>
          <w:rFonts w:hint="eastAsia"/>
          <w:lang w:bidi="ar"/>
        </w:rPr>
        <w:t>拓宽补充耕地来源，规划期内积极稳妥有序开展农村</w:t>
      </w:r>
      <w:r>
        <w:rPr>
          <w:lang w:bidi="ar"/>
        </w:rPr>
        <w:t>建设用地整治，重点推进镇域内“空心村”、闲置宅基地整治，</w:t>
      </w:r>
      <w:r>
        <w:rPr>
          <w:rFonts w:ascii="Times New Roman" w:hAnsi="Times New Roman"/>
          <w:lang w:bidi="ar"/>
        </w:rPr>
        <w:t>规划期内安排农用地</w:t>
      </w:r>
      <w:r>
        <w:rPr>
          <w:rFonts w:hint="eastAsia" w:ascii="Times New Roman" w:hAnsi="Times New Roman"/>
          <w:lang w:bidi="ar"/>
        </w:rPr>
        <w:t>整理</w:t>
      </w:r>
      <w:r>
        <w:rPr>
          <w:rFonts w:ascii="Times New Roman" w:hAnsi="Times New Roman"/>
          <w:lang w:bidi="ar"/>
        </w:rPr>
        <w:t>补充耕地任务150.44公顷，后备资源开发补充耕地任务9.67公顷，安排</w:t>
      </w:r>
      <w:r>
        <w:rPr>
          <w:rFonts w:hint="eastAsia" w:ascii="Times New Roman" w:hAnsi="Times New Roman"/>
          <w:lang w:bidi="ar"/>
        </w:rPr>
        <w:t>农村</w:t>
      </w:r>
      <w:r>
        <w:rPr>
          <w:rFonts w:ascii="Times New Roman" w:hAnsi="Times New Roman"/>
          <w:lang w:bidi="ar"/>
        </w:rPr>
        <w:t>建设用地整治补充耕地</w:t>
      </w:r>
      <w:r>
        <w:rPr>
          <w:rFonts w:hint="eastAsia" w:ascii="Times New Roman" w:hAnsi="Times New Roman"/>
          <w:lang w:bidi="ar"/>
        </w:rPr>
        <w:t>3</w:t>
      </w:r>
      <w:r>
        <w:rPr>
          <w:rFonts w:ascii="Times New Roman" w:hAnsi="Times New Roman"/>
          <w:lang w:bidi="ar"/>
        </w:rPr>
        <w:t>7.60公顷。</w:t>
      </w:r>
    </w:p>
    <w:p>
      <w:pPr>
        <w:pStyle w:val="4"/>
        <w:spacing w:before="195" w:after="195"/>
      </w:pPr>
      <w:r>
        <w:rPr>
          <w:rFonts w:hint="eastAsia"/>
        </w:rPr>
        <w:t>加强耕地质量建设</w:t>
      </w:r>
    </w:p>
    <w:p>
      <w:pPr>
        <w:spacing w:before="65"/>
        <w:ind w:firstLine="640"/>
        <w:rPr>
          <w:lang w:bidi="ar"/>
        </w:rPr>
      </w:pPr>
      <w:r>
        <w:rPr>
          <w:rFonts w:hint="eastAsia"/>
          <w:lang w:bidi="ar"/>
        </w:rPr>
        <w:t>积极开展土地整治项目，推进耕地质量保护与提升，落</w:t>
      </w:r>
      <w:r>
        <w:rPr>
          <w:lang w:bidi="ar"/>
        </w:rPr>
        <w:t>实</w:t>
      </w:r>
      <w:r>
        <w:rPr>
          <w:rFonts w:hint="eastAsia"/>
          <w:lang w:bidi="ar"/>
        </w:rPr>
        <w:t>“</w:t>
      </w:r>
      <w:r>
        <w:rPr>
          <w:lang w:bidi="ar"/>
        </w:rPr>
        <w:t>藏粮于地、藏粮于技</w:t>
      </w:r>
      <w:r>
        <w:rPr>
          <w:rFonts w:hint="eastAsia"/>
          <w:lang w:bidi="ar"/>
        </w:rPr>
        <w:t>”</w:t>
      </w:r>
      <w:r>
        <w:rPr>
          <w:lang w:bidi="ar"/>
        </w:rPr>
        <w:t>战略，加快农业生产配套田网、渠网、路网、电网等建设，提高农田抗灾减灾能力、农田排灌能力和农机作业能力，大力推进高标准农田建设，通过实施土地平整、土壤改良、地力培肥等措施，逐步把永久基本农田全部建成高标准农田。</w:t>
      </w:r>
      <w:r>
        <w:rPr>
          <w:rFonts w:hint="eastAsia"/>
          <w:lang w:bidi="ar"/>
        </w:rPr>
        <w:t>规划期内，确保集中连片的永久基本农田全部建成为高标准农田。</w:t>
      </w:r>
    </w:p>
    <w:p>
      <w:pPr>
        <w:pStyle w:val="4"/>
        <w:rPr>
          <w:lang w:bidi="ar"/>
        </w:rPr>
      </w:pPr>
      <w:r>
        <w:rPr>
          <w:rFonts w:hint="eastAsia"/>
          <w:lang w:bidi="ar"/>
        </w:rPr>
        <w:t>强化耕地生态保护</w:t>
      </w:r>
    </w:p>
    <w:p>
      <w:pPr>
        <w:spacing w:before="65"/>
        <w:ind w:firstLine="640"/>
        <w:rPr>
          <w:lang w:bidi="ar"/>
        </w:rPr>
      </w:pPr>
      <w:r>
        <w:rPr>
          <w:rFonts w:hint="eastAsia"/>
          <w:lang w:bidi="ar"/>
        </w:rPr>
        <w:t>合理利用水土资源，持续改善耕地生态环境，实现耕地</w:t>
      </w:r>
      <w:r>
        <w:rPr>
          <w:lang w:bidi="ar"/>
        </w:rPr>
        <w:t>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w:t>
      </w:r>
      <w:r>
        <w:rPr>
          <w:lang w:bidi="ar"/>
        </w:rPr>
        <w:t>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p>
      <w:pPr>
        <w:pStyle w:val="3"/>
        <w:spacing w:before="326" w:beforeLines="100" w:after="326" w:afterLines="100"/>
      </w:pPr>
      <w:bookmarkStart w:id="56" w:name="_Toc175648301"/>
      <w:r>
        <w:rPr>
          <w:rFonts w:hint="eastAsia"/>
        </w:rPr>
        <w:t>森林资源保护与利用</w:t>
      </w:r>
      <w:bookmarkEnd w:id="56"/>
    </w:p>
    <w:p>
      <w:pPr>
        <w:pStyle w:val="4"/>
        <w:spacing w:before="195" w:beforeLines="60" w:after="195" w:afterLines="60" w:line="240" w:lineRule="auto"/>
        <w:ind w:left="0"/>
      </w:pPr>
      <w:r>
        <w:rPr>
          <w:rFonts w:hint="eastAsia"/>
        </w:rPr>
        <w:t>落实</w:t>
      </w:r>
      <w:r>
        <w:t>森林资源</w:t>
      </w:r>
      <w:r>
        <w:rPr>
          <w:rFonts w:hint="eastAsia"/>
        </w:rPr>
        <w:t>保护任务</w:t>
      </w:r>
    </w:p>
    <w:p>
      <w:pPr>
        <w:spacing w:before="48"/>
        <w:ind w:firstLine="640"/>
      </w:pPr>
      <w:r>
        <w:t>以水源涵养和生物多样性功能提升为目标，不断提高森林覆盖率，巩固和扩大生态空间。</w:t>
      </w:r>
      <w:r>
        <w:rPr>
          <w:rFonts w:hint="eastAsia"/>
        </w:rPr>
        <w:t>优化</w:t>
      </w:r>
      <w:r>
        <w:t>林业生产</w:t>
      </w:r>
      <w:r>
        <w:rPr>
          <w:rFonts w:hint="eastAsia"/>
        </w:rPr>
        <w:t>布局</w:t>
      </w:r>
      <w:r>
        <w:t>，针对</w:t>
      </w:r>
      <w:r>
        <w:rPr>
          <w:rFonts w:hint="eastAsia"/>
        </w:rPr>
        <w:t>镇域南部山区</w:t>
      </w:r>
      <w:r>
        <w:t>周边</w:t>
      </w:r>
      <w:r>
        <w:rPr>
          <w:rFonts w:hint="eastAsia"/>
        </w:rPr>
        <w:t>等</w:t>
      </w:r>
      <w:r>
        <w:t>重点区域</w:t>
      </w:r>
      <w:r>
        <w:rPr>
          <w:rFonts w:hint="eastAsia"/>
        </w:rPr>
        <w:t>，</w:t>
      </w:r>
      <w:r>
        <w:t>精准落实绿化空间、科学开展国土绿化。</w:t>
      </w:r>
      <w:r>
        <w:rPr>
          <w:rFonts w:hint="eastAsia"/>
        </w:rPr>
        <w:t>至</w:t>
      </w:r>
      <w:r>
        <w:t>2035年，落实造林绿化空间123.04公顷。</w:t>
      </w:r>
    </w:p>
    <w:p>
      <w:pPr>
        <w:pStyle w:val="4"/>
        <w:spacing w:before="195" w:beforeLines="60" w:after="195" w:afterLines="60" w:line="240" w:lineRule="auto"/>
        <w:ind w:left="0"/>
      </w:pPr>
      <w:r>
        <w:rPr>
          <w:rFonts w:hint="eastAsia"/>
        </w:rPr>
        <w:t>落实完善</w:t>
      </w:r>
      <w:r>
        <w:t>林地分类保护</w:t>
      </w:r>
      <w:r>
        <w:rPr>
          <w:rFonts w:hint="eastAsia"/>
        </w:rPr>
        <w:t>机制</w:t>
      </w:r>
    </w:p>
    <w:p>
      <w:pPr>
        <w:spacing w:before="48"/>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助推内乡县森林城市建设。</w:t>
      </w:r>
    </w:p>
    <w:p>
      <w:pPr>
        <w:pStyle w:val="4"/>
        <w:spacing w:before="195" w:beforeLines="60" w:after="195" w:afterLines="60" w:line="240" w:lineRule="auto"/>
        <w:ind w:left="0"/>
      </w:pPr>
      <w:r>
        <w:rPr>
          <w:rFonts w:hint="eastAsia"/>
        </w:rPr>
        <w:t>促进</w:t>
      </w:r>
      <w:r>
        <w:t>森林资源生态产品价值实现</w:t>
      </w:r>
    </w:p>
    <w:p>
      <w:pPr>
        <w:spacing w:before="48"/>
        <w:ind w:firstLine="640"/>
      </w:pPr>
      <w:r>
        <w:rPr>
          <w:rFonts w:hint="eastAsia"/>
        </w:rPr>
        <w:t>努力推进布局区域化、经营规模化、生产标准化、发展产业化，整合优势资源，以基地建设为载体，围绕“绿色、有机”特色，发展中药材、食用菌、禽类养殖等林下经济。建设和完善接待、餐饮、消防、环卫等设施，提高服务保障能力，加快森林旅游产业发展。推进林业一二三产业融合发展，加快林业产业绿色化、优质化、特色化、品牌化建设。</w:t>
      </w:r>
    </w:p>
    <w:p>
      <w:pPr>
        <w:pStyle w:val="3"/>
        <w:spacing w:before="326" w:beforeLines="100" w:after="326" w:afterLines="100"/>
      </w:pPr>
      <w:bookmarkStart w:id="57" w:name="_Toc175648302"/>
      <w:r>
        <w:rPr>
          <w:rFonts w:hint="eastAsia"/>
        </w:rPr>
        <w:t>湿地资源保护与利用</w:t>
      </w:r>
      <w:bookmarkEnd w:id="57"/>
    </w:p>
    <w:p>
      <w:pPr>
        <w:pStyle w:val="4"/>
        <w:spacing w:before="195" w:beforeLines="60" w:after="195" w:afterLines="60" w:line="240" w:lineRule="auto"/>
        <w:ind w:left="0"/>
      </w:pPr>
      <w:r>
        <w:rPr>
          <w:rFonts w:hint="eastAsia"/>
        </w:rPr>
        <w:t>落实湿地资源保护责任</w:t>
      </w:r>
    </w:p>
    <w:p>
      <w:pPr>
        <w:spacing w:before="48"/>
        <w:ind w:firstLine="640"/>
      </w:pPr>
      <w:r>
        <w:t>加强</w:t>
      </w:r>
      <w:r>
        <w:rPr>
          <w:rFonts w:hint="eastAsia"/>
        </w:rPr>
        <w:t>镇</w:t>
      </w:r>
      <w:r>
        <w:t>域湿地资源保护</w:t>
      </w:r>
      <w:r>
        <w:rPr>
          <w:rFonts w:hint="eastAsia"/>
        </w:rPr>
        <w:t>，严格保障湿地生态空间，落实</w:t>
      </w:r>
      <w:r>
        <w:t>湿地资源</w:t>
      </w:r>
      <w:r>
        <w:rPr>
          <w:rFonts w:hint="eastAsia"/>
        </w:rPr>
        <w:t>保护</w:t>
      </w:r>
      <w:r>
        <w:t>责任。</w:t>
      </w:r>
      <w:r>
        <w:rPr>
          <w:rFonts w:hint="eastAsia"/>
        </w:rPr>
        <w:t>全镇</w:t>
      </w:r>
      <w:r>
        <w:t>湿地面积</w:t>
      </w:r>
      <w:r>
        <w:rPr>
          <w:rFonts w:hint="eastAsia"/>
        </w:rPr>
        <w:t>26.62公顷，</w:t>
      </w:r>
      <w:r>
        <w:t>主要</w:t>
      </w:r>
      <w:r>
        <w:rPr>
          <w:rFonts w:hint="eastAsia"/>
        </w:rPr>
        <w:t>分布于</w:t>
      </w:r>
      <w:r>
        <w:rPr>
          <w:rFonts w:hint="eastAsia" w:cs="宋体"/>
        </w:rPr>
        <w:t>默河</w:t>
      </w:r>
      <w:r>
        <w:rPr>
          <w:rFonts w:cs="宋体"/>
        </w:rPr>
        <w:t>周边。</w:t>
      </w:r>
    </w:p>
    <w:p>
      <w:pPr>
        <w:pStyle w:val="4"/>
        <w:spacing w:before="195" w:beforeLines="60" w:after="195" w:afterLines="60" w:line="240" w:lineRule="auto"/>
        <w:ind w:left="0"/>
      </w:pPr>
      <w:r>
        <w:rPr>
          <w:rFonts w:hint="eastAsia"/>
        </w:rPr>
        <w:t>加强湿地保护</w:t>
      </w:r>
      <w:r>
        <w:t>管理</w:t>
      </w:r>
    </w:p>
    <w:p>
      <w:pPr>
        <w:spacing w:before="48"/>
        <w:ind w:firstLine="640"/>
      </w:pPr>
      <w:r>
        <w:rPr>
          <w:rFonts w:hint="eastAsia" w:cs="宋体"/>
        </w:rPr>
        <w:t>加强</w:t>
      </w:r>
      <w:r>
        <w:rPr>
          <w:rFonts w:cs="宋体"/>
        </w:rPr>
        <w:t>湿地管理、</w:t>
      </w:r>
      <w:r>
        <w:rPr>
          <w:rFonts w:hint="eastAsia" w:cs="宋体"/>
        </w:rPr>
        <w:t>监测和</w:t>
      </w:r>
      <w:r>
        <w:rPr>
          <w:rFonts w:cs="宋体"/>
        </w:rPr>
        <w:t>科普宣教</w:t>
      </w:r>
      <w:r>
        <w:rPr>
          <w:rFonts w:hint="eastAsia" w:cs="宋体"/>
        </w:rPr>
        <w:t>，着力</w:t>
      </w:r>
      <w:r>
        <w:rPr>
          <w:rFonts w:cs="宋体"/>
        </w:rPr>
        <w:t>保护与恢复，提升湿地生态系统多样性、稳定性、持续性，层层落实湿地管理保护责任。严格控制</w:t>
      </w:r>
      <w:r>
        <w:rPr>
          <w:rFonts w:hint="eastAsia" w:cs="宋体"/>
        </w:rPr>
        <w:t>默河、王湾河</w:t>
      </w:r>
      <w:r>
        <w:rPr>
          <w:rFonts w:cs="宋体"/>
        </w:rPr>
        <w:t>等河湖湿地</w:t>
      </w:r>
      <w:r>
        <w:rPr>
          <w:rFonts w:hint="eastAsia" w:cs="宋体"/>
        </w:rPr>
        <w:t>周边</w:t>
      </w:r>
      <w:r>
        <w:rPr>
          <w:rFonts w:cs="宋体"/>
        </w:rPr>
        <w:t>农业面源</w:t>
      </w:r>
      <w:r>
        <w:rPr>
          <w:rFonts w:hint="eastAsia" w:cs="宋体"/>
        </w:rPr>
        <w:t>污染</w:t>
      </w:r>
      <w:r>
        <w:rPr>
          <w:rFonts w:cs="宋体"/>
        </w:rPr>
        <w:t>、工业污染和城镇生活生产污染，定期对湿地周边区域的废弃物进行清理和集中处理，合理有序开展湿地资源生态化利用，全面保护湿地资源和实现可持续发展。</w:t>
      </w:r>
    </w:p>
    <w:p>
      <w:pPr>
        <w:pStyle w:val="3"/>
        <w:spacing w:before="326" w:beforeLines="100" w:after="326" w:afterLines="100"/>
      </w:pPr>
      <w:bookmarkStart w:id="58" w:name="_Toc175648303"/>
      <w:r>
        <w:t>建设用地节约集约利用</w:t>
      </w:r>
      <w:bookmarkEnd w:id="58"/>
    </w:p>
    <w:p>
      <w:pPr>
        <w:pStyle w:val="4"/>
        <w:spacing w:before="195" w:beforeLines="60" w:after="195" w:afterLines="60" w:line="240" w:lineRule="auto"/>
        <w:ind w:left="0"/>
      </w:pPr>
      <w:r>
        <w:rPr>
          <w:rFonts w:hint="eastAsia"/>
        </w:rPr>
        <w:t>实行总量控制，保障建设</w:t>
      </w:r>
      <w:r>
        <w:t>用地需求。</w:t>
      </w:r>
    </w:p>
    <w:p>
      <w:pPr>
        <w:spacing w:before="48" w:after="163" w:afterLines="50"/>
        <w:ind w:firstLine="640"/>
        <w:rPr>
          <w:rFonts w:cs="宋体"/>
          <w:lang w:bidi="ar"/>
        </w:rPr>
      </w:pPr>
      <w:bookmarkStart w:id="59" w:name="_Hlk207123797"/>
      <w:r>
        <w:rPr>
          <w:rFonts w:hint="eastAsia" w:cs="宋体"/>
          <w:lang w:bidi="ar"/>
        </w:rPr>
        <w:t>严控新增城乡用地规模。规划期末，城镇建设用地规模不超过</w:t>
      </w:r>
      <w:r>
        <w:rPr>
          <w:rFonts w:cs="宋体"/>
          <w:lang w:bidi="ar"/>
        </w:rPr>
        <w:t>320.73</w:t>
      </w:r>
      <w:r>
        <w:rPr>
          <w:rFonts w:hint="eastAsia" w:cs="宋体"/>
          <w:lang w:bidi="ar"/>
        </w:rPr>
        <w:t>公顷，村庄建设用地不超过</w:t>
      </w:r>
      <w:r>
        <w:rPr>
          <w:rFonts w:cs="宋体"/>
          <w:lang w:bidi="ar"/>
        </w:rPr>
        <w:t>961.22</w:t>
      </w:r>
      <w:r>
        <w:rPr>
          <w:rFonts w:hint="eastAsia" w:cs="宋体"/>
          <w:lang w:bidi="ar"/>
        </w:rPr>
        <w:t>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48" w:after="163" w:afterLines="50"/>
        <w:ind w:firstLine="640"/>
        <w:rPr>
          <w:rFonts w:cs="宋体"/>
          <w:lang w:bidi="ar"/>
        </w:rPr>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镇域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bookmarkEnd w:id="59"/>
      <w:r>
        <w:rPr>
          <w:rFonts w:cs="宋体"/>
          <w:lang w:bidi="ar"/>
        </w:rPr>
        <w:t>。</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用原有宅基地和村内空闲地，建立健全闲置宅基地退出机制和再利用机制。对于农村新建、改建、扩建、翻建住房的，按照《</w:t>
      </w:r>
      <w:r>
        <w:rPr>
          <w:rFonts w:hint="eastAsia"/>
        </w:rPr>
        <w:t>内乡县农村宅基地和村民自建住房管理办法（试行）</w:t>
      </w:r>
      <w:r>
        <w:t>》规定执行。村民自建住房原则上以不超过三层的低层住宅为主</w:t>
      </w:r>
      <w:r>
        <w:rPr>
          <w:rFonts w:hint="eastAsia"/>
        </w:rPr>
        <w:t>。城填郊区和人均耕地少于</w:t>
      </w:r>
      <w:r>
        <w:t>667平方米的平原地区，每户宅基地面积不得超过134平方米；人均耕地667平方米以上的平原地区，每户宅基地面积不得超过167平方米；</w:t>
      </w:r>
      <w:r>
        <w:rPr>
          <w:rFonts w:hint="eastAsia"/>
        </w:rPr>
        <w:t>山区、丘陵地区</w:t>
      </w:r>
      <w:r>
        <w:t>每户宅基地面积不得超过200平方米。按照村庄规划引导农民依法建房，优化农村居民点布局，提高土地利用效益。严格</w:t>
      </w:r>
      <w:r>
        <w:rPr>
          <w:rFonts w:hint="eastAsia"/>
        </w:rPr>
        <w:t>执行建设项目用地标准控制制度，合理提高建设用地开发强度，创新节地模式，推广节地技术。</w:t>
      </w:r>
    </w:p>
    <w:p>
      <w:pPr>
        <w:pStyle w:val="3"/>
        <w:spacing w:before="326" w:beforeLines="100" w:after="326" w:afterLines="100"/>
      </w:pPr>
      <w:bookmarkStart w:id="60" w:name="_Toc175648304"/>
      <w:r>
        <w:rPr>
          <w:rFonts w:hint="eastAsia"/>
        </w:rPr>
        <w:t>水资源保护与利用</w:t>
      </w:r>
      <w:bookmarkEnd w:id="60"/>
    </w:p>
    <w:p>
      <w:pPr>
        <w:pStyle w:val="4"/>
        <w:spacing w:before="195" w:after="195"/>
      </w:pPr>
      <w:r>
        <w:rPr>
          <w:rFonts w:hint="eastAsia"/>
        </w:rPr>
        <w:t>落实水源保护范围</w:t>
      </w:r>
    </w:p>
    <w:p>
      <w:pPr>
        <w:spacing w:before="65"/>
        <w:ind w:firstLine="640"/>
      </w:pPr>
      <w:bookmarkStart w:id="61" w:name="_Hlk207124065"/>
      <w:r>
        <w:rPr>
          <w:rFonts w:hint="eastAsia"/>
        </w:rPr>
        <w:t>落实内乡县灌涨镇地下水井群范围</w:t>
      </w:r>
      <w:r>
        <w:t>9.76</w:t>
      </w:r>
      <w:r>
        <w:rPr>
          <w:rFonts w:hint="eastAsia"/>
        </w:rPr>
        <w:t>公顷，为一级保护区，位于灌涨镇魏庄村西部</w:t>
      </w:r>
      <w:bookmarkEnd w:id="61"/>
      <w:r>
        <w:t>。</w:t>
      </w:r>
    </w:p>
    <w:p>
      <w:pPr>
        <w:pStyle w:val="4"/>
        <w:spacing w:before="195" w:after="195"/>
      </w:pPr>
      <w:r>
        <w:rPr>
          <w:rFonts w:hint="eastAsia"/>
        </w:rPr>
        <w:t>加强河湖水域岸线空间管控及水生态治理</w:t>
      </w:r>
    </w:p>
    <w:p>
      <w:pPr>
        <w:spacing w:before="48"/>
        <w:ind w:firstLine="640"/>
      </w:pPr>
      <w:r>
        <w:rPr>
          <w:rFonts w:hint="eastAsia"/>
        </w:rPr>
        <w:t>落实河湖水系范围，包括默河、王湾河（曾家河）、水田河，管理范围面积35</w:t>
      </w:r>
      <w:r>
        <w:t>8</w:t>
      </w:r>
      <w:r>
        <w:rPr>
          <w:rFonts w:hint="eastAsia"/>
        </w:rPr>
        <w:t>.</w:t>
      </w:r>
      <w:r>
        <w:t>40</w:t>
      </w:r>
      <w:r>
        <w:rPr>
          <w:rFonts w:hint="eastAsia"/>
        </w:rPr>
        <w:t>公顷</w:t>
      </w:r>
      <w:r>
        <w:t>。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w:t>
      </w:r>
      <w:r>
        <w:rPr>
          <w:rFonts w:hint="eastAsia"/>
        </w:rPr>
        <w:t>默河</w:t>
      </w:r>
      <w:r>
        <w:t>生态修复及安全建设项目、骨干河道水环境综合治理项目等生态修复工作，全面推进河湖水域岸线生态修复，保障河流生态水量，建设沿岸生态廊道</w:t>
      </w:r>
      <w:r>
        <w:rPr>
          <w:rFonts w:hint="eastAsia"/>
        </w:rPr>
        <w:t>。</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镇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全镇</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w:t>
      </w:r>
    </w:p>
    <w:p>
      <w:pPr>
        <w:spacing w:before="48"/>
        <w:ind w:firstLine="640"/>
      </w:pPr>
      <w:r>
        <w:br w:type="page"/>
      </w:r>
    </w:p>
    <w:p>
      <w:pPr>
        <w:spacing w:before="48"/>
        <w:ind w:firstLine="640"/>
      </w:pPr>
    </w:p>
    <w:p>
      <w:pPr>
        <w:pStyle w:val="2"/>
        <w:spacing w:before="489" w:beforeLines="150" w:after="489" w:afterLines="150"/>
      </w:pPr>
      <w:bookmarkStart w:id="62" w:name="_Toc175648305"/>
      <w:bookmarkStart w:id="63" w:name="_Toc221006684"/>
      <w:r>
        <w:rPr>
          <w:rFonts w:hint="eastAsia"/>
        </w:rPr>
        <w:t>产业规划</w:t>
      </w:r>
      <w:bookmarkEnd w:id="62"/>
      <w:bookmarkEnd w:id="63"/>
    </w:p>
    <w:p>
      <w:pPr>
        <w:pStyle w:val="3"/>
        <w:spacing w:before="326" w:beforeLines="100" w:after="326" w:afterLines="100"/>
      </w:pPr>
      <w:bookmarkStart w:id="64" w:name="_Toc175648306"/>
      <w:r>
        <w:rPr>
          <w:rFonts w:hint="eastAsia"/>
        </w:rPr>
        <w:t>产业规划</w:t>
      </w:r>
      <w:bookmarkEnd w:id="64"/>
    </w:p>
    <w:p>
      <w:pPr>
        <w:pStyle w:val="4"/>
        <w:spacing w:before="195" w:beforeLines="60" w:after="195" w:afterLines="60" w:line="240" w:lineRule="auto"/>
        <w:ind w:left="0"/>
      </w:pPr>
      <w:r>
        <w:rPr>
          <w:rFonts w:hint="eastAsia"/>
        </w:rPr>
        <w:t>产业发展策略</w:t>
      </w:r>
    </w:p>
    <w:p>
      <w:pPr>
        <w:spacing w:before="48"/>
        <w:ind w:firstLine="640"/>
      </w:pPr>
      <w:r>
        <w:rPr>
          <w:rFonts w:hint="eastAsia"/>
        </w:rPr>
        <w:t>近年来，灌涨镇围绕中种、西产、南养、北田的特色产业格局，深度挖掘农业农村旅游资源，在西北部默河流域，以廉洁文化主题游园为中心，将陈营、杨集、刘营等村穿点成线，利用区域资源禀赋和基础设施优势，积极对接文旅公司包装设计，推进农文旅深度融合，持续探索走好</w:t>
      </w:r>
      <w:r>
        <w:t>"生态宜居+文明幸福"的新路子，全力绘就</w:t>
      </w:r>
      <w:r>
        <w:rPr>
          <w:rFonts w:hint="eastAsia"/>
        </w:rPr>
        <w:t>灌涨</w:t>
      </w:r>
      <w:r>
        <w:t>全域旅游新画卷，书写乡村振兴新篇章。</w:t>
      </w:r>
    </w:p>
    <w:p>
      <w:pPr>
        <w:spacing w:before="48"/>
        <w:ind w:firstLine="640"/>
      </w:pPr>
      <w:r>
        <w:rPr>
          <w:rFonts w:hint="eastAsia"/>
        </w:rPr>
        <w:t>结合上位规划和现有发展条件及优势，灌涨镇产业发展策略为：以粮食生产为主，围绕中种、西产、南养、北田的特色产业格局，发展特色产业，以默河流域为重点，发展农村文旅产业</w:t>
      </w:r>
      <w:r>
        <w:t>。</w:t>
      </w:r>
      <w:r>
        <w:rPr>
          <w:rFonts w:hint="eastAsia"/>
        </w:rPr>
        <w:t>通过以一二三产融发展，推动镇域产业融合发展。</w:t>
      </w:r>
    </w:p>
    <w:p>
      <w:pPr>
        <w:spacing w:before="48"/>
        <w:ind w:firstLine="640"/>
      </w:pPr>
      <w:r>
        <w:rPr>
          <w:rFonts w:hint="eastAsia"/>
        </w:rPr>
        <w:t>农业</w:t>
      </w:r>
      <w:r>
        <w:t>+生态+旅游：以林果、烟叶等特色种植，结合西部</w:t>
      </w:r>
      <w:r>
        <w:rPr>
          <w:rFonts w:hint="eastAsia"/>
        </w:rPr>
        <w:t>默河</w:t>
      </w:r>
      <w:r>
        <w:t>、</w:t>
      </w:r>
      <w:r>
        <w:rPr>
          <w:rFonts w:hint="eastAsia"/>
        </w:rPr>
        <w:t>中东</w:t>
      </w:r>
      <w:r>
        <w:t>部</w:t>
      </w:r>
      <w:r>
        <w:rPr>
          <w:rFonts w:hint="eastAsia"/>
        </w:rPr>
        <w:t>曾家河</w:t>
      </w:r>
      <w:r>
        <w:t>等生态资源，融合农业空间和服务业空间，打造采摘体验、休闲观光旅游线路，体验山水田园风光。</w:t>
      </w:r>
    </w:p>
    <w:p>
      <w:pPr>
        <w:spacing w:before="48"/>
        <w:ind w:firstLine="640"/>
      </w:pPr>
      <w:r>
        <w:rPr>
          <w:rFonts w:hint="eastAsia"/>
        </w:rPr>
        <w:t>农业</w:t>
      </w:r>
      <w:r>
        <w:t>+工业+旅游：结合</w:t>
      </w:r>
      <w:r>
        <w:rPr>
          <w:rFonts w:hint="eastAsia"/>
        </w:rPr>
        <w:t>灌涨镇</w:t>
      </w:r>
      <w:r>
        <w:t>优质农产品加工，围绕乡村农产品加工主题兴建、打造手工业文化体验经济，提高农产品附加值。</w:t>
      </w:r>
    </w:p>
    <w:p>
      <w:pPr>
        <w:pStyle w:val="4"/>
        <w:spacing w:before="195" w:beforeLines="60" w:after="195" w:afterLines="60" w:line="240" w:lineRule="auto"/>
        <w:ind w:left="0"/>
      </w:pPr>
      <w:r>
        <w:rPr>
          <w:rFonts w:hint="eastAsia"/>
        </w:rPr>
        <w:t>产业功能定位</w:t>
      </w:r>
    </w:p>
    <w:p>
      <w:pPr>
        <w:spacing w:before="65"/>
        <w:ind w:firstLine="640"/>
      </w:pPr>
      <w:r>
        <w:rPr>
          <w:rFonts w:hint="eastAsia"/>
        </w:rPr>
        <w:t>灌涨镇产业发展规划为以巩固农业基础地位为根本，围绕中种、西产、南养、北田的特色产业格局，深度挖掘农业农村旅游资源，在西北部默河流域，以廉洁文化主题游园为中心，将陈营、杨集、刘营等村穿点成线，利用区域资源禀赋和基础设施优势，积极对接文旅公司包装设计，推进农文旅深度融合。镇区集中发展商贸物流和制造化工业。</w:t>
      </w:r>
    </w:p>
    <w:p>
      <w:pPr>
        <w:spacing w:before="65"/>
        <w:ind w:firstLine="640"/>
      </w:pPr>
      <w:r>
        <w:rPr>
          <w:rFonts w:hint="eastAsia"/>
        </w:rPr>
        <w:t>结合上位规划和现有发展条件及优势，灌涨镇产业功能定位为农业旅游基地、城市蔬果供应基地、商贸物流中心。</w:t>
      </w:r>
    </w:p>
    <w:p>
      <w:pPr>
        <w:pStyle w:val="4"/>
        <w:spacing w:before="195" w:beforeLines="60" w:after="195" w:afterLines="60" w:line="240" w:lineRule="auto"/>
        <w:ind w:left="0"/>
      </w:pPr>
      <w:r>
        <w:rPr>
          <w:rFonts w:hint="eastAsia"/>
        </w:rPr>
        <w:t>优化产业布局</w:t>
      </w:r>
    </w:p>
    <w:p>
      <w:pPr>
        <w:spacing w:before="48"/>
        <w:ind w:firstLine="640"/>
      </w:pPr>
      <w:r>
        <w:rPr>
          <w:rFonts w:hint="eastAsia"/>
        </w:rPr>
        <w:t>统筹产业发展方向及产业用地需求，规划形成“一心、五区、多基地”的产业布局。</w:t>
      </w:r>
    </w:p>
    <w:p>
      <w:pPr>
        <w:spacing w:before="48"/>
        <w:ind w:firstLine="640"/>
      </w:pPr>
      <w:r>
        <w:rPr>
          <w:rFonts w:hint="eastAsia"/>
        </w:rPr>
        <w:t>一心：主要结合镇区商贸服务设施和物流仓储设施形成的商贸服务和物流疏散中心。</w:t>
      </w:r>
    </w:p>
    <w:p>
      <w:pPr>
        <w:spacing w:before="48"/>
        <w:ind w:firstLine="640"/>
      </w:pPr>
      <w:r>
        <w:rPr>
          <w:rFonts w:hint="eastAsia"/>
        </w:rPr>
        <w:t>五区：中部为林果、种植等形成中部高效农业主产区；南、北部主要以养殖为主的特色种植养殖区；西北部以河流等自然资源打造的休闲田园观光区；西部因靠近内乡县城区，形成的开发区。</w:t>
      </w:r>
    </w:p>
    <w:p>
      <w:pPr>
        <w:spacing w:before="48"/>
        <w:ind w:firstLine="640"/>
      </w:pPr>
      <w:r>
        <w:rPr>
          <w:rFonts w:hint="eastAsia"/>
        </w:rPr>
        <w:t>多基地：主要发挥特色优势农业，打造林果、烟草、蔬菜、养殖等基地以及以色列特色农业园。</w:t>
      </w:r>
    </w:p>
    <w:p>
      <w:pPr>
        <w:pStyle w:val="3"/>
      </w:pPr>
      <w:bookmarkStart w:id="65" w:name="_Toc200550534"/>
      <w:bookmarkStart w:id="66" w:name="_Toc200611605"/>
      <w:bookmarkStart w:id="67" w:name="_Toc200524222"/>
      <w:r>
        <w:rPr>
          <w:rFonts w:hint="eastAsia"/>
        </w:rPr>
        <w:t>产业用地保障</w:t>
      </w:r>
      <w:bookmarkEnd w:id="65"/>
      <w:bookmarkEnd w:id="66"/>
      <w:bookmarkEnd w:id="67"/>
    </w:p>
    <w:p>
      <w:pPr>
        <w:pStyle w:val="4"/>
        <w:spacing w:before="195" w:after="195"/>
      </w:pPr>
      <w:r>
        <w:rPr>
          <w:rFonts w:hint="eastAsia"/>
        </w:rPr>
        <w:t>产业准入清单</w:t>
      </w:r>
    </w:p>
    <w:p>
      <w:pPr>
        <w:spacing w:before="65"/>
        <w:ind w:firstLine="640"/>
      </w:pPr>
      <w:bookmarkStart w:id="68" w:name="_Hlk200523775"/>
      <w:bookmarkStart w:id="69" w:name="_Hlk200523747"/>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在村庄建设边界内，主要布局直接服务种植养殖业的</w:t>
      </w:r>
      <w:bookmarkStart w:id="70" w:name="_Hlk207382782"/>
      <w:r>
        <w:rPr>
          <w:rFonts w:hint="eastAsia"/>
        </w:rPr>
        <w:t>农产品加工、电子商务、仓储保鲜冷链、产地低温直销配送等一二三产融合发展项目</w:t>
      </w:r>
      <w:bookmarkEnd w:id="70"/>
      <w:r>
        <w:rPr>
          <w:rFonts w:hint="eastAsia"/>
        </w:rPr>
        <w:t>，不得布局对居民生活产生较大影响和污染严重的产业。</w:t>
      </w:r>
    </w:p>
    <w:p>
      <w:pPr>
        <w:spacing w:before="65"/>
        <w:ind w:firstLine="640"/>
      </w:pPr>
      <w:r>
        <w:rPr>
          <w:rFonts w:hint="eastAsia"/>
        </w:rPr>
        <w:t>在乡镇范围内，原则上不得布局三类工业、危化品生产存储以及其他污染严重的产业，确需布局的，应征得灌涨镇人民政府或内乡县自然资源局以及相关主管部门的同意</w:t>
      </w:r>
      <w:bookmarkEnd w:id="68"/>
      <w:r>
        <w:rPr>
          <w:rFonts w:hint="eastAsia"/>
        </w:rPr>
        <w:t>。</w:t>
      </w:r>
    </w:p>
    <w:p>
      <w:pPr>
        <w:pStyle w:val="4"/>
      </w:pPr>
      <w:bookmarkStart w:id="71"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71"/>
    <w:p>
      <w:pPr>
        <w:pStyle w:val="4"/>
        <w:spacing w:before="195" w:after="195"/>
      </w:pPr>
      <w:r>
        <w:rPr>
          <w:rFonts w:hint="eastAsia"/>
        </w:rPr>
        <w:t>产业用地管控</w:t>
      </w:r>
    </w:p>
    <w:p>
      <w:pPr>
        <w:spacing w:before="65"/>
        <w:ind w:firstLine="640"/>
      </w:pPr>
      <w:bookmarkStart w:id="72" w:name="_Hlk200524039"/>
      <w:r>
        <w:rPr>
          <w:rFonts w:hint="eastAsia"/>
        </w:rPr>
        <w:t>乡镇级国土空间规划应安排不少于</w:t>
      </w:r>
      <w:r>
        <w:t>10%的建设用地指标，重点保障乡村产业发展用地。根据产业发展规律，在城乡之间合理安排产业用地布局。工业企业要向产业集聚区、专业园区集聚；具有一定规模的农产品加工要向</w:t>
      </w:r>
      <w:r>
        <w:rPr>
          <w:rFonts w:hint="eastAsia"/>
        </w:rPr>
        <w:t>中心城区</w:t>
      </w:r>
      <w:r>
        <w:t>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bookmarkEnd w:id="69"/>
      <w:bookmarkEnd w:id="72"/>
    </w:p>
    <w:p>
      <w:pPr>
        <w:spacing w:before="65"/>
        <w:ind w:firstLine="640"/>
      </w:pPr>
      <w:r>
        <w:br w:type="page"/>
      </w:r>
    </w:p>
    <w:p>
      <w:pPr>
        <w:spacing w:before="48"/>
        <w:ind w:firstLine="640"/>
      </w:pPr>
    </w:p>
    <w:p>
      <w:pPr>
        <w:pStyle w:val="2"/>
        <w:spacing w:before="489" w:beforeLines="150" w:after="489" w:afterLines="150"/>
      </w:pPr>
      <w:bookmarkStart w:id="73" w:name="_Toc221006685"/>
      <w:bookmarkStart w:id="74" w:name="_Toc175648307"/>
      <w:r>
        <w:rPr>
          <w:rFonts w:hint="eastAsia"/>
        </w:rPr>
        <w:t>村庄布局</w:t>
      </w:r>
      <w:bookmarkEnd w:id="73"/>
      <w:bookmarkEnd w:id="74"/>
    </w:p>
    <w:p>
      <w:pPr>
        <w:pStyle w:val="3"/>
        <w:spacing w:before="326" w:beforeLines="100" w:after="326" w:afterLines="100"/>
      </w:pPr>
      <w:bookmarkStart w:id="75" w:name="_Toc175648308"/>
      <w:r>
        <w:rPr>
          <w:rFonts w:hint="eastAsia"/>
        </w:rPr>
        <w:t>人口与城镇化水平预测</w:t>
      </w:r>
      <w:bookmarkEnd w:id="75"/>
    </w:p>
    <w:p>
      <w:pPr>
        <w:pStyle w:val="4"/>
        <w:spacing w:before="195" w:beforeLines="60" w:after="195" w:afterLines="60" w:line="240" w:lineRule="auto"/>
        <w:ind w:left="0"/>
      </w:pPr>
      <w:r>
        <w:rPr>
          <w:rFonts w:hint="eastAsia"/>
        </w:rPr>
        <w:t>人口规模预测</w:t>
      </w:r>
    </w:p>
    <w:p>
      <w:pPr>
        <w:ind w:firstLine="640"/>
      </w:pPr>
      <w:r>
        <w:rPr>
          <w:rFonts w:hint="eastAsia"/>
        </w:rPr>
        <w:t>1</w:t>
      </w:r>
      <w:r>
        <w:t>.</w:t>
      </w:r>
      <w:r>
        <w:rPr>
          <w:rFonts w:hint="eastAsia"/>
        </w:rPr>
        <w:t>镇</w:t>
      </w:r>
      <w:r>
        <w:t>域户籍人口</w:t>
      </w:r>
    </w:p>
    <w:p>
      <w:pPr>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域户籍总人口</w:t>
      </w:r>
      <w:r>
        <w:rPr>
          <w:rFonts w:hint="eastAsia" w:ascii="Times New Roman" w:hAnsi="Times New Roman"/>
        </w:rPr>
        <w:t>58553</w:t>
      </w:r>
      <w:r>
        <w:rPr>
          <w:rFonts w:ascii="Times New Roman" w:hAnsi="Times New Roman"/>
        </w:rPr>
        <w:t>人。</w:t>
      </w:r>
      <w:r>
        <w:rPr>
          <w:rFonts w:hint="eastAsia" w:ascii="Times New Roman" w:hAnsi="Times New Roman"/>
        </w:rPr>
        <w:t>至</w:t>
      </w:r>
      <w:r>
        <w:rPr>
          <w:rFonts w:ascii="Times New Roman" w:hAnsi="Times New Roman"/>
        </w:rPr>
        <w:t>2025年，镇域户籍总人口</w:t>
      </w:r>
      <w:r>
        <w:rPr>
          <w:rFonts w:hint="eastAsia" w:ascii="Times New Roman" w:hAnsi="Times New Roman"/>
        </w:rPr>
        <w:t>5.46</w:t>
      </w:r>
      <w:r>
        <w:rPr>
          <w:rFonts w:ascii="Times New Roman" w:hAnsi="Times New Roman"/>
        </w:rPr>
        <w:t>万人</w:t>
      </w:r>
      <w:r>
        <w:rPr>
          <w:rFonts w:hint="eastAsia" w:ascii="Times New Roman" w:hAnsi="Times New Roman"/>
        </w:rPr>
        <w:t>；至</w:t>
      </w:r>
      <w:r>
        <w:rPr>
          <w:rFonts w:ascii="Times New Roman" w:hAnsi="Times New Roman"/>
        </w:rPr>
        <w:t>2035年，镇域户籍总人口</w:t>
      </w:r>
      <w:r>
        <w:rPr>
          <w:rFonts w:hint="eastAsia" w:ascii="Times New Roman" w:hAnsi="Times New Roman"/>
        </w:rPr>
        <w:t>5.09</w:t>
      </w:r>
      <w:r>
        <w:rPr>
          <w:rFonts w:ascii="Times New Roman" w:hAnsi="Times New Roman"/>
        </w:rPr>
        <w:t>万人。</w:t>
      </w:r>
    </w:p>
    <w:p>
      <w:pPr>
        <w:ind w:firstLine="640"/>
      </w:pPr>
      <w:r>
        <w:rPr>
          <w:rFonts w:hint="eastAsia"/>
        </w:rPr>
        <w:t>2</w:t>
      </w:r>
      <w:r>
        <w:t>.</w:t>
      </w:r>
      <w:r>
        <w:rPr>
          <w:rFonts w:hint="eastAsia"/>
        </w:rPr>
        <w:t>镇</w:t>
      </w:r>
      <w:r>
        <w:t>域常住人口</w:t>
      </w:r>
    </w:p>
    <w:p>
      <w:pPr>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域常住总人口</w:t>
      </w:r>
      <w:r>
        <w:rPr>
          <w:rFonts w:hint="eastAsia" w:ascii="Times New Roman" w:hAnsi="Times New Roman"/>
        </w:rPr>
        <w:t>38692</w:t>
      </w:r>
      <w:r>
        <w:rPr>
          <w:rFonts w:ascii="Times New Roman" w:hAnsi="Times New Roman"/>
        </w:rPr>
        <w:t>人。</w:t>
      </w:r>
      <w:r>
        <w:rPr>
          <w:rFonts w:hint="eastAsia" w:ascii="Times New Roman" w:hAnsi="Times New Roman"/>
        </w:rPr>
        <w:t>至</w:t>
      </w:r>
      <w:r>
        <w:rPr>
          <w:rFonts w:ascii="Times New Roman" w:hAnsi="Times New Roman"/>
        </w:rPr>
        <w:t>2025年，镇域常住总人口</w:t>
      </w:r>
      <w:r>
        <w:rPr>
          <w:rFonts w:hint="eastAsia" w:ascii="Times New Roman" w:hAnsi="Times New Roman"/>
        </w:rPr>
        <w:t>3.81</w:t>
      </w:r>
      <w:r>
        <w:rPr>
          <w:rFonts w:ascii="Times New Roman" w:hAnsi="Times New Roman"/>
        </w:rPr>
        <w:t>万人</w:t>
      </w:r>
      <w:r>
        <w:rPr>
          <w:rFonts w:hint="eastAsia" w:ascii="Times New Roman" w:hAnsi="Times New Roman"/>
        </w:rPr>
        <w:t>；至</w:t>
      </w:r>
      <w:r>
        <w:rPr>
          <w:rFonts w:ascii="Times New Roman" w:hAnsi="Times New Roman"/>
        </w:rPr>
        <w:t>2035年，镇域常住总人口</w:t>
      </w:r>
      <w:r>
        <w:rPr>
          <w:rFonts w:hint="eastAsia" w:ascii="Times New Roman" w:hAnsi="Times New Roman"/>
        </w:rPr>
        <w:t>3.74</w:t>
      </w:r>
      <w:r>
        <w:rPr>
          <w:rFonts w:ascii="Times New Roman" w:hAnsi="Times New Roman"/>
        </w:rPr>
        <w:t>万人。</w:t>
      </w:r>
    </w:p>
    <w:p>
      <w:pPr>
        <w:pStyle w:val="4"/>
        <w:spacing w:before="195" w:beforeLines="60" w:after="195" w:afterLines="60" w:line="240" w:lineRule="auto"/>
        <w:ind w:left="0"/>
      </w:pPr>
      <w:r>
        <w:rPr>
          <w:rFonts w:hint="eastAsia"/>
        </w:rPr>
        <w:t>城镇化水平预测</w:t>
      </w:r>
    </w:p>
    <w:p>
      <w:pPr>
        <w:spacing w:before="48"/>
        <w:ind w:firstLine="640"/>
        <w:rPr>
          <w:rFonts w:ascii="Times New Roman" w:hAnsi="Times New Roman"/>
        </w:rPr>
      </w:pPr>
      <w:r>
        <w:rPr>
          <w:rFonts w:ascii="Times New Roman" w:hAnsi="Times New Roman"/>
        </w:rPr>
        <w:t>基期年，</w:t>
      </w:r>
      <w:r>
        <w:rPr>
          <w:rFonts w:hint="eastAsia" w:ascii="Times New Roman" w:hAnsi="Times New Roman"/>
        </w:rPr>
        <w:t>镇</w:t>
      </w:r>
      <w:r>
        <w:rPr>
          <w:rFonts w:ascii="Times New Roman" w:hAnsi="Times New Roman"/>
        </w:rPr>
        <w:t>域城镇人口1</w:t>
      </w:r>
      <w:r>
        <w:rPr>
          <w:rFonts w:hint="eastAsia" w:ascii="Times New Roman" w:hAnsi="Times New Roman"/>
        </w:rPr>
        <w:t>0</w:t>
      </w:r>
      <w:r>
        <w:rPr>
          <w:rFonts w:ascii="Times New Roman" w:hAnsi="Times New Roman"/>
        </w:rPr>
        <w:t>000人，城镇化水平43%。</w:t>
      </w:r>
      <w:r>
        <w:rPr>
          <w:rFonts w:hint="eastAsia" w:ascii="Times New Roman" w:hAnsi="Times New Roman"/>
        </w:rPr>
        <w:t>至</w:t>
      </w:r>
      <w:r>
        <w:rPr>
          <w:rFonts w:ascii="Times New Roman" w:hAnsi="Times New Roman"/>
        </w:rPr>
        <w:t>2025年</w:t>
      </w:r>
      <w:r>
        <w:rPr>
          <w:rFonts w:hint="eastAsia" w:ascii="Times New Roman" w:hAnsi="Times New Roman"/>
        </w:rPr>
        <w:t>，</w:t>
      </w:r>
      <w:r>
        <w:rPr>
          <w:rFonts w:ascii="Times New Roman" w:hAnsi="Times New Roman"/>
        </w:rPr>
        <w:t>城镇人口</w:t>
      </w:r>
      <w:r>
        <w:rPr>
          <w:rFonts w:hint="eastAsia" w:ascii="Times New Roman" w:hAnsi="Times New Roman"/>
        </w:rPr>
        <w:t>1.1万</w:t>
      </w:r>
      <w:r>
        <w:rPr>
          <w:rFonts w:ascii="Times New Roman" w:hAnsi="Times New Roman"/>
        </w:rPr>
        <w:t>人，城镇化水平</w:t>
      </w:r>
      <w:r>
        <w:rPr>
          <w:rFonts w:hint="eastAsia" w:ascii="Times New Roman" w:hAnsi="Times New Roman"/>
        </w:rPr>
        <w:t>28.87</w:t>
      </w:r>
      <w:r>
        <w:rPr>
          <w:rFonts w:ascii="Times New Roman" w:hAnsi="Times New Roman"/>
        </w:rPr>
        <w:t>％</w:t>
      </w:r>
      <w:r>
        <w:rPr>
          <w:rFonts w:hint="eastAsia" w:ascii="Times New Roman" w:hAnsi="Times New Roman"/>
        </w:rPr>
        <w:t>；至</w:t>
      </w:r>
      <w:r>
        <w:rPr>
          <w:rFonts w:ascii="Times New Roman" w:hAnsi="Times New Roman"/>
        </w:rPr>
        <w:t>2035年</w:t>
      </w:r>
      <w:r>
        <w:rPr>
          <w:rFonts w:hint="eastAsia" w:ascii="Times New Roman" w:hAnsi="Times New Roman"/>
        </w:rPr>
        <w:t>，</w:t>
      </w:r>
      <w:r>
        <w:rPr>
          <w:rFonts w:ascii="Times New Roman" w:hAnsi="Times New Roman"/>
        </w:rPr>
        <w:t>城镇人</w:t>
      </w:r>
      <w:r>
        <w:rPr>
          <w:rFonts w:hint="eastAsia" w:ascii="Times New Roman" w:hAnsi="Times New Roman"/>
        </w:rPr>
        <w:t>口1.2万</w:t>
      </w:r>
      <w:r>
        <w:rPr>
          <w:rFonts w:ascii="Times New Roman" w:hAnsi="Times New Roman"/>
        </w:rPr>
        <w:t>人</w:t>
      </w:r>
      <w:r>
        <w:rPr>
          <w:rFonts w:hint="eastAsia" w:ascii="Times New Roman" w:hAnsi="Times New Roman"/>
        </w:rPr>
        <w:t>（镇区城镇人口0</w:t>
      </w:r>
      <w:r>
        <w:rPr>
          <w:rFonts w:ascii="Times New Roman" w:hAnsi="Times New Roman"/>
        </w:rPr>
        <w:t>.9</w:t>
      </w:r>
      <w:r>
        <w:rPr>
          <w:rFonts w:hint="eastAsia" w:ascii="Times New Roman" w:hAnsi="Times New Roman"/>
        </w:rPr>
        <w:t>万人）</w:t>
      </w:r>
      <w:r>
        <w:rPr>
          <w:rFonts w:ascii="Times New Roman" w:hAnsi="Times New Roman"/>
        </w:rPr>
        <w:t>，城镇化水平</w:t>
      </w:r>
      <w:r>
        <w:rPr>
          <w:rFonts w:hint="eastAsia" w:ascii="Times New Roman" w:hAnsi="Times New Roman"/>
        </w:rPr>
        <w:t>34.76</w:t>
      </w:r>
      <w:r>
        <w:rPr>
          <w:rFonts w:ascii="Times New Roman" w:hAnsi="Times New Roman"/>
        </w:rPr>
        <w:t>％。</w:t>
      </w:r>
    </w:p>
    <w:p>
      <w:pPr>
        <w:pStyle w:val="3"/>
        <w:spacing w:before="326" w:beforeLines="100" w:after="326" w:afterLines="100"/>
      </w:pPr>
      <w:bookmarkStart w:id="76" w:name="_Toc175648309"/>
      <w:r>
        <w:rPr>
          <w:rFonts w:hint="eastAsia"/>
        </w:rPr>
        <w:t>村庄分类布局</w:t>
      </w:r>
      <w:bookmarkEnd w:id="76"/>
    </w:p>
    <w:p>
      <w:pPr>
        <w:pStyle w:val="4"/>
        <w:spacing w:before="195" w:beforeLines="60" w:after="195" w:afterLines="60" w:line="240" w:lineRule="auto"/>
        <w:ind w:left="0"/>
      </w:pPr>
      <w:r>
        <w:rPr>
          <w:rFonts w:hint="eastAsia"/>
        </w:rPr>
        <w:t>村庄分类</w:t>
      </w:r>
    </w:p>
    <w:p>
      <w:pPr>
        <w:spacing w:before="48"/>
        <w:ind w:firstLine="640"/>
      </w:pPr>
      <w:r>
        <w:rPr>
          <w:rFonts w:hint="eastAsia"/>
        </w:rPr>
        <w:t>灌涨镇共有25个行政村，其中4个城郊融合类、</w:t>
      </w:r>
      <w:r>
        <w:t>6</w:t>
      </w:r>
      <w:r>
        <w:rPr>
          <w:rFonts w:hint="eastAsia"/>
        </w:rPr>
        <w:t>个集聚提升类、1个特色保护类和14个整治改善类。</w:t>
      </w:r>
    </w:p>
    <w:p>
      <w:pPr>
        <w:pStyle w:val="4"/>
        <w:spacing w:before="195" w:beforeLines="60" w:after="195" w:afterLines="60" w:line="240" w:lineRule="auto"/>
        <w:ind w:left="0"/>
      </w:pPr>
      <w:r>
        <w:rPr>
          <w:rFonts w:hint="eastAsia"/>
        </w:rPr>
        <w:t>村庄</w:t>
      </w:r>
      <w:r>
        <w:t>发展引导</w:t>
      </w:r>
    </w:p>
    <w:p>
      <w:pPr>
        <w:spacing w:before="48"/>
        <w:ind w:firstLine="640"/>
      </w:pPr>
      <w:r>
        <w:rPr>
          <w:rFonts w:hint="eastAsia"/>
        </w:rPr>
        <w:t>街北村、魏庄村等城郊融合类村庄应综合考虑工业化、城镇化和村庄自身发展需要，加快城乡产业融合发展、基础设施互联互通、公共服务共建共享，在形态上保留乡村风貌，在治理上体现城市水平，逐步强化服务城镇发展、承接城镇功能外溢的作用。</w:t>
      </w:r>
    </w:p>
    <w:p>
      <w:pPr>
        <w:spacing w:before="48"/>
        <w:ind w:firstLine="640"/>
      </w:pPr>
      <w:r>
        <w:rPr>
          <w:rFonts w:hint="eastAsia"/>
        </w:rPr>
        <w:t>刘营村、杨寨村、杨洼村等集聚提升类村庄重点完善乡村基本服务单元功能，提升村庄公共设施和基础设施服务能力和水平。做强特色优势产业，延伸主导产业链条，推进一二三产业融合发展，提供就业岗位，增加村民和村集体收入。</w:t>
      </w:r>
    </w:p>
    <w:p>
      <w:pPr>
        <w:spacing w:before="48"/>
        <w:ind w:firstLine="640"/>
      </w:pPr>
      <w:r>
        <w:rPr>
          <w:rFonts w:hint="eastAsia"/>
        </w:rPr>
        <w:t>杨集村这一个特色保护类村庄应以保护优先，活化利用，重点完善旅游配套、提升服务产业，统筹保护、利用与发展的关系，努力保持村庄的完整性、真实性和延续性。子育村以美丽乡村建设为基础、梁坪村与麦山村以发展特色产业为基础，加快改善村庄基础设施和公共环境，合理利用村庄特色资源，发展乡村旅游和特色产业；</w:t>
      </w:r>
      <w:r>
        <w:t xml:space="preserve"> </w:t>
      </w:r>
    </w:p>
    <w:p>
      <w:pPr>
        <w:spacing w:before="48"/>
        <w:ind w:firstLine="640"/>
      </w:pPr>
      <w:r>
        <w:rPr>
          <w:rFonts w:hint="eastAsia"/>
        </w:rPr>
        <w:t>后马村、周岗村、前马村等整治改善类村庄应着重于村庄危房改造、人居环境整治、基础设施与公共服务设施提升、土地整治、生态保护与修复等，满足建设需要。</w:t>
      </w:r>
    </w:p>
    <w:p>
      <w:pPr>
        <w:pStyle w:val="3"/>
      </w:pPr>
      <w:bookmarkStart w:id="77" w:name="_Toc200611609"/>
      <w:bookmarkStart w:id="78" w:name="_Toc200550538"/>
      <w:bookmarkStart w:id="79" w:name="_Toc200524226"/>
      <w:r>
        <w:rPr>
          <w:rFonts w:hint="eastAsia"/>
        </w:rPr>
        <w:t>镇村体系规划</w:t>
      </w:r>
      <w:bookmarkEnd w:id="77"/>
      <w:bookmarkEnd w:id="78"/>
      <w:bookmarkEnd w:id="79"/>
    </w:p>
    <w:p>
      <w:pPr>
        <w:pStyle w:val="4"/>
        <w:spacing w:before="195" w:beforeLines="60" w:after="195" w:afterLines="60" w:line="240" w:lineRule="auto"/>
        <w:ind w:left="0"/>
      </w:pPr>
      <w:r>
        <w:rPr>
          <w:rFonts w:hint="eastAsia"/>
        </w:rPr>
        <w:t>镇村体系</w:t>
      </w:r>
    </w:p>
    <w:p>
      <w:pPr>
        <w:spacing w:before="65"/>
        <w:ind w:firstLine="640"/>
      </w:pPr>
      <w:bookmarkStart w:id="80" w:name="_Hlk200544817"/>
      <w:r>
        <w:rPr>
          <w:rFonts w:hint="eastAsia"/>
        </w:rPr>
        <w:t>强化集镇区的核心地位，同时结合村庄的实际发展条件，以均衡布局为原则，构建“镇区</w:t>
      </w:r>
      <w:r>
        <w:t>+</w:t>
      </w:r>
      <w:r>
        <w:rPr>
          <w:rFonts w:hint="eastAsia"/>
        </w:rPr>
        <w:t>中心村</w:t>
      </w:r>
      <w:r>
        <w:t>+一般村”三级镇村体</w:t>
      </w:r>
      <w:r>
        <w:rPr>
          <w:rFonts w:hint="eastAsia"/>
        </w:rPr>
        <w:t>系。</w:t>
      </w:r>
    </w:p>
    <w:p>
      <w:pPr>
        <w:spacing w:before="65"/>
        <w:ind w:firstLine="640"/>
      </w:pPr>
      <w:r>
        <w:rPr>
          <w:rFonts w:hint="eastAsia"/>
        </w:rPr>
        <w:t>镇区为街北村、灌涨村、魏庄村</w:t>
      </w:r>
      <w:r>
        <w:t>；</w:t>
      </w:r>
      <w:r>
        <w:rPr>
          <w:rFonts w:hint="eastAsia"/>
        </w:rPr>
        <w:t>中心村为刘营村、杨寨村、前楼村、杨洼村、郭营村；</w:t>
      </w:r>
      <w:r>
        <w:t>一</w:t>
      </w:r>
      <w:r>
        <w:rPr>
          <w:rFonts w:hint="eastAsia"/>
        </w:rPr>
        <w:t>般村为其他</w:t>
      </w:r>
      <w:r>
        <w:t>17个行政村。</w:t>
      </w:r>
    </w:p>
    <w:p>
      <w:pPr>
        <w:spacing w:before="65"/>
        <w:ind w:firstLine="640"/>
      </w:pPr>
      <w:r>
        <w:rPr>
          <w:rFonts w:hint="eastAsia"/>
        </w:rPr>
        <w:t>进一步完善城乡要素平等交换、双向流动的政策体系，引导人口、产业向镇区、中心村集聚，带动镇域社会经济发展。</w:t>
      </w:r>
    </w:p>
    <w:bookmarkEnd w:id="80"/>
    <w:p>
      <w:pPr>
        <w:pStyle w:val="4"/>
        <w:spacing w:before="195" w:beforeLines="60" w:after="195" w:afterLines="60" w:line="240" w:lineRule="auto"/>
        <w:ind w:left="0"/>
      </w:pPr>
      <w:r>
        <w:t>村庄职能结构</w:t>
      </w:r>
    </w:p>
    <w:p>
      <w:pPr>
        <w:ind w:firstLine="640"/>
      </w:pPr>
      <w:r>
        <w:rPr>
          <w:rFonts w:hint="eastAsia"/>
        </w:rPr>
        <w:t>此次规划中，将陈营村、杨集村、刘营村规划为休闲田园观光区，主要发展农业观光旅游的种植；将后马村、周岗村、前马村、岗头村规划为北部种植养殖特色区，主要发展高效农业和菌菇产业；将胡刘村、刘岗村、山底村规划为南部种植养殖特色区，主要发展粮食作物种植及畜牧养殖；其他村庄为中部高效农业生产区，主要发展粮食作物种植和蔬菜种植等。</w:t>
      </w:r>
    </w:p>
    <w:p>
      <w:pPr>
        <w:pStyle w:val="4"/>
      </w:pPr>
      <w:bookmarkStart w:id="81" w:name="_Hlk207291743"/>
      <w:r>
        <w:rPr>
          <w:rFonts w:hint="eastAsia"/>
        </w:rPr>
        <w:t>乡村建设引导</w:t>
      </w:r>
    </w:p>
    <w:p>
      <w:pPr>
        <w:ind w:firstLine="640"/>
      </w:pPr>
      <w:r>
        <w:t>构建“</w:t>
      </w:r>
      <w:r>
        <w:rPr>
          <w:rFonts w:hint="eastAsia"/>
        </w:rPr>
        <w:t>镇区</w:t>
      </w:r>
      <w:r>
        <w:t>-</w:t>
      </w:r>
      <w:r>
        <w:rPr>
          <w:rFonts w:hint="eastAsia"/>
        </w:rPr>
        <w:t>中心村</w:t>
      </w:r>
      <w:r>
        <w:t>-</w:t>
      </w:r>
      <w:r>
        <w:rPr>
          <w:rFonts w:hint="eastAsia"/>
        </w:rPr>
        <w:t>基层</w:t>
      </w:r>
      <w:r>
        <w:t>村”三级体系</w:t>
      </w:r>
      <w:r>
        <w:rPr>
          <w:rFonts w:hint="eastAsia"/>
        </w:rPr>
        <w:t>，强化镇区的核心地位，培育中心村</w:t>
      </w:r>
      <w:r>
        <w:t>，引导择周边自然村和基层村的人口向其适度集中，提供高于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工业、仓储物流、农产品加工园区朝镇区、开发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p>
      <w:pPr>
        <w:pStyle w:val="3"/>
      </w:pPr>
      <w:r>
        <w:rPr>
          <w:rFonts w:hint="eastAsia"/>
        </w:rPr>
        <w:t>城乡生活圈构建</w:t>
      </w:r>
    </w:p>
    <w:bookmarkEnd w:id="81"/>
    <w:p>
      <w:pPr>
        <w:pStyle w:val="4"/>
      </w:pPr>
      <w:r>
        <w:rPr>
          <w:rFonts w:hint="eastAsia"/>
        </w:rPr>
        <w:t>城乡生活圈划分</w:t>
      </w:r>
    </w:p>
    <w:p>
      <w:pPr>
        <w:spacing w:before="65"/>
        <w:ind w:firstLine="640"/>
      </w:pPr>
      <w:r>
        <w:t>以</w:t>
      </w:r>
      <w:r>
        <w:rPr>
          <w:rFonts w:hint="eastAsia"/>
        </w:rPr>
        <w:t>中心城区和镇区为中心</w:t>
      </w:r>
      <w:r>
        <w:t>，构建</w:t>
      </w:r>
      <w:r>
        <w:rPr>
          <w:rFonts w:hint="eastAsia"/>
        </w:rPr>
        <w:t>城镇</w:t>
      </w:r>
      <w:r>
        <w:t>生活圈，以</w:t>
      </w:r>
      <w:r>
        <w:rPr>
          <w:rFonts w:hint="eastAsia"/>
        </w:rPr>
        <w:t>中心村</w:t>
      </w:r>
      <w:r>
        <w:t>为中心，构建</w:t>
      </w:r>
      <w:r>
        <w:rPr>
          <w:rFonts w:hint="eastAsia"/>
        </w:rPr>
        <w:t>乡村生活圈。</w:t>
      </w:r>
    </w:p>
    <w:p>
      <w:pPr>
        <w:spacing w:before="65"/>
        <w:ind w:firstLine="640"/>
      </w:pPr>
      <w:r>
        <w:rPr>
          <w:rFonts w:hint="eastAsia"/>
        </w:rPr>
        <w:t>依据行政界线、村庄分类、镇村体系、地理位置等因素，灌涨镇共划定2个城镇生活圈和</w:t>
      </w:r>
      <w:r>
        <w:t>5个乡村</w:t>
      </w:r>
      <w:r>
        <w:rPr>
          <w:rFonts w:hint="eastAsia"/>
        </w:rPr>
        <w:t>生活圈</w:t>
      </w:r>
      <w:r>
        <w:t>。其中：</w:t>
      </w:r>
    </w:p>
    <w:p>
      <w:pPr>
        <w:spacing w:before="65"/>
        <w:ind w:firstLine="640"/>
      </w:pPr>
      <w:r>
        <w:rPr>
          <w:rFonts w:hint="eastAsia"/>
        </w:rPr>
        <w:t>中心城区城镇生活圈主要包含前湾村。</w:t>
      </w:r>
    </w:p>
    <w:p>
      <w:pPr>
        <w:spacing w:before="65"/>
        <w:ind w:firstLine="640"/>
      </w:pPr>
      <w:r>
        <w:rPr>
          <w:rFonts w:hint="eastAsia"/>
        </w:rPr>
        <w:t>镇区城镇生活圈以镇区为中心，包含街北村、灌涨村、魏庄村。</w:t>
      </w:r>
    </w:p>
    <w:p>
      <w:pPr>
        <w:spacing w:before="65"/>
        <w:ind w:firstLine="640"/>
      </w:pPr>
      <w:r>
        <w:rPr>
          <w:rFonts w:hint="eastAsia"/>
        </w:rPr>
        <w:t>刘营乡村生活圈以刘营村为中心，包括陈营村、杨集村、后马村、前马村和周岗村。</w:t>
      </w:r>
    </w:p>
    <w:p>
      <w:pPr>
        <w:spacing w:before="65"/>
        <w:ind w:firstLine="640"/>
      </w:pPr>
      <w:r>
        <w:rPr>
          <w:rFonts w:hint="eastAsia"/>
        </w:rPr>
        <w:t>杨寨乡村生活圈以杨寨村为中心，包含岗头村、杨岗村和水田村。</w:t>
      </w:r>
    </w:p>
    <w:p>
      <w:pPr>
        <w:spacing w:before="65"/>
        <w:ind w:firstLine="640"/>
      </w:pPr>
      <w:r>
        <w:rPr>
          <w:rFonts w:hint="eastAsia"/>
        </w:rPr>
        <w:t>杨洼乡村生活圈以杨洼村为中心，包含宋营村、李营村和山底村。</w:t>
      </w:r>
    </w:p>
    <w:p>
      <w:pPr>
        <w:spacing w:before="65"/>
        <w:ind w:firstLine="640"/>
      </w:pPr>
      <w:r>
        <w:rPr>
          <w:rFonts w:hint="eastAsia"/>
        </w:rPr>
        <w:t>前楼乡村生活圈以前楼村为中心，包括寺洼村和刘岗村。</w:t>
      </w:r>
    </w:p>
    <w:p>
      <w:pPr>
        <w:spacing w:before="65"/>
        <w:ind w:firstLine="640"/>
      </w:pPr>
      <w:r>
        <w:rPr>
          <w:rFonts w:hint="eastAsia"/>
        </w:rPr>
        <w:t>郭营村乡村生活圈以郭营村为中心，包含杨营村、屈营村和胡刘村。</w:t>
      </w:r>
    </w:p>
    <w:p>
      <w:pPr>
        <w:pStyle w:val="4"/>
        <w:spacing w:before="195" w:beforeLines="60" w:after="195" w:afterLines="60" w:line="240" w:lineRule="auto"/>
        <w:ind w:left="0"/>
      </w:pPr>
      <w:r>
        <w:rPr>
          <w:rFonts w:hint="eastAsia"/>
        </w:rPr>
        <w:t>公共服务设施配建标准</w:t>
      </w:r>
    </w:p>
    <w:p>
      <w:pPr>
        <w:spacing w:before="48"/>
        <w:ind w:firstLine="640"/>
      </w:pPr>
      <w:r>
        <w:rPr>
          <w:rFonts w:hint="eastAsia"/>
        </w:rPr>
        <w:t>规划依据《社区生活圈规划技术指南（TD/T1062-2021）》，结合乡村振兴要求，落实“乡村社区生活圈”理念，兼顾行政管理需求，注重养老育幼设施配置。</w:t>
      </w:r>
    </w:p>
    <w:p>
      <w:pPr>
        <w:pStyle w:val="105"/>
        <w:ind w:firstLine="640"/>
      </w:pPr>
      <w:r>
        <w:rPr>
          <w:rFonts w:hint="eastAsia"/>
        </w:rPr>
        <w:t>注：◇为根据需要配置，◆为必须配置，-为不需配置。旅游特色镇配套旅游服务设施。</w:t>
      </w:r>
    </w:p>
    <w:p>
      <w:pPr>
        <w:spacing w:before="48"/>
        <w:ind w:firstLine="640"/>
      </w:pPr>
    </w:p>
    <w:p>
      <w:pPr>
        <w:spacing w:before="48"/>
        <w:ind w:firstLine="640"/>
      </w:pPr>
    </w:p>
    <w:p>
      <w:pPr>
        <w:spacing w:before="48"/>
        <w:ind w:firstLine="640"/>
      </w:pPr>
      <w:r>
        <w:br w:type="page"/>
      </w:r>
    </w:p>
    <w:p>
      <w:pPr>
        <w:spacing w:before="48"/>
        <w:ind w:firstLine="640"/>
      </w:pPr>
    </w:p>
    <w:p>
      <w:pPr>
        <w:pStyle w:val="2"/>
        <w:spacing w:before="489" w:beforeLines="150" w:after="489" w:afterLines="150"/>
      </w:pPr>
      <w:bookmarkStart w:id="82" w:name="_Toc221006686"/>
      <w:bookmarkStart w:id="83" w:name="_Toc175648310"/>
      <w:r>
        <w:rPr>
          <w:rFonts w:hint="eastAsia"/>
        </w:rPr>
        <w:t>支撑体系规划</w:t>
      </w:r>
      <w:bookmarkEnd w:id="82"/>
      <w:bookmarkEnd w:id="83"/>
    </w:p>
    <w:p>
      <w:pPr>
        <w:pStyle w:val="3"/>
        <w:spacing w:before="326" w:beforeLines="100" w:after="326" w:afterLines="100"/>
      </w:pPr>
      <w:bookmarkStart w:id="84" w:name="_Toc175648311"/>
      <w:bookmarkStart w:id="85" w:name="_Hlk142657734"/>
      <w:bookmarkStart w:id="86" w:name="_Toc129799047"/>
      <w:r>
        <w:rPr>
          <w:rFonts w:hint="eastAsia"/>
        </w:rPr>
        <w:t>道路交通规划</w:t>
      </w:r>
      <w:bookmarkEnd w:id="84"/>
    </w:p>
    <w:p>
      <w:pPr>
        <w:pStyle w:val="4"/>
        <w:spacing w:before="195" w:beforeLines="60" w:after="195" w:afterLines="60" w:line="240" w:lineRule="auto"/>
        <w:ind w:left="0"/>
      </w:pPr>
      <w:bookmarkStart w:id="87" w:name="_Hlk150185677"/>
      <w:r>
        <w:rPr>
          <w:rFonts w:hint="eastAsia"/>
        </w:rPr>
        <w:t>发展目标与策略</w:t>
      </w:r>
    </w:p>
    <w:p>
      <w:pPr>
        <w:spacing w:before="48"/>
        <w:ind w:firstLine="640"/>
      </w:pPr>
      <w:r>
        <w:rPr>
          <w:rFonts w:hint="eastAsia"/>
        </w:rPr>
        <w:t>发展目标：落实干线公路建设，加强县、乡公路与区域性道路的有机衔接；强化灌涨镇在全县道路交通体系中的作用、支撑内乡县交通枢纽地位。</w:t>
      </w:r>
    </w:p>
    <w:p>
      <w:pPr>
        <w:spacing w:before="48"/>
        <w:ind w:firstLine="640"/>
        <w:rPr>
          <w:b/>
          <w:bCs/>
        </w:rPr>
      </w:pPr>
      <w:r>
        <w:rPr>
          <w:rFonts w:hint="eastAsia"/>
        </w:rPr>
        <w:t>发展策略：</w:t>
      </w:r>
      <w:r>
        <w:t>构建骨架运输网络，推进</w:t>
      </w:r>
      <w:r>
        <w:rPr>
          <w:rFonts w:hint="eastAsia"/>
        </w:rPr>
        <w:t>全</w:t>
      </w:r>
      <w:r>
        <w:t>域交通一体化发展</w:t>
      </w:r>
      <w:r>
        <w:rPr>
          <w:rFonts w:hint="eastAsia"/>
        </w:rPr>
        <w:t>，加强镇区、中心村、特色村与区域交通干线的衔接，构建“结构清晰、节点突出、互联互通、便捷高效”的交通网络。</w:t>
      </w:r>
    </w:p>
    <w:p>
      <w:pPr>
        <w:pStyle w:val="4"/>
        <w:spacing w:before="195" w:beforeLines="60" w:after="195" w:afterLines="60" w:line="240" w:lineRule="auto"/>
        <w:ind w:left="0"/>
      </w:pPr>
      <w:r>
        <w:rPr>
          <w:rFonts w:hint="eastAsia"/>
        </w:rPr>
        <w:t>区域交通基础设施</w:t>
      </w:r>
    </w:p>
    <w:p>
      <w:pPr>
        <w:spacing w:before="48"/>
        <w:ind w:firstLine="640"/>
      </w:pPr>
      <w:r>
        <w:rPr>
          <w:rFonts w:hint="eastAsia"/>
        </w:rPr>
        <w:t>落实国道G312</w:t>
      </w:r>
      <w:r>
        <w:t>和</w:t>
      </w:r>
      <w:r>
        <w:rPr>
          <w:rFonts w:hint="eastAsia"/>
        </w:rPr>
        <w:t>省</w:t>
      </w:r>
      <w:r>
        <w:t>道S3</w:t>
      </w:r>
      <w:r>
        <w:rPr>
          <w:rFonts w:hint="eastAsia"/>
        </w:rPr>
        <w:t>30</w:t>
      </w:r>
      <w:r>
        <w:t>改建工程，结合县道X0</w:t>
      </w:r>
      <w:r>
        <w:rPr>
          <w:rFonts w:hint="eastAsia"/>
        </w:rPr>
        <w:t>40</w:t>
      </w:r>
      <w:r>
        <w:t>，形成以镇区为中心，南北畅通（连接</w:t>
      </w:r>
      <w:r>
        <w:rPr>
          <w:rFonts w:hint="eastAsia"/>
        </w:rPr>
        <w:t>王店镇</w:t>
      </w:r>
      <w:r>
        <w:t>、</w:t>
      </w:r>
      <w:r>
        <w:rPr>
          <w:rFonts w:hint="eastAsia"/>
        </w:rPr>
        <w:t>邓州市</w:t>
      </w:r>
      <w:r>
        <w:t>）、东西可达（</w:t>
      </w:r>
      <w:r>
        <w:rPr>
          <w:rFonts w:hint="eastAsia"/>
        </w:rPr>
        <w:t>湍东镇、镇平县</w:t>
      </w:r>
      <w:r>
        <w:t>）的区域交通格局</w:t>
      </w:r>
      <w:r>
        <w:rPr>
          <w:rFonts w:hint="eastAsia"/>
        </w:rPr>
        <w:t>。</w:t>
      </w:r>
    </w:p>
    <w:p>
      <w:pPr>
        <w:pStyle w:val="4"/>
        <w:spacing w:before="195" w:beforeLines="60" w:after="195" w:afterLines="60" w:line="240" w:lineRule="auto"/>
        <w:ind w:left="0"/>
      </w:pPr>
      <w:r>
        <w:rPr>
          <w:rFonts w:hint="eastAsia"/>
        </w:rPr>
        <w:t>乡镇道路网布局规划</w:t>
      </w:r>
    </w:p>
    <w:p>
      <w:pPr>
        <w:spacing w:before="48"/>
        <w:ind w:firstLine="640"/>
      </w:pPr>
      <w:r>
        <w:rPr>
          <w:rFonts w:hint="eastAsia"/>
        </w:rPr>
        <w:t>依托区域交通（国道G312</w:t>
      </w:r>
      <w:r>
        <w:t>、</w:t>
      </w:r>
      <w:r>
        <w:rPr>
          <w:rFonts w:hint="eastAsia"/>
        </w:rPr>
        <w:t>省道</w:t>
      </w:r>
      <w:r>
        <w:t>S3</w:t>
      </w:r>
      <w:r>
        <w:rPr>
          <w:rFonts w:hint="eastAsia"/>
        </w:rPr>
        <w:t>30</w:t>
      </w:r>
      <w:r>
        <w:t>、</w:t>
      </w:r>
      <w:r>
        <w:rPr>
          <w:rFonts w:hint="eastAsia"/>
        </w:rPr>
        <w:t>沪陕高速</w:t>
      </w:r>
      <w:r>
        <w:t>），结合一横</w:t>
      </w:r>
      <w:r>
        <w:rPr>
          <w:rFonts w:hint="eastAsia"/>
        </w:rPr>
        <w:t>六</w:t>
      </w:r>
      <w:r>
        <w:t>纵（</w:t>
      </w:r>
      <w:r>
        <w:rPr>
          <w:rFonts w:hint="eastAsia"/>
        </w:rPr>
        <w:t>Y018、</w:t>
      </w:r>
      <w:r>
        <w:t>Y0</w:t>
      </w:r>
      <w:r>
        <w:rPr>
          <w:rFonts w:hint="eastAsia"/>
        </w:rPr>
        <w:t>19</w:t>
      </w:r>
      <w:r>
        <w:t>、Y</w:t>
      </w:r>
      <w:r>
        <w:rPr>
          <w:rFonts w:hint="eastAsia"/>
        </w:rPr>
        <w:t>022</w:t>
      </w:r>
      <w:r>
        <w:t>、Y</w:t>
      </w:r>
      <w:r>
        <w:rPr>
          <w:rFonts w:hint="eastAsia"/>
        </w:rPr>
        <w:t>002</w:t>
      </w:r>
      <w:r>
        <w:t>、</w:t>
      </w:r>
      <w:r>
        <w:rPr>
          <w:rFonts w:hint="eastAsia"/>
        </w:rPr>
        <w:t>X040</w:t>
      </w:r>
      <w:r>
        <w:t>、</w:t>
      </w:r>
      <w:r>
        <w:rPr>
          <w:rFonts w:hint="eastAsia"/>
        </w:rPr>
        <w:t>Y057</w:t>
      </w:r>
      <w:r>
        <w:t>）的乡镇道路网布局，构建</w:t>
      </w:r>
      <w:r>
        <w:rPr>
          <w:rFonts w:hint="eastAsia"/>
        </w:rPr>
        <w:t>四</w:t>
      </w:r>
      <w:r>
        <w:t>横六纵的镇域交通网络</w:t>
      </w:r>
      <w:r>
        <w:rPr>
          <w:rFonts w:hint="eastAsia"/>
        </w:rPr>
        <w:t>。</w:t>
      </w:r>
    </w:p>
    <w:p>
      <w:pPr>
        <w:pStyle w:val="4"/>
        <w:spacing w:before="195" w:beforeLines="60" w:after="195" w:afterLines="60" w:line="240" w:lineRule="auto"/>
        <w:ind w:left="0"/>
      </w:pPr>
      <w:r>
        <w:rPr>
          <w:rFonts w:hint="eastAsia"/>
        </w:rPr>
        <w:t>城乡公交站场</w:t>
      </w:r>
    </w:p>
    <w:bookmarkEnd w:id="87"/>
    <w:p>
      <w:pPr>
        <w:spacing w:before="48"/>
        <w:ind w:firstLine="640"/>
      </w:pPr>
      <w:r>
        <w:rPr>
          <w:rFonts w:hint="eastAsia"/>
        </w:rPr>
        <w:t>在镇区北侧设城乡公交站场，服务整个镇域，到</w:t>
      </w:r>
      <w:r>
        <w:t>2035年实现村村通公交车，科学设置城乡公交首末站，提升城乡公交覆盖率</w:t>
      </w:r>
      <w:r>
        <w:rPr>
          <w:rFonts w:hint="eastAsia"/>
        </w:rPr>
        <w:t>。</w:t>
      </w:r>
    </w:p>
    <w:p>
      <w:pPr>
        <w:pStyle w:val="3"/>
        <w:spacing w:before="326" w:beforeLines="100" w:after="326" w:afterLines="100"/>
      </w:pPr>
      <w:bookmarkStart w:id="88" w:name="_Toc175648312"/>
      <w:r>
        <w:rPr>
          <w:rFonts w:hint="eastAsia"/>
        </w:rPr>
        <w:t>市政公用设施规划</w:t>
      </w:r>
      <w:bookmarkEnd w:id="88"/>
    </w:p>
    <w:p>
      <w:pPr>
        <w:pStyle w:val="4"/>
        <w:spacing w:before="195" w:beforeLines="60" w:after="195" w:afterLines="60" w:line="240" w:lineRule="auto"/>
        <w:ind w:left="0"/>
      </w:pPr>
      <w:r>
        <w:rPr>
          <w:rFonts w:hint="eastAsia"/>
        </w:rPr>
        <w:t>给水工程规划</w:t>
      </w:r>
    </w:p>
    <w:p>
      <w:pPr>
        <w:spacing w:before="48"/>
        <w:ind w:firstLine="640"/>
      </w:pPr>
      <w:bookmarkStart w:id="89" w:name="_Hlk147758533"/>
      <w:r>
        <w:rPr>
          <w:rFonts w:hint="eastAsia"/>
        </w:rPr>
        <w:t>预测镇域最高日总用水量为</w:t>
      </w:r>
      <w:r>
        <w:t>0.68</w:t>
      </w:r>
      <w:r>
        <w:rPr>
          <w:rFonts w:hint="eastAsia"/>
        </w:rPr>
        <w:t>万立方米/日。</w:t>
      </w:r>
    </w:p>
    <w:bookmarkEnd w:id="89"/>
    <w:p>
      <w:pPr>
        <w:spacing w:before="48"/>
        <w:ind w:firstLine="640"/>
      </w:pPr>
      <w:r>
        <w:t>规划扩建</w:t>
      </w:r>
      <w:r>
        <w:rPr>
          <w:rFonts w:hint="eastAsia"/>
        </w:rPr>
        <w:t>灌涨镇</w:t>
      </w:r>
      <w:r>
        <w:t>给水厂，规模为3500立方米/日，</w:t>
      </w:r>
      <w:r>
        <w:rPr>
          <w:rFonts w:hint="eastAsia"/>
        </w:rPr>
        <w:t>水源为地下水</w:t>
      </w:r>
      <w:r>
        <w:t>；规划保留</w:t>
      </w:r>
      <w:r>
        <w:rPr>
          <w:rFonts w:hint="eastAsia"/>
          <w:szCs w:val="21"/>
        </w:rPr>
        <w:t>陈营村、李营村、刘营村、前楼村、岗头村、水田村、杨寨村、杨洼村、宋营村、杨岗村、寺洼村、刘岗村、山底村、胡刘村、灌涨村、前马村和屈营村</w:t>
      </w:r>
      <w:r>
        <w:rPr>
          <w:szCs w:val="21"/>
        </w:rPr>
        <w:t>供水站；规划</w:t>
      </w:r>
      <w:r>
        <w:rPr>
          <w:rFonts w:hint="eastAsia"/>
          <w:szCs w:val="21"/>
        </w:rPr>
        <w:t>灌涨</w:t>
      </w:r>
      <w:r>
        <w:rPr>
          <w:szCs w:val="21"/>
        </w:rPr>
        <w:t>给水厂</w:t>
      </w:r>
      <w:r>
        <w:rPr>
          <w:rFonts w:hint="eastAsia"/>
          <w:szCs w:val="21"/>
        </w:rPr>
        <w:t>与杨洼、杨寨、刘营等</w:t>
      </w:r>
      <w:r>
        <w:rPr>
          <w:szCs w:val="21"/>
        </w:rPr>
        <w:t>供水站进行跨村供水，实现全镇多水源</w:t>
      </w:r>
      <w:r>
        <w:t>统一</w:t>
      </w:r>
      <w:r>
        <w:rPr>
          <w:szCs w:val="21"/>
        </w:rPr>
        <w:t>供水</w:t>
      </w:r>
      <w:r>
        <w:rPr>
          <w:rFonts w:hint="eastAsia"/>
        </w:rPr>
        <w:t>。</w:t>
      </w:r>
    </w:p>
    <w:p>
      <w:pPr>
        <w:pStyle w:val="4"/>
        <w:spacing w:before="195" w:beforeLines="60" w:after="195" w:afterLines="60" w:line="240" w:lineRule="auto"/>
        <w:ind w:left="0"/>
      </w:pPr>
      <w:r>
        <w:rPr>
          <w:rFonts w:hint="eastAsia"/>
        </w:rPr>
        <w:t>排水工程规划</w:t>
      </w:r>
    </w:p>
    <w:p>
      <w:pPr>
        <w:spacing w:before="48"/>
        <w:ind w:firstLine="640"/>
      </w:pPr>
      <w:r>
        <w:rPr>
          <w:rFonts w:hint="eastAsia"/>
        </w:rPr>
        <w:t>规划镇区采用雨污分流制排水系统，村庄一般采用合流制，有条件时采用分流制。</w:t>
      </w:r>
    </w:p>
    <w:p>
      <w:pPr>
        <w:spacing w:before="48"/>
        <w:ind w:firstLine="640"/>
      </w:pPr>
      <w:r>
        <w:rPr>
          <w:rFonts w:hint="eastAsia"/>
        </w:rPr>
        <w:t>预测镇域最高日总污水量为</w:t>
      </w:r>
      <w:r>
        <w:rPr>
          <w:rFonts w:ascii="Times New Roman" w:hAnsi="Times New Roman"/>
        </w:rPr>
        <w:t>0.46</w:t>
      </w:r>
      <w:r>
        <w:rPr>
          <w:rFonts w:hint="eastAsia"/>
        </w:rPr>
        <w:t>万立方米/日。</w:t>
      </w:r>
    </w:p>
    <w:p>
      <w:pPr>
        <w:spacing w:before="48"/>
        <w:ind w:firstLine="640"/>
      </w:pPr>
      <w:r>
        <w:t>规划灌涨镇镇区污水由污水管网收集排入灌涨镇污水处理厂，污水厂规模为0.25万立方米/日；污水处理厂出水水质要求达到《城镇污水处理厂污染物排放标准》（GB 18918-2002）中规定的一级A标准，处理达标后排入默河。</w:t>
      </w:r>
      <w:r>
        <w:rPr>
          <w:rFonts w:hint="eastAsia"/>
        </w:rPr>
        <w:t>前湾村、杨寨村等集中连片的</w:t>
      </w:r>
      <w:r>
        <w:t>村庄单独建设小型污水处理设施集中处理生活污水</w:t>
      </w:r>
      <w:r>
        <w:rPr>
          <w:rFonts w:hint="eastAsia"/>
        </w:rPr>
        <w:t>；村民居住分散的村庄利用小型污水处理罐进行分户处理。</w:t>
      </w:r>
    </w:p>
    <w:p>
      <w:pPr>
        <w:spacing w:before="48"/>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beforeLines="60" w:after="195" w:afterLines="60" w:line="240" w:lineRule="auto"/>
        <w:ind w:left="0"/>
      </w:pPr>
      <w:r>
        <w:rPr>
          <w:rFonts w:hint="eastAsia"/>
        </w:rPr>
        <w:t>电力工程规划</w:t>
      </w:r>
    </w:p>
    <w:p>
      <w:pPr>
        <w:spacing w:before="48"/>
        <w:ind w:firstLine="640"/>
      </w:pPr>
      <w:r>
        <w:rPr>
          <w:rFonts w:hint="eastAsia"/>
        </w:rPr>
        <w:t>预测镇域年总用电负荷为</w:t>
      </w:r>
      <w:r>
        <w:t>4488</w:t>
      </w:r>
      <w:r>
        <w:rPr>
          <w:rFonts w:hint="eastAsia"/>
        </w:rPr>
        <w:t>万千瓦时。</w:t>
      </w:r>
      <w:bookmarkStart w:id="90" w:name="_Hlk140846865"/>
    </w:p>
    <w:p>
      <w:pPr>
        <w:spacing w:before="48"/>
        <w:ind w:firstLine="640"/>
      </w:pPr>
      <w:r>
        <w:t>规划</w:t>
      </w:r>
      <w:r>
        <w:rPr>
          <w:rFonts w:hint="eastAsia"/>
        </w:rPr>
        <w:t>保留</w:t>
      </w:r>
      <w:r>
        <w:t>现状35千伏灌涨变，供电容量为10+12.5兆伏安</w:t>
      </w:r>
      <w:r>
        <w:rPr>
          <w:rFonts w:hint="eastAsia"/>
        </w:rPr>
        <w:t>。</w:t>
      </w:r>
      <w:bookmarkEnd w:id="90"/>
    </w:p>
    <w:p>
      <w:pPr>
        <w:spacing w:before="48"/>
        <w:ind w:firstLine="640"/>
      </w:pPr>
      <w:r>
        <w:rPr>
          <w:rFonts w:hint="eastAsia"/>
        </w:rPr>
        <w:t>依据《城市电力规划规范》（GB/T 50293-2014），220千伏高压线设置40-45米宽的高压走廊；110千伏高压线设置25-30米宽的高压走廊；35千伏高压线设置20-25米宽的高压走廊；高压走廊控制区内严禁各种开发建设活动。</w:t>
      </w:r>
    </w:p>
    <w:p>
      <w:pPr>
        <w:pStyle w:val="4"/>
        <w:spacing w:before="195" w:beforeLines="60" w:after="195" w:afterLines="60" w:line="240" w:lineRule="auto"/>
        <w:ind w:left="0"/>
      </w:pPr>
      <w:r>
        <w:rPr>
          <w:rFonts w:hint="eastAsia"/>
        </w:rPr>
        <w:t>通信工程规划</w:t>
      </w:r>
    </w:p>
    <w:p>
      <w:pPr>
        <w:spacing w:before="48"/>
        <w:ind w:firstLine="640"/>
      </w:pPr>
      <w:r>
        <w:rPr>
          <w:rFonts w:hint="eastAsia"/>
        </w:rPr>
        <w:t>预测镇域固定电话总量为</w:t>
      </w:r>
      <w:r>
        <w:rPr>
          <w:rFonts w:ascii="Times New Roman" w:hAnsi="Times New Roman"/>
        </w:rPr>
        <w:t>1.5</w:t>
      </w:r>
      <w:r>
        <w:rPr>
          <w:rFonts w:hint="eastAsia"/>
        </w:rPr>
        <w:t>万线。</w:t>
      </w:r>
    </w:p>
    <w:p>
      <w:pPr>
        <w:spacing w:before="48"/>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48"/>
        <w:ind w:firstLine="640"/>
      </w:pPr>
      <w:r>
        <w:rPr>
          <w:rFonts w:hint="eastAsia"/>
        </w:rPr>
        <w:t>升级完善和合理布局广电设施，提升广电网络功能，推广电视、广播的数字化、高清化和网络化，筹建大功率广播电视发射中心，继续推进“村村通”工程，到2035年实现全镇广播电视人口综合覆盖率100%。</w:t>
      </w:r>
    </w:p>
    <w:p>
      <w:pPr>
        <w:pStyle w:val="4"/>
        <w:spacing w:before="195" w:beforeLines="60" w:after="195" w:afterLines="60" w:line="240" w:lineRule="auto"/>
        <w:ind w:left="0"/>
      </w:pPr>
      <w:r>
        <w:rPr>
          <w:rFonts w:hint="eastAsia"/>
        </w:rPr>
        <w:t>燃气工程规划</w:t>
      </w:r>
    </w:p>
    <w:p>
      <w:pPr>
        <w:spacing w:before="48"/>
        <w:ind w:firstLine="640"/>
      </w:pPr>
      <w:r>
        <w:rPr>
          <w:rFonts w:hint="eastAsia"/>
        </w:rPr>
        <w:t>预测镇域天然气总量为</w:t>
      </w:r>
      <w:r>
        <w:rPr>
          <w:rFonts w:ascii="Times New Roman" w:hAnsi="Times New Roman"/>
        </w:rPr>
        <w:t>213</w:t>
      </w:r>
      <w:r>
        <w:rPr>
          <w:rFonts w:hint="eastAsia"/>
        </w:rPr>
        <w:t>万立方米/年。</w:t>
      </w:r>
    </w:p>
    <w:p>
      <w:pPr>
        <w:spacing w:before="48"/>
        <w:ind w:firstLine="640"/>
      </w:pPr>
      <w:r>
        <w:rPr>
          <w:rFonts w:hint="eastAsia"/>
        </w:rPr>
        <w:t>规划气源接自西气东输三线。规划镇区敷设中压燃气管网，有条件的村庄引入天然气管道。</w:t>
      </w:r>
    </w:p>
    <w:p>
      <w:pPr>
        <w:pStyle w:val="4"/>
        <w:spacing w:before="195" w:beforeLines="60" w:after="195" w:afterLines="60" w:line="240" w:lineRule="auto"/>
        <w:ind w:left="0"/>
      </w:pPr>
      <w:r>
        <w:rPr>
          <w:rFonts w:hint="eastAsia"/>
        </w:rPr>
        <w:t>热力工程规划</w:t>
      </w:r>
    </w:p>
    <w:p>
      <w:pPr>
        <w:spacing w:before="48"/>
        <w:ind w:firstLine="640"/>
      </w:pPr>
      <w:r>
        <w:rPr>
          <w:rFonts w:hint="eastAsia"/>
        </w:rPr>
        <w:t>规划镇区采用分区域集中供热模式，热源为空气源热泵；有条件的村庄可选用天然气等清洁能源分片区集中供热。</w:t>
      </w:r>
    </w:p>
    <w:p>
      <w:pPr>
        <w:pStyle w:val="4"/>
        <w:spacing w:before="195" w:beforeLines="60" w:after="195" w:afterLines="60" w:line="240" w:lineRule="auto"/>
        <w:ind w:left="0"/>
      </w:pPr>
      <w:r>
        <w:rPr>
          <w:rFonts w:hint="eastAsia"/>
        </w:rPr>
        <w:t>环卫工程规划</w:t>
      </w:r>
    </w:p>
    <w:p>
      <w:pPr>
        <w:spacing w:before="48"/>
        <w:ind w:firstLine="640"/>
      </w:pPr>
      <w:r>
        <w:rPr>
          <w:rFonts w:hint="eastAsia"/>
        </w:rPr>
        <w:t>因此至</w:t>
      </w:r>
      <w:r>
        <w:t>2035年，规划预测全镇产生生活垃圾最高日产量为</w:t>
      </w:r>
      <w:r>
        <w:rPr>
          <w:rFonts w:hint="eastAsia"/>
        </w:rPr>
        <w:t>29.9</w:t>
      </w:r>
      <w:r>
        <w:t>吨/天</w:t>
      </w:r>
      <w:r>
        <w:rPr>
          <w:rFonts w:hint="eastAsia"/>
        </w:rPr>
        <w:t>。</w:t>
      </w:r>
    </w:p>
    <w:p>
      <w:pPr>
        <w:spacing w:before="48"/>
        <w:ind w:firstLine="640"/>
      </w:pPr>
      <w:r>
        <w:rPr>
          <w:rFonts w:hint="eastAsia"/>
        </w:rPr>
        <w:t>建立由垃圾收集点——生活垃圾转运站构成的垃圾收集转运系统。在镇区规划生活垃圾转运站，全镇生活垃圾通过垃圾收集点收集，经过垃圾转运站最终送至垃圾处理设施进行统一处理。</w:t>
      </w:r>
    </w:p>
    <w:p>
      <w:pPr>
        <w:pStyle w:val="3"/>
        <w:spacing w:before="326" w:beforeLines="100" w:after="326" w:afterLines="100"/>
      </w:pPr>
      <w:bookmarkStart w:id="91" w:name="_Toc175648313"/>
      <w:r>
        <w:rPr>
          <w:rFonts w:hint="eastAsia"/>
        </w:rPr>
        <w:t>公共服务设施规划</w:t>
      </w:r>
      <w:bookmarkEnd w:id="91"/>
    </w:p>
    <w:p>
      <w:pPr>
        <w:pStyle w:val="4"/>
        <w:spacing w:before="195" w:beforeLines="60" w:after="195" w:afterLines="60" w:line="240" w:lineRule="auto"/>
        <w:ind w:left="0"/>
      </w:pPr>
      <w:bookmarkStart w:id="92" w:name="_Hlk150185614"/>
      <w:bookmarkStart w:id="93" w:name="_Hlk200522761"/>
      <w:r>
        <w:t>教育设施</w:t>
      </w:r>
    </w:p>
    <w:p>
      <w:pPr>
        <w:spacing w:before="65"/>
        <w:ind w:firstLine="640"/>
      </w:pPr>
      <w:r>
        <w:rPr>
          <w:rFonts w:hint="eastAsia"/>
        </w:rPr>
        <w:t>规划保留现状灌涨镇初级中学，规模为</w:t>
      </w:r>
      <w:r>
        <w:t>25班，可以满足全镇居民的中学就学需求。规划</w:t>
      </w:r>
      <w:r>
        <w:rPr>
          <w:rFonts w:hint="eastAsia"/>
        </w:rPr>
        <w:t>保留</w:t>
      </w:r>
      <w:r>
        <w:t>现状1处</w:t>
      </w:r>
      <w:r>
        <w:rPr>
          <w:rFonts w:hint="eastAsia"/>
        </w:rPr>
        <w:t>灌涨</w:t>
      </w:r>
      <w:r>
        <w:t>中心小学</w:t>
      </w:r>
      <w:r>
        <w:rPr>
          <w:rFonts w:hint="eastAsia"/>
        </w:rPr>
        <w:t>、魏庄小学、胡刘小学、郭营小学和前楼小学</w:t>
      </w:r>
      <w:r>
        <w:t>，满足镇域居民就学的需求</w:t>
      </w:r>
      <w:r>
        <w:rPr>
          <w:rFonts w:hint="eastAsia"/>
        </w:rPr>
        <w:t>，后期根据生源和政策动态调整各行政村教学点</w:t>
      </w:r>
      <w:r>
        <w:t>。规划幼儿园按照1所/3000-6000人布局，尽量结合中心村设置</w:t>
      </w:r>
      <w:r>
        <w:rPr>
          <w:rFonts w:hint="eastAsia"/>
        </w:rPr>
        <w:t>。</w:t>
      </w:r>
    </w:p>
    <w:p>
      <w:pPr>
        <w:pStyle w:val="4"/>
        <w:spacing w:before="195" w:beforeLines="60" w:after="195" w:afterLines="60" w:line="240" w:lineRule="auto"/>
        <w:ind w:left="0"/>
      </w:pPr>
      <w:r>
        <w:t>文化体育设施</w:t>
      </w:r>
    </w:p>
    <w:p>
      <w:pPr>
        <w:spacing w:before="65"/>
        <w:ind w:firstLine="640"/>
        <w:rPr>
          <w:rFonts w:ascii="仿宋_GB2312" w:hAnsi="仿宋_GB2312" w:cs="仿宋_GB2312"/>
        </w:rPr>
      </w:pPr>
      <w:r>
        <w:rPr>
          <w:rFonts w:hint="eastAsia"/>
        </w:rPr>
        <w:t>镇区规划文化中心</w:t>
      </w:r>
      <w:r>
        <w:t>1处</w:t>
      </w:r>
      <w:r>
        <w:rPr>
          <w:rFonts w:hint="eastAsia"/>
        </w:rPr>
        <w:t>，位于魏庄社区北侧</w:t>
      </w:r>
      <w:r>
        <w:t>。规划各村庄设置文化活动室和农家书屋各1处，宜集合党群服务中心设置。规划各村庄设置健身广场各1处，宜结合文化活动室，村庄广场设置</w:t>
      </w:r>
      <w:r>
        <w:rPr>
          <w:rFonts w:hint="eastAsia"/>
        </w:rPr>
        <w:t>。</w:t>
      </w:r>
    </w:p>
    <w:p>
      <w:pPr>
        <w:pStyle w:val="4"/>
        <w:spacing w:before="195" w:beforeLines="60" w:after="195" w:afterLines="60" w:line="240" w:lineRule="auto"/>
        <w:ind w:left="0"/>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标等建设任务。完善乡镇基层医疗卫生设施配置。镇区保留</w:t>
      </w:r>
      <w:r>
        <w:t>1处现状卫生院，床位数控制在50-200床</w:t>
      </w:r>
      <w:r>
        <w:rPr>
          <w:rFonts w:hint="eastAsia"/>
        </w:rPr>
        <w:t>。规划按照一村一室进行配置村级卫生室，每个村卫生室建设用地约</w:t>
      </w:r>
      <w:r>
        <w:t>1亩。对现有村庄卫</w:t>
      </w:r>
      <w:r>
        <w:rPr>
          <w:rFonts w:hint="eastAsia"/>
        </w:rPr>
        <w:t>生室进行提升，强化基层医疗作用，做到小病不出村。</w:t>
      </w:r>
    </w:p>
    <w:p>
      <w:pPr>
        <w:pStyle w:val="4"/>
        <w:spacing w:before="195" w:beforeLines="60" w:after="195" w:afterLines="60" w:line="240" w:lineRule="auto"/>
        <w:ind w:left="0"/>
      </w:pPr>
      <w:r>
        <w:t>社会福利设施</w:t>
      </w:r>
    </w:p>
    <w:p>
      <w:pPr>
        <w:spacing w:before="65"/>
        <w:ind w:firstLine="640"/>
      </w:pPr>
      <w:r>
        <w:rPr>
          <w:rFonts w:hint="eastAsia"/>
        </w:rPr>
        <w:t>镇区保留现状</w:t>
      </w:r>
      <w:r>
        <w:t>1所敬老院，床位数控制在200床以内</w:t>
      </w:r>
      <w:r>
        <w:rPr>
          <w:rFonts w:hint="eastAsia"/>
        </w:rPr>
        <w:t>，刘营村、杨寨村、杨洼村、郭营村、前楼村各规划一处养老院，提供老年人日托服务，包括餐饮、文娱、健身、医疗保健等。</w:t>
      </w:r>
      <w:bookmarkStart w:id="94" w:name="_Hlk200545963"/>
      <w:r>
        <w:rPr>
          <w:rFonts w:hint="eastAsia"/>
        </w:rPr>
        <w:t>其他村庄与村委会结合设置</w:t>
      </w:r>
      <w:r>
        <w:t>14处</w:t>
      </w:r>
      <w:r>
        <w:rPr>
          <w:rFonts w:hint="eastAsia"/>
        </w:rPr>
        <w:t>居家养老服务站，提供居家养老相关服务</w:t>
      </w:r>
      <w:bookmarkEnd w:id="94"/>
      <w:r>
        <w:rPr>
          <w:rFonts w:hint="eastAsia"/>
        </w:rPr>
        <w:t>。</w:t>
      </w:r>
    </w:p>
    <w:p>
      <w:pPr>
        <w:pStyle w:val="4"/>
        <w:spacing w:before="195" w:beforeLines="60" w:after="195" w:afterLines="60" w:line="240" w:lineRule="auto"/>
        <w:ind w:left="0"/>
      </w:pPr>
      <w:r>
        <w:t>商业服务设施</w:t>
      </w:r>
    </w:p>
    <w:p>
      <w:pPr>
        <w:spacing w:before="65"/>
        <w:ind w:firstLine="640"/>
      </w:pPr>
      <w:r>
        <w:rPr>
          <w:rFonts w:hint="eastAsia"/>
        </w:rPr>
        <w:t>延续镇区沿街底商的商业布局，将各类商业布局优化，将特色农产品、文旅产品等分类型进行分区布局，便于游客购物，保留镇区现状部分质量较好、商品丰富的商业服务设施。规划刘营村、杨寨村、杨洼村、郭营村、前楼村建设小型农贸市场及小型百货超市，服务于周边村庄。</w:t>
      </w:r>
    </w:p>
    <w:p>
      <w:pPr>
        <w:pStyle w:val="4"/>
        <w:spacing w:before="195" w:beforeLines="60" w:after="195" w:afterLines="60" w:line="240" w:lineRule="auto"/>
        <w:ind w:left="0"/>
      </w:pPr>
      <w:r>
        <w:t>殡葬设施</w:t>
      </w:r>
    </w:p>
    <w:p>
      <w:pPr>
        <w:spacing w:before="65"/>
        <w:ind w:firstLine="640"/>
      </w:pPr>
      <w:r>
        <w:rPr>
          <w:rFonts w:hint="eastAsia"/>
        </w:rPr>
        <w:t>规划在刘岗村建设</w:t>
      </w:r>
      <w:r>
        <w:t>1处占地不少于80亩的公益性公墓。</w:t>
      </w:r>
    </w:p>
    <w:bookmarkEnd w:id="92"/>
    <w:bookmarkEnd w:id="93"/>
    <w:p>
      <w:pPr>
        <w:pStyle w:val="3"/>
        <w:spacing w:before="326" w:beforeLines="100" w:after="326" w:afterLines="100"/>
      </w:pPr>
      <w:bookmarkStart w:id="95" w:name="_Toc175648314"/>
      <w:r>
        <w:rPr>
          <w:rFonts w:hint="eastAsia"/>
        </w:rPr>
        <w:t>防灾减灾规划</w:t>
      </w:r>
      <w:bookmarkEnd w:id="95"/>
    </w:p>
    <w:p>
      <w:pPr>
        <w:pStyle w:val="4"/>
        <w:spacing w:before="195" w:beforeLines="60" w:after="195" w:afterLines="60" w:line="240" w:lineRule="auto"/>
        <w:ind w:left="0"/>
      </w:pPr>
      <w:bookmarkStart w:id="96" w:name="_Hlk151384900"/>
      <w:r>
        <w:rPr>
          <w:rFonts w:hint="eastAsia"/>
        </w:rPr>
        <w:t>主要灾害防灾标准</w:t>
      </w:r>
    </w:p>
    <w:bookmarkEnd w:id="96"/>
    <w:p>
      <w:pPr>
        <w:ind w:firstLine="640"/>
      </w:pPr>
      <w:r>
        <w:rPr>
          <w:rFonts w:hint="eastAsia"/>
        </w:rPr>
        <w:t>1</w:t>
      </w:r>
      <w:r>
        <w:t>.</w:t>
      </w:r>
      <w:r>
        <w:rPr>
          <w:rFonts w:hint="eastAsia"/>
        </w:rPr>
        <w:t>防洪标准</w:t>
      </w:r>
    </w:p>
    <w:p>
      <w:pPr>
        <w:ind w:firstLine="640"/>
        <w:rPr>
          <w:u w:val="single"/>
        </w:rPr>
      </w:pPr>
      <w:bookmarkStart w:id="97" w:name="_Hlk151385439"/>
      <w:r>
        <w:rPr>
          <w:rFonts w:hint="eastAsia"/>
          <w:u w:val="single"/>
        </w:rPr>
        <w:t>灌涨镇镇区防洪标准为</w:t>
      </w:r>
      <w:r>
        <w:rPr>
          <w:u w:val="single"/>
        </w:rPr>
        <w:t>20年一遇，乡村防洪标准为10年一遇。</w:t>
      </w:r>
    </w:p>
    <w:bookmarkEnd w:id="97"/>
    <w:p>
      <w:pPr>
        <w:ind w:firstLine="640"/>
      </w:pPr>
      <w:r>
        <w:rPr>
          <w:rFonts w:hint="eastAsia"/>
        </w:rPr>
        <w:t>2</w:t>
      </w:r>
      <w:r>
        <w:t>.</w:t>
      </w:r>
      <w:r>
        <w:rPr>
          <w:rFonts w:hint="eastAsia"/>
        </w:rPr>
        <w:t>排涝标准</w:t>
      </w:r>
    </w:p>
    <w:p>
      <w:pPr>
        <w:ind w:firstLine="640"/>
      </w:pPr>
      <w:r>
        <w:rPr>
          <w:rFonts w:hint="eastAsia"/>
          <w:u w:val="single"/>
        </w:rPr>
        <w:t>规划灌涨镇镇区内涝防治设计重现期为</w:t>
      </w:r>
      <w:r>
        <w:rPr>
          <w:u w:val="single"/>
        </w:rPr>
        <w:t>20年一遇，</w:t>
      </w:r>
      <w:r>
        <w:rPr>
          <w:rFonts w:hint="eastAsia"/>
        </w:rPr>
        <w:t>对超过内涝防治设计重现期的降雨，按照应急预案要求采取应急措施。</w:t>
      </w:r>
    </w:p>
    <w:p>
      <w:pPr>
        <w:ind w:firstLine="640"/>
      </w:pPr>
      <w:r>
        <w:rPr>
          <w:rFonts w:hint="eastAsia"/>
        </w:rPr>
        <w:t>3</w:t>
      </w:r>
      <w:r>
        <w:t>.</w:t>
      </w:r>
      <w:r>
        <w:rPr>
          <w:rFonts w:hint="eastAsia"/>
        </w:rPr>
        <w:t>抗震规划</w:t>
      </w:r>
    </w:p>
    <w:p>
      <w:pPr>
        <w:ind w:firstLine="640"/>
      </w:pPr>
      <w:r>
        <w:rPr>
          <w:rFonts w:hint="eastAsia"/>
          <w:u w:val="single"/>
        </w:rPr>
        <w:t>灌涨镇镇区地震烈度为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beforeLines="60" w:after="195" w:afterLines="60" w:line="240" w:lineRule="auto"/>
        <w:ind w:left="0"/>
      </w:pPr>
      <w:r>
        <w:rPr>
          <w:rFonts w:hint="eastAsia"/>
        </w:rPr>
        <w:t>构建防灾安全空间格局</w:t>
      </w:r>
    </w:p>
    <w:p>
      <w:pPr>
        <w:spacing w:before="48"/>
        <w:ind w:firstLine="640"/>
      </w:pPr>
      <w:r>
        <w:rPr>
          <w:rFonts w:hint="eastAsia"/>
        </w:rPr>
        <w:t>结合全镇主要交通干线，网上镇域救灾感到体系，与全县共同构建县</w:t>
      </w:r>
      <w:r>
        <w:t>-镇（乡）-村三级防灾设施体系。镇域境内，国道G312、省道S</w:t>
      </w:r>
      <w:r>
        <w:rPr>
          <w:rFonts w:hint="eastAsia"/>
        </w:rPr>
        <w:t>330</w:t>
      </w:r>
      <w:r>
        <w:t>为全</w:t>
      </w:r>
      <w:r>
        <w:rPr>
          <w:rFonts w:hint="eastAsia"/>
        </w:rPr>
        <w:t>镇</w:t>
      </w:r>
      <w:r>
        <w:t>的快速救援通道，疏散主要道路为县道X04</w:t>
      </w:r>
      <w:r>
        <w:rPr>
          <w:rFonts w:hint="eastAsia"/>
        </w:rPr>
        <w:t>0</w:t>
      </w:r>
      <w:r>
        <w:t>、疏散次干道为乡道Y0</w:t>
      </w:r>
      <w:r>
        <w:rPr>
          <w:rFonts w:hint="eastAsia"/>
        </w:rPr>
        <w:t>19</w:t>
      </w:r>
      <w:r>
        <w:t>、Y0</w:t>
      </w:r>
      <w:r>
        <w:rPr>
          <w:rFonts w:hint="eastAsia"/>
        </w:rPr>
        <w:t>22</w:t>
      </w:r>
      <w:r>
        <w:t>、Y0</w:t>
      </w:r>
      <w:r>
        <w:rPr>
          <w:rFonts w:hint="eastAsia"/>
        </w:rPr>
        <w:t>02</w:t>
      </w:r>
      <w:r>
        <w:t>、Y0</w:t>
      </w:r>
      <w:r>
        <w:rPr>
          <w:rFonts w:hint="eastAsia"/>
        </w:rPr>
        <w:t>57</w:t>
      </w:r>
      <w:r>
        <w:t>3等组成，规划强化救灾干道防灾性能，加强疏散通道沿线地区地质灾害工程治理。</w:t>
      </w:r>
    </w:p>
    <w:p>
      <w:pPr>
        <w:pStyle w:val="4"/>
        <w:spacing w:before="195" w:beforeLines="60" w:after="195" w:afterLines="60" w:line="240" w:lineRule="auto"/>
        <w:ind w:left="0"/>
      </w:pPr>
      <w:r>
        <w:rPr>
          <w:rFonts w:hint="eastAsia"/>
        </w:rPr>
        <w:t>重大防灾设施配置</w:t>
      </w:r>
    </w:p>
    <w:p>
      <w:pPr>
        <w:ind w:firstLine="640"/>
      </w:pPr>
      <w:r>
        <w:rPr>
          <w:rFonts w:hint="eastAsia"/>
        </w:rPr>
        <w:t>1</w:t>
      </w:r>
      <w:r>
        <w:t>.应急指挥设施体系</w:t>
      </w:r>
    </w:p>
    <w:p>
      <w:pPr>
        <w:ind w:firstLine="640"/>
      </w:pPr>
      <w:r>
        <w:rPr>
          <w:rFonts w:hint="eastAsia"/>
        </w:rPr>
        <w:t>设置</w:t>
      </w:r>
      <w:r>
        <w:t>镇（乡）-村</w:t>
      </w:r>
      <w:r>
        <w:rPr>
          <w:rFonts w:hint="eastAsia"/>
        </w:rPr>
        <w:t>两</w:t>
      </w:r>
      <w:r>
        <w:t>级防灾应急指挥系统，</w:t>
      </w:r>
      <w:r>
        <w:rPr>
          <w:rFonts w:hint="eastAsia"/>
        </w:rPr>
        <w:t>镇区</w:t>
      </w:r>
      <w:r>
        <w:t>设置应急指挥中心1处，位于</w:t>
      </w:r>
      <w:r>
        <w:rPr>
          <w:rFonts w:hint="eastAsia"/>
        </w:rPr>
        <w:t>灌涨镇</w:t>
      </w:r>
      <w:r>
        <w:t>人民政府，村综合防灾应急指挥中心</w:t>
      </w:r>
      <w:r>
        <w:rPr>
          <w:rFonts w:hint="eastAsia"/>
        </w:rPr>
        <w:t>设在各村</w:t>
      </w:r>
      <w:r>
        <w:t>村委会。</w:t>
      </w:r>
    </w:p>
    <w:p>
      <w:pPr>
        <w:ind w:firstLine="640"/>
      </w:pPr>
      <w:r>
        <w:rPr>
          <w:rFonts w:hint="eastAsia"/>
        </w:rPr>
        <w:t>2</w:t>
      </w:r>
      <w:r>
        <w:t>.应急救灾物资储备设施</w:t>
      </w:r>
    </w:p>
    <w:p>
      <w:pPr>
        <w:ind w:firstLine="640"/>
      </w:pPr>
      <w:r>
        <w:rPr>
          <w:rFonts w:hint="eastAsia"/>
        </w:rPr>
        <w:t>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镇区依托卫生院设置乡镇级应急医疗设施，各村分别规划设置</w:t>
      </w:r>
      <w:r>
        <w:t>1处</w:t>
      </w:r>
      <w:r>
        <w:rPr>
          <w:rFonts w:hint="eastAsia"/>
        </w:rPr>
        <w:t>村</w:t>
      </w:r>
      <w:r>
        <w:t>级应急医疗设施。</w:t>
      </w:r>
    </w:p>
    <w:p>
      <w:pPr>
        <w:ind w:firstLine="640"/>
      </w:pPr>
      <w:r>
        <w:rPr>
          <w:rFonts w:hint="eastAsia"/>
        </w:rPr>
        <w:t>4</w:t>
      </w:r>
      <w:r>
        <w:t>.消防设施</w:t>
      </w:r>
    </w:p>
    <w:p>
      <w:pPr>
        <w:ind w:firstLine="640"/>
      </w:pPr>
      <w:r>
        <w:rPr>
          <w:rFonts w:hint="eastAsia"/>
        </w:rPr>
        <w:t>镇区规划</w:t>
      </w:r>
      <w:r>
        <w:t>设置1处</w:t>
      </w:r>
      <w:r>
        <w:rPr>
          <w:rFonts w:hint="eastAsia"/>
        </w:rPr>
        <w:t>一级乡镇专职消防队</w:t>
      </w:r>
      <w:r>
        <w:t>。</w:t>
      </w:r>
    </w:p>
    <w:p>
      <w:pPr>
        <w:pStyle w:val="4"/>
        <w:spacing w:before="195" w:beforeLines="60" w:after="195" w:afterLines="60" w:line="240" w:lineRule="auto"/>
        <w:ind w:left="0"/>
      </w:pPr>
      <w:r>
        <w:rPr>
          <w:rFonts w:hint="eastAsia"/>
        </w:rPr>
        <w:t>防治措施</w:t>
      </w:r>
    </w:p>
    <w:p>
      <w:pPr>
        <w:ind w:firstLine="640"/>
      </w:pPr>
      <w:r>
        <w:rPr>
          <w:rFonts w:hint="eastAsia"/>
        </w:rPr>
        <w:t>1</w:t>
      </w:r>
      <w:r>
        <w:t>.</w:t>
      </w:r>
      <w:r>
        <w:rPr>
          <w:rFonts w:hint="eastAsia"/>
        </w:rPr>
        <w:t>防洪排涝规划措施</w:t>
      </w:r>
    </w:p>
    <w:p>
      <w:pPr>
        <w:ind w:firstLine="640"/>
      </w:pPr>
      <w:r>
        <w:t>防洪措施</w:t>
      </w:r>
      <w:r>
        <w:rPr>
          <w:rFonts w:hint="eastAsia"/>
        </w:rPr>
        <w:t>：疏浚行洪河道，提高河道堤防标准，加强河道绿化防护带建设；沿山体设置截洪沟，截洪沟及冲沟应按规划有计划、有步骤地进行治理；建立洪水预警预报系统，防洪决策支持系统，制定超标洪水应急措施。</w:t>
      </w:r>
    </w:p>
    <w:p>
      <w:pPr>
        <w:ind w:firstLine="640"/>
      </w:pPr>
      <w:r>
        <w:t>防涝措施</w:t>
      </w:r>
      <w:r>
        <w:rPr>
          <w:rFonts w:hint="eastAsia"/>
        </w:rPr>
        <w:t>：完善镇区雨水管网及排涝设施建设，采取改造原排水河道、改造旧排水管网、增建新管网、实施雨污分流以及污水集中处理和回用等措施；利用公园绿地、低洼地区及周边农田建设调蓄空间。</w:t>
      </w:r>
    </w:p>
    <w:p>
      <w:pPr>
        <w:ind w:firstLine="640"/>
      </w:pPr>
      <w:r>
        <w:rPr>
          <w:rFonts w:hint="eastAsia"/>
        </w:rPr>
        <w:t>2</w:t>
      </w:r>
      <w:r>
        <w:t>.抗震灾害防治</w:t>
      </w:r>
    </w:p>
    <w:p>
      <w:pPr>
        <w:ind w:firstLine="640"/>
      </w:pPr>
      <w:r>
        <w:rPr>
          <w:rFonts w:hint="eastAsia"/>
        </w:rPr>
        <w:t>（1）</w:t>
      </w:r>
      <w:r>
        <w:t>避震疏散场地</w:t>
      </w:r>
    </w:p>
    <w:p>
      <w:pPr>
        <w:ind w:firstLine="640"/>
      </w:pPr>
      <w:r>
        <w:rPr>
          <w:rFonts w:hint="eastAsia"/>
        </w:rPr>
        <w:t>利用公园、绿地、广场、体育场、停车场、学校操场等开敞空间设置人员避震疏散场地，固定避难场所人均有效避难面积不小于</w:t>
      </w:r>
      <w:r>
        <w:t>2.0平方米。</w:t>
      </w:r>
    </w:p>
    <w:p>
      <w:pPr>
        <w:ind w:firstLine="640"/>
      </w:pPr>
      <w:r>
        <w:rPr>
          <w:rFonts w:hint="eastAsia"/>
        </w:rPr>
        <w:t>（2）</w:t>
      </w:r>
      <w:r>
        <w:t>疏散救援通道</w:t>
      </w:r>
    </w:p>
    <w:p>
      <w:pPr>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ind w:firstLine="640"/>
      </w:pPr>
      <w:r>
        <w:rPr>
          <w:rFonts w:hint="eastAsia"/>
        </w:rPr>
        <w:t>（3）</w:t>
      </w:r>
      <w:r>
        <w:t>抗震生命线系统</w:t>
      </w:r>
    </w:p>
    <w:p>
      <w:pPr>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ind w:firstLine="640"/>
      </w:pPr>
      <w:r>
        <w:rPr>
          <w:rFonts w:hint="eastAsia"/>
        </w:rPr>
        <w:t>3</w:t>
      </w:r>
      <w:r>
        <w:t>.地质灾害防治规划</w:t>
      </w:r>
    </w:p>
    <w:p>
      <w:pPr>
        <w:ind w:firstLine="640"/>
      </w:pPr>
      <w:r>
        <w:rPr>
          <w:rFonts w:hint="eastAsia"/>
        </w:rPr>
        <w:t>（1）</w:t>
      </w:r>
      <w:r>
        <w:t>监测预警</w:t>
      </w:r>
    </w:p>
    <w:p>
      <w:pPr>
        <w:ind w:firstLine="640"/>
      </w:pPr>
      <w:r>
        <w:rPr>
          <w:rFonts w:hint="eastAsia"/>
        </w:rPr>
        <w:t>建设地质灾害监测预警体系，建立地质灾害群测群防预警网络及重点地区地质灾害隐患点的专业监测预报网络，建设全镇地质灾害空间数据库及信息系统。</w:t>
      </w:r>
    </w:p>
    <w:p>
      <w:pPr>
        <w:ind w:firstLine="640"/>
      </w:pPr>
      <w:r>
        <w:rPr>
          <w:rFonts w:hint="eastAsia"/>
        </w:rPr>
        <w:t>（2）</w:t>
      </w:r>
      <w:r>
        <w:t>工程治理</w:t>
      </w:r>
    </w:p>
    <w:p>
      <w:pPr>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ind w:firstLine="640"/>
      </w:pPr>
      <w:r>
        <w:rPr>
          <w:rFonts w:hint="eastAsia"/>
        </w:rPr>
        <w:t>（3）</w:t>
      </w:r>
      <w:r>
        <w:t>避让搬迁</w:t>
      </w:r>
    </w:p>
    <w:p>
      <w:pPr>
        <w:ind w:firstLine="640"/>
      </w:pPr>
      <w:r>
        <w:rPr>
          <w:rFonts w:hint="eastAsia"/>
        </w:rPr>
        <w:t>对突发地质灾害高风险区内的居民，主动采取搬迁措施，避让地质灾害。</w:t>
      </w:r>
    </w:p>
    <w:p>
      <w:pPr>
        <w:ind w:firstLine="640"/>
      </w:pPr>
      <w:r>
        <w:rPr>
          <w:rFonts w:hint="eastAsia"/>
        </w:rPr>
        <w:t>（4）</w:t>
      </w:r>
      <w:r>
        <w:t>宣传培训</w:t>
      </w:r>
    </w:p>
    <w:p>
      <w:pPr>
        <w:ind w:firstLine="640"/>
      </w:pPr>
      <w:r>
        <w:rPr>
          <w:rFonts w:hint="eastAsia"/>
        </w:rPr>
        <w:t>对各村组级开展群测群防知识培训；每年对全镇地质灾害管理及技术人员进行年度地质灾害防治知识培训。</w:t>
      </w:r>
    </w:p>
    <w:p>
      <w:pPr>
        <w:ind w:firstLine="640"/>
      </w:pPr>
      <w:r>
        <w:rPr>
          <w:rFonts w:hint="eastAsia"/>
        </w:rPr>
        <w:t>4</w:t>
      </w:r>
      <w:r>
        <w:t>.突发公共卫生事件防御规划</w:t>
      </w:r>
    </w:p>
    <w:p>
      <w:pPr>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ind w:firstLine="640"/>
      </w:pPr>
      <w:r>
        <w:rPr>
          <w:rFonts w:hint="eastAsia"/>
        </w:rPr>
        <w:t>5</w:t>
      </w:r>
      <w:r>
        <w:t>.气象灾害防御规划</w:t>
      </w:r>
    </w:p>
    <w:p>
      <w:pPr>
        <w:ind w:firstLine="640"/>
      </w:pPr>
      <w:r>
        <w:t>加强气象灾害预警应急体系建设。加快现场气象应急保障系统建设，提高应急处置的能力和效率。</w:t>
      </w:r>
    </w:p>
    <w:p>
      <w:pPr>
        <w:ind w:firstLine="640"/>
      </w:pPr>
      <w:r>
        <w:rPr>
          <w:rFonts w:hint="eastAsia"/>
        </w:rPr>
        <w:t>6</w:t>
      </w:r>
      <w:r>
        <w:t>.消防规划</w:t>
      </w:r>
    </w:p>
    <w:p>
      <w:pPr>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ind w:firstLine="640"/>
      </w:pPr>
      <w:r>
        <w:rPr>
          <w:rFonts w:hint="eastAsia"/>
        </w:rPr>
        <w:t>7</w:t>
      </w:r>
      <w:r>
        <w:t>.危险品安全布局与防治规划</w:t>
      </w:r>
    </w:p>
    <w:p>
      <w:pPr>
        <w:ind w:firstLine="640"/>
      </w:pPr>
      <w:r>
        <w:rPr>
          <w:rFonts w:hint="eastAsia"/>
        </w:rPr>
        <w:t>（1）</w:t>
      </w:r>
      <w:r>
        <w:t>重大危险源选址要求</w:t>
      </w:r>
    </w:p>
    <w:p>
      <w:pPr>
        <w:ind w:firstLine="640"/>
      </w:pPr>
      <w:r>
        <w:t>1）充分考虑地质因素以及气象危害，采取可靠技术方案，避开地质复杂地</w:t>
      </w:r>
      <w:r>
        <w:rPr>
          <w:rFonts w:hint="eastAsia"/>
        </w:rPr>
        <w:t>区</w:t>
      </w:r>
      <w:r>
        <w:t>。</w:t>
      </w:r>
    </w:p>
    <w:p>
      <w:pPr>
        <w:ind w:firstLine="640"/>
      </w:pPr>
      <w:r>
        <w:t>2）危险源所在地应不受洪水、湖水和内涝的威胁。</w:t>
      </w:r>
    </w:p>
    <w:p>
      <w:pPr>
        <w:ind w:firstLine="640"/>
      </w:pPr>
      <w:r>
        <w:t>3）一般应位于城市全年最小频率风向的上风方向。</w:t>
      </w:r>
    </w:p>
    <w:p>
      <w:pPr>
        <w:ind w:firstLine="640"/>
      </w:pPr>
      <w:r>
        <w:t>4）重大危险源与周边社区距离应符合有关法律、法规和标准的规定。</w:t>
      </w:r>
    </w:p>
    <w:p>
      <w:pPr>
        <w:ind w:firstLine="640"/>
      </w:pPr>
      <w:r>
        <w:t>5）重大危险源企业内部的平面布局应符合《工业企业总平面设计规划规范》(GB50187-2012)等国家标准规范的有关布局内容的要求。</w:t>
      </w:r>
    </w:p>
    <w:p>
      <w:pPr>
        <w:ind w:firstLine="640"/>
      </w:pPr>
      <w:r>
        <w:t>6）应充分考虑重大危险源的应急通信系统、应急电源、消防设施、监控系统、救援装备、物资器材等安全设施配套。</w:t>
      </w:r>
    </w:p>
    <w:p>
      <w:pPr>
        <w:ind w:firstLine="640"/>
      </w:pPr>
      <w:r>
        <w:rPr>
          <w:rFonts w:hint="eastAsia"/>
        </w:rPr>
        <w:t>（2）</w:t>
      </w:r>
      <w:r>
        <w:t>风险防范措施</w:t>
      </w:r>
    </w:p>
    <w:p>
      <w:pPr>
        <w:ind w:firstLine="640"/>
      </w:pPr>
      <w:r>
        <w:t>1）各企业特别是重污染三类工业选址建设时应远离居民区，其间设置一定的隔离带，减缓对居民的影响，企业严格落实环评及安评制度，环境风险值高的企业应加强要求或不予批准入区建设；储罐区集中并远离高温和明火装置区。拟建罐区300米范围内不得建设居民点，该类企业的办公生活区也应符合安全防护距离的要求。</w:t>
      </w:r>
    </w:p>
    <w:p>
      <w:pPr>
        <w:ind w:firstLine="640"/>
      </w:pPr>
      <w:r>
        <w:t>2）危险化学品储罐区应加装危险物质检测及报警装置，四周加强绿化。在总平面布置时，对生产区和储存区进行优化组合，减少风险事故发生的节点；应避免相关危险源出现在同一空间或相邻空间，避免“链条效应”和“群发效应”。</w:t>
      </w:r>
    </w:p>
    <w:p>
      <w:pPr>
        <w:ind w:firstLine="640"/>
      </w:pPr>
      <w:r>
        <w:t>3）在保持规划产业定位的情况下，建议发展下游消耗危险物质的产业，拉长产业链的同时减少有毒有害、易燃易爆物质在集聚区内的储存量，降低集聚区的环境风险。</w:t>
      </w:r>
    </w:p>
    <w:p>
      <w:pPr>
        <w:ind w:firstLine="640"/>
      </w:pPr>
      <w:r>
        <w:t>4）加强对易燃易爆和有毒有害危险化学品的生产、储存、经营、运输、使用和废弃处置的安全监管，完善的监控设施，提高设施的安全水平；对剧毒化学品的储存量应以维持正常运转为限，不能超量储存；</w:t>
      </w:r>
    </w:p>
    <w:p>
      <w:pPr>
        <w:ind w:firstLine="640"/>
      </w:pPr>
      <w:r>
        <w:t>5）企业建立完备的风险管理部门，实行专人负责制，制定必须的风险应急预案并定期演练；还应建立一套事故应急监测系统，为事故处理决策提供科学依据，落实灾害救援组织和物质保障，形成</w:t>
      </w:r>
      <w:r>
        <w:rPr>
          <w:rFonts w:hint="eastAsia"/>
        </w:rPr>
        <w:t>镇</w:t>
      </w:r>
      <w:r>
        <w:t>政府和企业的联合灾害救援体系。</w:t>
      </w:r>
    </w:p>
    <w:p>
      <w:pPr>
        <w:ind w:firstLine="640"/>
      </w:pPr>
      <w:r>
        <w:t>6）强化安全教育和健康教育。</w:t>
      </w:r>
    </w:p>
    <w:p>
      <w:pPr>
        <w:spacing w:before="48"/>
        <w:ind w:firstLine="640"/>
      </w:pPr>
      <w:r>
        <w:br w:type="page"/>
      </w:r>
    </w:p>
    <w:p>
      <w:pPr>
        <w:spacing w:before="48"/>
        <w:ind w:firstLine="640"/>
      </w:pPr>
    </w:p>
    <w:p>
      <w:pPr>
        <w:pStyle w:val="2"/>
        <w:spacing w:before="489" w:beforeLines="150" w:after="489" w:afterLines="150"/>
      </w:pPr>
      <w:bookmarkStart w:id="98" w:name="_Toc175648315"/>
      <w:bookmarkStart w:id="99" w:name="_Toc221006687"/>
      <w:bookmarkStart w:id="100" w:name="_Hlk142923403"/>
      <w:r>
        <w:t>历史文化与景观风貌规划</w:t>
      </w:r>
      <w:bookmarkEnd w:id="98"/>
      <w:bookmarkEnd w:id="99"/>
    </w:p>
    <w:bookmarkEnd w:id="100"/>
    <w:p>
      <w:pPr>
        <w:pStyle w:val="3"/>
        <w:spacing w:before="326" w:beforeLines="100" w:after="326" w:afterLines="100"/>
      </w:pPr>
      <w:bookmarkStart w:id="101" w:name="_Toc175648316"/>
      <w:bookmarkStart w:id="102" w:name="_Hlk142923409"/>
      <w:r>
        <w:rPr>
          <w:rFonts w:hint="eastAsia"/>
        </w:rPr>
        <w:t>历史文化保护传承</w:t>
      </w:r>
      <w:bookmarkEnd w:id="101"/>
    </w:p>
    <w:bookmarkEnd w:id="102"/>
    <w:p>
      <w:pPr>
        <w:pStyle w:val="4"/>
        <w:spacing w:before="195" w:beforeLines="60" w:after="195" w:afterLines="60" w:line="240" w:lineRule="auto"/>
        <w:ind w:left="0"/>
      </w:pPr>
      <w:bookmarkStart w:id="103" w:name="_Hlk142923435"/>
      <w:r>
        <w:rPr>
          <w:rFonts w:hint="eastAsia"/>
        </w:rPr>
        <w:t>镇域历史文化遗存</w:t>
      </w:r>
    </w:p>
    <w:bookmarkEnd w:id="103"/>
    <w:p>
      <w:pPr>
        <w:spacing w:before="48"/>
        <w:ind w:firstLine="640"/>
      </w:pPr>
      <w:r>
        <w:rPr>
          <w:rFonts w:hint="eastAsia"/>
          <w:u w:val="single"/>
        </w:rPr>
        <w:t>灌涨镇历史文化资源包括</w:t>
      </w:r>
      <w:bookmarkStart w:id="104" w:name="_Hlk149753734"/>
      <w:r>
        <w:rPr>
          <w:u w:val="single"/>
        </w:rPr>
        <w:t>1</w:t>
      </w:r>
      <w:r>
        <w:rPr>
          <w:rFonts w:hint="eastAsia"/>
          <w:u w:val="single"/>
        </w:rPr>
        <w:t>处县级文物保护单位、28处未定级文物</w:t>
      </w:r>
      <w:bookmarkEnd w:id="104"/>
      <w:r>
        <w:rPr>
          <w:u w:val="single"/>
        </w:rPr>
        <w:t>。历史文化资源详见附表6</w:t>
      </w:r>
      <w:r>
        <w:rPr>
          <w:rFonts w:hint="eastAsia"/>
        </w:rPr>
        <w:t>。</w:t>
      </w:r>
    </w:p>
    <w:p>
      <w:pPr>
        <w:pStyle w:val="4"/>
        <w:spacing w:before="195" w:beforeLines="60" w:after="195" w:afterLines="60" w:line="240" w:lineRule="auto"/>
        <w:ind w:left="0"/>
      </w:pPr>
      <w:bookmarkStart w:id="105" w:name="_Hlk142923456"/>
      <w:r>
        <w:rPr>
          <w:rFonts w:hint="eastAsia"/>
        </w:rPr>
        <w:t>镇域历史文化保护规划</w:t>
      </w:r>
    </w:p>
    <w:bookmarkEnd w:id="105"/>
    <w:p>
      <w:pPr>
        <w:spacing w:before="48"/>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w:t>
      </w:r>
    </w:p>
    <w:p>
      <w:pPr>
        <w:spacing w:before="48"/>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48"/>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beforeLines="60" w:after="195" w:afterLines="60" w:line="240" w:lineRule="auto"/>
        <w:ind w:left="0"/>
      </w:pPr>
      <w:bookmarkStart w:id="106" w:name="_Hlk142923462"/>
      <w:r>
        <w:rPr>
          <w:rFonts w:hint="eastAsia"/>
        </w:rPr>
        <w:t>历史文化传承与活化利用</w:t>
      </w:r>
    </w:p>
    <w:bookmarkEnd w:id="106"/>
    <w:p>
      <w:pPr>
        <w:spacing w:before="48"/>
        <w:ind w:firstLine="640"/>
      </w:pPr>
      <w:bookmarkStart w:id="107" w:name="_Hlk149810432"/>
      <w:r>
        <w:rPr>
          <w:rFonts w:hint="eastAsia"/>
        </w:rPr>
        <w:t>以现代种养殖基地为主，推进文旅产业融合发展，建设成为内乡县上位规划中宁西发展旅游带上的重要节点，助力内乡县打造为文旅名县。</w:t>
      </w:r>
      <w:bookmarkEnd w:id="107"/>
      <w:r>
        <w:rPr>
          <w:rFonts w:hint="eastAsia"/>
        </w:rPr>
        <w:t>进一步挖掘文化资源，对现有文化资源进行整合，举办一些种养殖体验基地、精品文化活动、文化节庆等，将灌涨打造成为农业体验示范区。以现代农业为本底，引入休闲娱乐、生态农旅等业态，对旅游资源进行策划开发，打造生态文化休闲旅游区。</w:t>
      </w:r>
    </w:p>
    <w:p>
      <w:pPr>
        <w:spacing w:before="48"/>
        <w:ind w:firstLine="640"/>
      </w:pPr>
      <w:bookmarkStart w:id="108" w:name="_Hlk149810449"/>
      <w:r>
        <w:rPr>
          <w:rFonts w:hint="eastAsia"/>
        </w:rPr>
        <w:t>历史遗迹点集中分布的村庄如杨集村、刘营村等村庄，深度挖掘历史文化资源，大力发展幸存旅游民宿、休闲、体验等特色产业，打造特色乡村旅游线路。活化利用非物质文化遗产，推动文化旅游发展。</w:t>
      </w:r>
    </w:p>
    <w:bookmarkEnd w:id="108"/>
    <w:p>
      <w:pPr>
        <w:spacing w:before="48"/>
        <w:ind w:firstLine="640"/>
      </w:pPr>
      <w:r>
        <w:rPr>
          <w:rFonts w:hint="eastAsia"/>
        </w:rPr>
        <w:t>加大历史文化资源的挖掘保护弘扬力度，保护郭营古墓群等古墓葬、古建筑等遗存分布区域，保护不可移动文物本体及其所处的环境，根据文化旅游的需要，加强不可移动文物景观环境的塑造，提升历史文化及景观资源的综合价值。缝合文化资源碎片空间，建构文化展示体系，塑造富有魅力的文化空间节点。</w:t>
      </w:r>
    </w:p>
    <w:p>
      <w:pPr>
        <w:pStyle w:val="3"/>
        <w:spacing w:before="326" w:beforeLines="100" w:after="326" w:afterLines="100"/>
      </w:pPr>
      <w:bookmarkStart w:id="109" w:name="_Toc175648317"/>
      <w:bookmarkStart w:id="110" w:name="_Hlk142923416"/>
      <w:r>
        <w:rPr>
          <w:rFonts w:hint="eastAsia"/>
        </w:rPr>
        <w:t>乡村景观风貌管控</w:t>
      </w:r>
      <w:bookmarkEnd w:id="109"/>
    </w:p>
    <w:bookmarkEnd w:id="110"/>
    <w:p>
      <w:pPr>
        <w:pStyle w:val="4"/>
        <w:spacing w:before="195" w:beforeLines="60" w:after="195" w:afterLines="60" w:line="240" w:lineRule="auto"/>
        <w:ind w:left="0"/>
      </w:pPr>
      <w:bookmarkStart w:id="111" w:name="_Hlk142923561"/>
      <w:r>
        <w:rPr>
          <w:rFonts w:hint="eastAsia"/>
        </w:rPr>
        <w:t>乡村风貌总体定位</w:t>
      </w:r>
    </w:p>
    <w:bookmarkEnd w:id="111"/>
    <w:p>
      <w:pPr>
        <w:spacing w:before="48" w:after="120"/>
        <w:ind w:firstLine="640"/>
      </w:pPr>
      <w:r>
        <w:rPr>
          <w:rFonts w:hint="eastAsia"/>
        </w:rPr>
        <w:t>依据灌涨镇整体地形地势及发展现状，将灌涨镇乡村风貌定位为：豫西南浅山丘陵田园小镇风貌。提升乡村地区的时代特征和乡村气息，注重村庄布局和山水景观、农田景观的协调，避免破坏乡村原有的形态格局，充分体现乡村风光。</w:t>
      </w:r>
    </w:p>
    <w:p>
      <w:pPr>
        <w:pStyle w:val="4"/>
        <w:spacing w:before="195" w:beforeLines="60" w:after="195" w:afterLines="60" w:line="240" w:lineRule="auto"/>
        <w:ind w:left="0"/>
      </w:pPr>
      <w:bookmarkStart w:id="112" w:name="_Hlk142923566"/>
      <w:r>
        <w:rPr>
          <w:rFonts w:hint="eastAsia"/>
        </w:rPr>
        <w:t>乡村风貌总体框架</w:t>
      </w:r>
    </w:p>
    <w:bookmarkEnd w:id="112"/>
    <w:p>
      <w:pPr>
        <w:spacing w:before="48"/>
        <w:ind w:firstLine="640"/>
      </w:pPr>
      <w:r>
        <w:rPr>
          <w:rFonts w:hint="eastAsia"/>
        </w:rPr>
        <w:t>依托灌涨镇本底自然生态环境，结合文化景观资源，构建“两轴两带一核三心多点”的全域景观风貌系统。</w:t>
      </w:r>
    </w:p>
    <w:p>
      <w:pPr>
        <w:spacing w:before="48"/>
        <w:ind w:firstLine="640"/>
      </w:pPr>
      <w:r>
        <w:rPr>
          <w:rFonts w:hint="eastAsia"/>
        </w:rPr>
        <w:t>两轴：沿省道330形成的南北向乡村景观风貌轴，沿国道312形成的东西向乡村景观风貌轴。</w:t>
      </w:r>
    </w:p>
    <w:p>
      <w:pPr>
        <w:spacing w:before="48"/>
        <w:ind w:firstLine="640"/>
      </w:pPr>
      <w:r>
        <w:rPr>
          <w:rFonts w:hint="eastAsia"/>
        </w:rPr>
        <w:t>两带：默河</w:t>
      </w:r>
      <w:r>
        <w:t>、</w:t>
      </w:r>
      <w:r>
        <w:rPr>
          <w:rFonts w:hint="eastAsia"/>
        </w:rPr>
        <w:t>曾家河景观带。</w:t>
      </w:r>
    </w:p>
    <w:p>
      <w:pPr>
        <w:spacing w:before="48"/>
        <w:ind w:firstLine="640"/>
      </w:pPr>
      <w:r>
        <w:rPr>
          <w:rFonts w:hint="eastAsia"/>
        </w:rPr>
        <w:t>一核：景观核心为灌涨镇</w:t>
      </w:r>
      <w:r>
        <w:t>区</w:t>
      </w:r>
      <w:r>
        <w:rPr>
          <w:rFonts w:hint="eastAsia"/>
        </w:rPr>
        <w:t>。</w:t>
      </w:r>
    </w:p>
    <w:p>
      <w:pPr>
        <w:spacing w:before="48"/>
        <w:ind w:firstLine="640"/>
      </w:pPr>
      <w:r>
        <w:rPr>
          <w:rFonts w:hint="eastAsia"/>
        </w:rPr>
        <w:t>三心：前湾村</w:t>
      </w:r>
      <w:r>
        <w:t>、</w:t>
      </w:r>
      <w:r>
        <w:rPr>
          <w:rFonts w:hint="eastAsia"/>
        </w:rPr>
        <w:t>郭营村</w:t>
      </w:r>
      <w:r>
        <w:t>、杨洼</w:t>
      </w:r>
      <w:r>
        <w:rPr>
          <w:rFonts w:hint="eastAsia"/>
        </w:rPr>
        <w:t>村生活节点。</w:t>
      </w:r>
    </w:p>
    <w:p>
      <w:pPr>
        <w:spacing w:before="48"/>
        <w:ind w:firstLine="640"/>
      </w:pPr>
      <w:r>
        <w:rPr>
          <w:rFonts w:hint="eastAsia"/>
        </w:rPr>
        <w:t>多点：各村庄景观节点</w:t>
      </w:r>
      <w:r>
        <w:t>。</w:t>
      </w:r>
    </w:p>
    <w:p>
      <w:pPr>
        <w:pStyle w:val="4"/>
        <w:spacing w:before="195" w:beforeLines="60" w:after="195" w:afterLines="60" w:line="240" w:lineRule="auto"/>
        <w:ind w:left="0"/>
      </w:pPr>
      <w:bookmarkStart w:id="113" w:name="_Hlk142923571"/>
      <w:r>
        <w:rPr>
          <w:rFonts w:hint="eastAsia"/>
        </w:rPr>
        <w:t>乡村风貌分区引导</w:t>
      </w:r>
    </w:p>
    <w:bookmarkEnd w:id="113"/>
    <w:p>
      <w:pPr>
        <w:spacing w:before="48"/>
        <w:ind w:firstLine="640"/>
      </w:pPr>
      <w:bookmarkStart w:id="114" w:name="_Hlk149810526"/>
      <w:r>
        <w:rPr>
          <w:rFonts w:hint="eastAsia"/>
        </w:rPr>
        <w:t>依据地貌特征、社会经济发展状况，将灌涨镇划分为种养殖基地风貌区、休闲田园风貌区、农田景观风貌区、内乡开发区灌涨片区四大类</w:t>
      </w:r>
      <w:bookmarkEnd w:id="114"/>
      <w:r>
        <w:rPr>
          <w:rFonts w:hint="eastAsia"/>
        </w:rPr>
        <w:t>。</w:t>
      </w:r>
    </w:p>
    <w:p>
      <w:pPr>
        <w:ind w:firstLine="640"/>
      </w:pPr>
      <w:r>
        <w:rPr>
          <w:rFonts w:hint="eastAsia"/>
        </w:rPr>
        <w:t>1</w:t>
      </w:r>
      <w:r>
        <w:t>.</w:t>
      </w:r>
      <w:r>
        <w:rPr>
          <w:rFonts w:hint="eastAsia"/>
        </w:rPr>
        <w:t>种养殖基地风貌区</w:t>
      </w:r>
    </w:p>
    <w:p>
      <w:pPr>
        <w:ind w:firstLine="640"/>
      </w:pPr>
      <w:r>
        <w:rPr>
          <w:rFonts w:hint="eastAsia"/>
        </w:rPr>
        <w:t>主要为村庄多养殖的村庄，包括刘岗村、山底村、胡刘村、后马村、前马村、周岗村；该区域延续本土格局和乡村种养殖风貌，在空间尺度和建筑风貌等体现地方特色。鼓励种植体现本土特色的植物，凸显田园特色风貌，村庄建筑采用本土民居建筑风格，控制建筑高度，强化建筑色彩与建筑材质的管控，彰显特色乡韵。</w:t>
      </w:r>
    </w:p>
    <w:p>
      <w:pPr>
        <w:ind w:firstLine="640"/>
      </w:pPr>
      <w:r>
        <w:rPr>
          <w:rFonts w:hint="eastAsia"/>
        </w:rPr>
        <w:t>2</w:t>
      </w:r>
      <w:r>
        <w:t>.</w:t>
      </w:r>
      <w:r>
        <w:rPr>
          <w:rFonts w:hint="eastAsia"/>
        </w:rPr>
        <w:t>中部现代农业风貌区</w:t>
      </w:r>
    </w:p>
    <w:p>
      <w:pPr>
        <w:ind w:firstLine="640"/>
      </w:pPr>
      <w:r>
        <w:rPr>
          <w:rFonts w:hint="eastAsia"/>
        </w:rPr>
        <w:t>主要包括灌涨镇镇区、水田、杨寨、灌涨、杨营、杨洼、前楼、宋营、郭营等村庄；加强镇区与内乡县城及周围镇区的联系，强化公共设施的便利性与公共空间的舒适性，居住建筑和公共设施在建筑风格上为现代风格，主要体现田园风光，注重农田景观的连续性和大地景观的营造，凸显田乡风貌。</w:t>
      </w:r>
    </w:p>
    <w:p>
      <w:pPr>
        <w:ind w:firstLine="640"/>
      </w:pPr>
      <w:r>
        <w:rPr>
          <w:rFonts w:hint="eastAsia"/>
        </w:rPr>
        <w:t>3</w:t>
      </w:r>
      <w:r>
        <w:t>.</w:t>
      </w:r>
      <w:r>
        <w:rPr>
          <w:rFonts w:hint="eastAsia"/>
        </w:rPr>
        <w:t>休闲田园景观风貌区</w:t>
      </w:r>
    </w:p>
    <w:p>
      <w:pPr>
        <w:ind w:firstLine="640"/>
      </w:pPr>
      <w:r>
        <w:rPr>
          <w:rFonts w:hint="eastAsia"/>
        </w:rPr>
        <w:t>主要为西北部村庄，包括杨集村、陈营村、刘营村；该区域有默河经过，生态资源较好。主要体现休闲田园风光，注重生态环境的营造，在农业发展中融入休闲和生态，打造特色农业园。</w:t>
      </w:r>
    </w:p>
    <w:p>
      <w:pPr>
        <w:pStyle w:val="4"/>
        <w:spacing w:before="195" w:beforeLines="60" w:after="195" w:afterLines="60" w:line="240" w:lineRule="auto"/>
        <w:ind w:left="0"/>
      </w:pPr>
      <w:r>
        <w:rPr>
          <w:rFonts w:hint="eastAsia"/>
        </w:rPr>
        <w:t>乡村特色风貌引导</w:t>
      </w:r>
    </w:p>
    <w:p>
      <w:pPr>
        <w:ind w:firstLine="640"/>
      </w:pPr>
      <w:bookmarkStart w:id="115" w:name="_Hlk149810610"/>
      <w:r>
        <w:rPr>
          <w:rFonts w:hint="eastAsia"/>
        </w:rPr>
        <w:t>1</w:t>
      </w:r>
      <w:r>
        <w:t>.</w:t>
      </w:r>
      <w:r>
        <w:rPr>
          <w:rFonts w:hint="eastAsia"/>
        </w:rPr>
        <w:t>中部现代农业风貌</w:t>
      </w:r>
      <w:bookmarkEnd w:id="115"/>
      <w:r>
        <w:rPr>
          <w:rFonts w:hint="eastAsia"/>
        </w:rPr>
        <w:t>区引导</w:t>
      </w:r>
    </w:p>
    <w:p>
      <w:pPr>
        <w:ind w:firstLine="640"/>
      </w:pPr>
      <w:r>
        <w:rPr>
          <w:rFonts w:hint="eastAsia"/>
        </w:rPr>
        <w:t>镇区重点加强内部与外部绿色开敞空间的渗透融合，控制建筑高度与体量，形成自然风光优美的特色城镇风貌。新建建筑应与现状风貌和谐统一，现代风格，建筑高度以2</w:t>
      </w:r>
      <w:r>
        <w:t>-3</w:t>
      </w:r>
      <w:r>
        <w:rPr>
          <w:rFonts w:hint="eastAsia"/>
        </w:rPr>
        <w:t>层为主，建筑色彩以白色、灰色为主，加以黄色、红色点缀；公共服务设施以功能为前提，可进行特色设计</w:t>
      </w:r>
      <w:r>
        <w:t>。</w:t>
      </w:r>
    </w:p>
    <w:p>
      <w:pPr>
        <w:ind w:firstLine="640"/>
      </w:pPr>
      <w:bookmarkStart w:id="116" w:name="_Hlk149810633"/>
      <w:r>
        <w:rPr>
          <w:rFonts w:hint="eastAsia"/>
        </w:rPr>
        <w:t>2</w:t>
      </w:r>
      <w:r>
        <w:t>.</w:t>
      </w:r>
      <w:r>
        <w:rPr>
          <w:rFonts w:hint="eastAsia"/>
        </w:rPr>
        <w:t>南北种养殖风貌区引导</w:t>
      </w:r>
      <w:bookmarkEnd w:id="116"/>
    </w:p>
    <w:p>
      <w:pPr>
        <w:ind w:firstLine="640"/>
      </w:pPr>
      <w:r>
        <w:rPr>
          <w:rFonts w:hint="eastAsia"/>
        </w:rPr>
        <w:t>村庄内建筑，在空间尺度与建筑风貌等方面体现地方特色，控制大规模生产生活设施建设，注重村庄形态与种养殖基地位置之间的协调，</w:t>
      </w:r>
      <w:r>
        <w:rPr>
          <w:rFonts w:hint="eastAsia"/>
          <w:kern w:val="0"/>
        </w:rPr>
        <w:t>新建建筑应延续村落肌理，风貌与周边环境及种养殖基地协调统一</w:t>
      </w:r>
      <w:r>
        <w:rPr>
          <w:rFonts w:hint="eastAsia"/>
        </w:rPr>
        <w:t>。建筑色彩上采用“黑、白、灰”三种颜色搭配，达到朴素而简洁的外观效果，突出传统的雅致风韵，使建筑色调融入自然环境。</w:t>
      </w:r>
    </w:p>
    <w:p>
      <w:pPr>
        <w:spacing w:before="48"/>
        <w:ind w:firstLine="640"/>
      </w:pPr>
      <w:r>
        <w:br w:type="page"/>
      </w:r>
    </w:p>
    <w:p>
      <w:pPr>
        <w:spacing w:before="48"/>
        <w:ind w:firstLine="640"/>
      </w:pPr>
    </w:p>
    <w:bookmarkEnd w:id="85"/>
    <w:bookmarkEnd w:id="86"/>
    <w:p>
      <w:pPr>
        <w:pStyle w:val="2"/>
        <w:spacing w:before="489" w:beforeLines="150" w:after="489" w:afterLines="150"/>
      </w:pPr>
      <w:bookmarkStart w:id="117" w:name="_Toc23050"/>
      <w:bookmarkEnd w:id="117"/>
      <w:bookmarkStart w:id="118" w:name="_Toc122364769"/>
      <w:bookmarkEnd w:id="118"/>
      <w:bookmarkStart w:id="119" w:name="_Toc122362359"/>
      <w:bookmarkEnd w:id="119"/>
      <w:bookmarkStart w:id="120" w:name="_Toc221006688"/>
      <w:bookmarkStart w:id="121" w:name="_Toc175648321"/>
      <w:r>
        <w:rPr>
          <w:rFonts w:hint="eastAsia"/>
        </w:rPr>
        <w:t>乡镇政府驻地规划</w:t>
      </w:r>
      <w:bookmarkEnd w:id="120"/>
      <w:bookmarkEnd w:id="121"/>
    </w:p>
    <w:p>
      <w:pPr>
        <w:pStyle w:val="3"/>
        <w:spacing w:before="326" w:beforeLines="100" w:after="326" w:afterLines="100"/>
      </w:pPr>
      <w:bookmarkStart w:id="122" w:name="_Toc175648322"/>
      <w:r>
        <w:rPr>
          <w:rFonts w:hint="eastAsia"/>
        </w:rPr>
        <w:t>发展规模、发展方向</w:t>
      </w:r>
      <w:bookmarkEnd w:id="122"/>
    </w:p>
    <w:p>
      <w:pPr>
        <w:pStyle w:val="4"/>
        <w:spacing w:before="195" w:beforeLines="60" w:after="195" w:afterLines="60" w:line="240" w:lineRule="auto"/>
        <w:ind w:left="0"/>
      </w:pPr>
      <w:r>
        <w:rPr>
          <w:rFonts w:hint="eastAsia"/>
        </w:rPr>
        <w:t>发展规模</w:t>
      </w:r>
    </w:p>
    <w:p>
      <w:pPr>
        <w:pStyle w:val="5"/>
        <w:ind w:firstLine="640"/>
      </w:pPr>
      <w:bookmarkStart w:id="123" w:name="_Hlk206682324"/>
      <w:r>
        <w:rPr>
          <w:rFonts w:hint="eastAsia"/>
        </w:rPr>
        <w:t>人口规模</w:t>
      </w:r>
    </w:p>
    <w:p>
      <w:pPr>
        <w:spacing w:before="65"/>
        <w:ind w:firstLine="640"/>
      </w:pPr>
      <w:r>
        <w:rPr>
          <w:rFonts w:hint="eastAsia"/>
        </w:rPr>
        <w:t>规划镇区人口规模为0</w:t>
      </w:r>
      <w:r>
        <w:t>.9</w:t>
      </w:r>
      <w:r>
        <w:rPr>
          <w:rFonts w:hint="eastAsia"/>
        </w:rPr>
        <w:t>万人。</w:t>
      </w:r>
    </w:p>
    <w:p>
      <w:pPr>
        <w:pStyle w:val="5"/>
        <w:ind w:firstLine="640"/>
      </w:pPr>
      <w:r>
        <w:rPr>
          <w:rFonts w:hint="eastAsia"/>
        </w:rPr>
        <w:t>城镇建设用地规模</w:t>
      </w:r>
    </w:p>
    <w:p>
      <w:pPr>
        <w:spacing w:before="65"/>
        <w:ind w:firstLine="640"/>
      </w:pPr>
      <w:r>
        <w:t>规划城镇建设用地规模为</w:t>
      </w:r>
      <w:r>
        <w:rPr>
          <w:rFonts w:hint="eastAsia"/>
        </w:rPr>
        <w:t>126.79</w:t>
      </w:r>
      <w:r>
        <w:t>公顷。</w:t>
      </w:r>
    </w:p>
    <w:bookmarkEnd w:id="123"/>
    <w:p>
      <w:pPr>
        <w:pStyle w:val="3"/>
        <w:spacing w:before="326" w:beforeLines="100" w:after="326" w:afterLines="100"/>
      </w:pPr>
      <w:bookmarkStart w:id="124" w:name="_Toc175648323"/>
      <w:r>
        <w:rPr>
          <w:rFonts w:hint="eastAsia"/>
        </w:rPr>
        <w:t>用地布局</w:t>
      </w:r>
      <w:bookmarkEnd w:id="124"/>
    </w:p>
    <w:p>
      <w:pPr>
        <w:pStyle w:val="4"/>
        <w:spacing w:before="195" w:beforeLines="60" w:after="195" w:afterLines="60" w:line="240" w:lineRule="auto"/>
        <w:ind w:left="0"/>
      </w:pPr>
      <w:r>
        <w:rPr>
          <w:rFonts w:hint="eastAsia"/>
        </w:rPr>
        <w:t>规划</w:t>
      </w:r>
      <w:bookmarkStart w:id="125" w:name="_Hlk167089361"/>
      <w:r>
        <w:rPr>
          <w:rFonts w:hint="eastAsia"/>
        </w:rPr>
        <w:t>空间结构</w:t>
      </w:r>
      <w:bookmarkEnd w:id="125"/>
    </w:p>
    <w:p>
      <w:pPr>
        <w:spacing w:before="48"/>
        <w:ind w:firstLine="640"/>
      </w:pPr>
      <w:r>
        <w:rPr>
          <w:rFonts w:hint="eastAsia"/>
        </w:rPr>
        <w:t>根据灌涨镇现状城镇布局特征和城镇发展方向，规划建设形成“两心两轴一廊道、三心四片区”的空间结构。</w:t>
      </w:r>
    </w:p>
    <w:p>
      <w:pPr>
        <w:spacing w:before="48"/>
        <w:ind w:firstLine="640"/>
      </w:pPr>
      <w:r>
        <w:rPr>
          <w:rFonts w:hint="eastAsia"/>
        </w:rPr>
        <w:t>两心：城镇商贸服务中心、城镇公共服务中心；</w:t>
      </w:r>
    </w:p>
    <w:p>
      <w:pPr>
        <w:spacing w:before="48"/>
        <w:ind w:firstLine="640"/>
      </w:pPr>
      <w:r>
        <w:rPr>
          <w:rFonts w:hint="eastAsia"/>
        </w:rPr>
        <w:t>两轴：城镇南北向发展轴、城镇东西向发展轴；</w:t>
      </w:r>
    </w:p>
    <w:p>
      <w:pPr>
        <w:spacing w:before="48"/>
        <w:ind w:firstLine="640"/>
      </w:pPr>
      <w:r>
        <w:rPr>
          <w:rFonts w:hint="eastAsia"/>
        </w:rPr>
        <w:t>一廊道：滨水空间廊道；</w:t>
      </w:r>
    </w:p>
    <w:p>
      <w:pPr>
        <w:spacing w:before="48"/>
        <w:ind w:firstLine="640"/>
      </w:pPr>
      <w:r>
        <w:rPr>
          <w:rFonts w:hint="eastAsia"/>
        </w:rPr>
        <w:t>三心：文化核心、教育核心、工业核心；</w:t>
      </w:r>
    </w:p>
    <w:p>
      <w:pPr>
        <w:spacing w:before="48"/>
        <w:ind w:firstLine="640"/>
      </w:pPr>
      <w:r>
        <w:rPr>
          <w:rFonts w:hint="eastAsia"/>
        </w:rPr>
        <w:t>四片区：生态宜居片区、综合行政片区、中部物流片区、西部服务片区。</w:t>
      </w:r>
    </w:p>
    <w:p>
      <w:pPr>
        <w:pStyle w:val="4"/>
        <w:spacing w:before="195" w:beforeLines="60" w:after="195" w:afterLines="60" w:line="240" w:lineRule="auto"/>
        <w:ind w:left="0"/>
      </w:pPr>
      <w:r>
        <w:rPr>
          <w:rFonts w:hint="eastAsia"/>
        </w:rPr>
        <w:t>规划分区</w:t>
      </w:r>
    </w:p>
    <w:p>
      <w:pPr>
        <w:spacing w:before="48"/>
        <w:ind w:firstLine="640"/>
      </w:pPr>
      <w:r>
        <w:rPr>
          <w:rFonts w:hint="eastAsia"/>
        </w:rPr>
        <w:t>基于镇区现状，将镇区用地合理规划与布置，公共服务设施集中与分散相结合布局，绿地均衡布置，将镇区划分为5个功能分区，分别为：居住生活区、综合服务区、商业商务区、物流仓储区、工业发展区；功能区采用“详细规划+规划许可”的方式进行管理。</w:t>
      </w:r>
    </w:p>
    <w:p>
      <w:pPr>
        <w:ind w:firstLine="640"/>
      </w:pPr>
      <w:r>
        <w:rPr>
          <w:rFonts w:hint="eastAsia"/>
        </w:rPr>
        <w:t>1</w:t>
      </w:r>
      <w:r>
        <w:t>.规划分区划分</w:t>
      </w:r>
    </w:p>
    <w:p>
      <w:pPr>
        <w:spacing w:before="48"/>
        <w:ind w:firstLine="640"/>
      </w:pPr>
      <w:r>
        <w:t>（1）</w:t>
      </w:r>
      <w:r>
        <w:rPr>
          <w:rFonts w:hint="eastAsia"/>
        </w:rPr>
        <w:t>居住生活区</w:t>
      </w:r>
    </w:p>
    <w:p>
      <w:pPr>
        <w:spacing w:before="48"/>
        <w:ind w:firstLine="640"/>
      </w:pPr>
      <w:r>
        <w:rPr>
          <w:rFonts w:hint="eastAsia"/>
        </w:rPr>
        <w:t>居住生活区面积约为71.41公顷，</w:t>
      </w:r>
      <w:r>
        <w:t>以居住和生活服务配套为主要功能。完善公共服务设施和绿地与开敞空间建设，优化提升居住区功能和环境，</w:t>
      </w:r>
      <w:r>
        <w:rPr>
          <w:rFonts w:hint="eastAsia"/>
        </w:rPr>
        <w:t>在保障主要功能导向的前提下，鼓励多元功能的适度混合，避免重大妨害功能的干扰。</w:t>
      </w:r>
    </w:p>
    <w:p>
      <w:pPr>
        <w:spacing w:before="48"/>
        <w:ind w:firstLine="640"/>
      </w:pPr>
      <w:r>
        <w:rPr>
          <w:rFonts w:hint="eastAsia"/>
        </w:rPr>
        <w:t>（2）综合服务区</w:t>
      </w:r>
    </w:p>
    <w:p>
      <w:pPr>
        <w:spacing w:before="48"/>
        <w:ind w:firstLine="640"/>
      </w:pPr>
      <w:r>
        <w:rPr>
          <w:rFonts w:hint="eastAsia"/>
        </w:rPr>
        <w:t>综合服务区面积约为21.32公顷，</w:t>
      </w:r>
      <w:r>
        <w:t>以提供行政办公、文化体育、教育、医疗等服务为主要功能导向的区域，</w:t>
      </w:r>
      <w:r>
        <w:rPr>
          <w:rFonts w:hint="eastAsia"/>
        </w:rPr>
        <w:t>主要为镇区北侧的医疗服务、中部的综合服务、西侧的文化服务、南侧的教育片区。</w:t>
      </w:r>
      <w:r>
        <w:t>强化文化、体育、商贸商务等功能的合理配置，建立创新服务平台，植入公共空间，提升公共活动中心空间覆盖。</w:t>
      </w:r>
    </w:p>
    <w:p>
      <w:pPr>
        <w:spacing w:before="48"/>
        <w:ind w:firstLine="640"/>
      </w:pPr>
      <w:r>
        <w:rPr>
          <w:rFonts w:hint="eastAsia"/>
        </w:rPr>
        <w:t>（3）商业商务区</w:t>
      </w:r>
    </w:p>
    <w:p>
      <w:pPr>
        <w:spacing w:before="48"/>
        <w:ind w:firstLine="640"/>
      </w:pPr>
      <w:r>
        <w:rPr>
          <w:rFonts w:hint="eastAsia"/>
        </w:rPr>
        <w:t>商业商务区面积约为8.13公顷，</w:t>
      </w:r>
      <w:r>
        <w:t>以商业商贸为主要功能，承载现代消费、休闲娱乐、金融服务等服务业态，</w:t>
      </w:r>
      <w:r>
        <w:rPr>
          <w:rFonts w:hint="eastAsia"/>
        </w:rPr>
        <w:t>综合服务功能应集约紧凑，满足服务等级、规模及类型要求。</w:t>
      </w:r>
    </w:p>
    <w:p>
      <w:pPr>
        <w:spacing w:before="48"/>
        <w:ind w:firstLine="640"/>
      </w:pPr>
      <w:r>
        <w:rPr>
          <w:rFonts w:hint="eastAsia"/>
        </w:rPr>
        <w:t>（4）物流仓储区</w:t>
      </w:r>
    </w:p>
    <w:p>
      <w:pPr>
        <w:spacing w:before="48"/>
        <w:ind w:firstLine="640"/>
      </w:pPr>
      <w:r>
        <w:rPr>
          <w:rFonts w:hint="eastAsia"/>
        </w:rPr>
        <w:t>物流仓储区面积约为9.13公顷，以仓储用地为主；物流仓储区应与周边其他功能区协调好安全防护关系，降低物流仓储功能对居住、公共环境等的干扰，保障镇区其他功能有序运行。</w:t>
      </w:r>
    </w:p>
    <w:p>
      <w:pPr>
        <w:spacing w:before="48"/>
        <w:ind w:firstLine="640"/>
      </w:pPr>
      <w:r>
        <w:rPr>
          <w:rFonts w:hint="eastAsia"/>
        </w:rPr>
        <w:t>（5）工业发展区</w:t>
      </w:r>
    </w:p>
    <w:p>
      <w:pPr>
        <w:spacing w:before="48"/>
        <w:ind w:firstLine="640"/>
      </w:pPr>
      <w:r>
        <w:rPr>
          <w:rFonts w:hint="eastAsia"/>
        </w:rPr>
        <w:t>工业发展区面积约为7.63公顷，可兼容少量商服用地、教育用地与机关团体用地。工业发展区应与周边其他功能区协调好安全防护关系，保障经济和生态的协调发展，以及镇区其他功能有序运行。</w:t>
      </w:r>
    </w:p>
    <w:p>
      <w:pPr>
        <w:ind w:firstLine="640"/>
      </w:pPr>
      <w:r>
        <w:rPr>
          <w:rFonts w:hint="eastAsia"/>
        </w:rPr>
        <w:t>2</w:t>
      </w:r>
      <w:r>
        <w:t>.规划分区管控</w:t>
      </w:r>
    </w:p>
    <w:p>
      <w:pPr>
        <w:spacing w:before="48"/>
        <w:ind w:firstLine="640"/>
      </w:pPr>
      <w:r>
        <w:rPr>
          <w:rFonts w:hint="eastAsia"/>
        </w:rPr>
        <w:t>功能区采用“用途准入</w:t>
      </w:r>
      <w:r>
        <w:t>+指标控制+原则指引”的方式进行管理，明确开发强度分区、各类用地的强度指标，如容积率、建筑密度等；提出用地兼容比例控制要求，鼓励用地功能混合使用，营造镇区的多样性；结合地方文化和特色，提出高度、风貌等空间形态控制要求。</w:t>
      </w:r>
    </w:p>
    <w:p>
      <w:pPr>
        <w:pStyle w:val="4"/>
        <w:spacing w:before="195" w:beforeLines="60" w:after="195" w:afterLines="60" w:line="240" w:lineRule="auto"/>
        <w:ind w:left="0"/>
      </w:pPr>
      <w:r>
        <w:rPr>
          <w:rFonts w:hint="eastAsia"/>
        </w:rPr>
        <w:t>用地布局</w:t>
      </w:r>
    </w:p>
    <w:p>
      <w:pPr>
        <w:spacing w:before="48"/>
        <w:ind w:firstLine="640"/>
      </w:pPr>
      <w:r>
        <w:rPr>
          <w:rFonts w:hint="eastAsia"/>
        </w:rPr>
        <w:t>优化镇区用地结构，完善用地功能布局。推进镇区空间高质量发展，科学配置公共资源，统筹安排镇区建设、产业发展、基础设施和公共服务，优化完善镇区功能。</w:t>
      </w:r>
    </w:p>
    <w:p>
      <w:pPr>
        <w:spacing w:before="48"/>
        <w:ind w:firstLine="640"/>
      </w:pPr>
      <w:r>
        <w:rPr>
          <w:rFonts w:hint="eastAsia"/>
        </w:rPr>
        <w:t>合理配置居住用地。统筹居住用地供给和人口发展，适度增加城镇居住用地供给。规划城镇住宅用地58.84公顷，人均居住用地面积为49.03平方米，占镇区建设用地面积的46.41%。</w:t>
      </w:r>
    </w:p>
    <w:p>
      <w:pPr>
        <w:spacing w:before="48"/>
        <w:ind w:firstLine="640"/>
      </w:pPr>
      <w:r>
        <w:rPr>
          <w:rFonts w:hint="eastAsia"/>
        </w:rPr>
        <w:t>统筹公共管理与服务设施用地。提升公共服务能力，促进公共资源相对集中布局，补充完善镇区公共服务设施。规划公共管理与服务设施用地15.62公顷，占镇区建设用地面积的12.33%。</w:t>
      </w:r>
    </w:p>
    <w:p>
      <w:pPr>
        <w:spacing w:before="48"/>
        <w:ind w:firstLine="640"/>
      </w:pPr>
      <w:r>
        <w:rPr>
          <w:rFonts w:hint="eastAsia"/>
        </w:rPr>
        <w:t>合理安排商业服务业用地。促进商业高品质发展，提升镇区活力。规划商业服务业用地9.83公顷，占镇区建设用地面积的7.76%。</w:t>
      </w:r>
    </w:p>
    <w:p>
      <w:pPr>
        <w:spacing w:before="48"/>
        <w:ind w:firstLine="640"/>
      </w:pPr>
      <w:r>
        <w:rPr>
          <w:rFonts w:hint="eastAsia"/>
        </w:rPr>
        <w:t>增加绿地与开敞空间。规划绿地与开敞空间用地7.97公顷，占镇区建设用地面积的6.29%。其中</w:t>
      </w:r>
      <w:r>
        <w:t>，</w:t>
      </w:r>
      <w:r>
        <w:rPr>
          <w:rFonts w:hint="eastAsia"/>
        </w:rPr>
        <w:t>公园绿地7.07公顷，人均</w:t>
      </w:r>
      <w:r>
        <w:t>公园绿地</w:t>
      </w:r>
      <w:r>
        <w:rPr>
          <w:rFonts w:hint="eastAsia"/>
        </w:rPr>
        <w:t>面积6.23平方米。</w:t>
      </w:r>
    </w:p>
    <w:p>
      <w:pPr>
        <w:spacing w:before="48"/>
        <w:ind w:firstLine="640"/>
      </w:pPr>
      <w:r>
        <w:rPr>
          <w:rFonts w:hint="eastAsia"/>
        </w:rPr>
        <w:t>规划物流仓储用地5.64公顷</w:t>
      </w:r>
      <w:r>
        <w:t>，</w:t>
      </w:r>
      <w:r>
        <w:rPr>
          <w:rFonts w:hint="eastAsia"/>
        </w:rPr>
        <w:t>占镇区建设用地面积的4.44%。</w:t>
      </w:r>
    </w:p>
    <w:p>
      <w:pPr>
        <w:spacing w:before="48"/>
        <w:ind w:firstLine="640"/>
      </w:pPr>
      <w:r>
        <w:rPr>
          <w:rFonts w:hint="eastAsia"/>
        </w:rPr>
        <w:t>规划交通运输用地1.09公顷</w:t>
      </w:r>
      <w:r>
        <w:t>，</w:t>
      </w:r>
      <w:r>
        <w:rPr>
          <w:rFonts w:hint="eastAsia"/>
        </w:rPr>
        <w:t>占镇区建设用地面积的0.86%。</w:t>
      </w:r>
    </w:p>
    <w:p>
      <w:pPr>
        <w:spacing w:before="48"/>
        <w:ind w:firstLine="640"/>
      </w:pPr>
      <w:r>
        <w:rPr>
          <w:rFonts w:hint="eastAsia"/>
        </w:rPr>
        <w:t>规划公用设施用地1.56公顷</w:t>
      </w:r>
      <w:r>
        <w:t>，</w:t>
      </w:r>
      <w:r>
        <w:rPr>
          <w:rFonts w:hint="eastAsia"/>
        </w:rPr>
        <w:t>占镇区建设用地面积的1.23%。</w:t>
      </w:r>
    </w:p>
    <w:p>
      <w:pPr>
        <w:pStyle w:val="3"/>
        <w:spacing w:before="326" w:beforeLines="100" w:after="326" w:afterLines="100"/>
      </w:pPr>
      <w:bookmarkStart w:id="126" w:name="_Toc175648324"/>
      <w:r>
        <w:t>公共服务设施</w:t>
      </w:r>
      <w:r>
        <w:rPr>
          <w:rFonts w:hint="eastAsia"/>
        </w:rPr>
        <w:t>规划</w:t>
      </w:r>
      <w:bookmarkEnd w:id="126"/>
    </w:p>
    <w:p>
      <w:pPr>
        <w:pStyle w:val="4"/>
        <w:spacing w:before="195" w:beforeLines="60" w:after="195" w:afterLines="60" w:line="240" w:lineRule="auto"/>
        <w:ind w:left="0"/>
      </w:pPr>
      <w:r>
        <w:t>公共管理与公共服务设施</w:t>
      </w:r>
    </w:p>
    <w:p>
      <w:pPr>
        <w:spacing w:before="48"/>
        <w:ind w:firstLine="640"/>
      </w:pPr>
      <w:r>
        <w:rPr>
          <w:rFonts w:hint="eastAsia"/>
          <w:lang w:bidi="ar"/>
        </w:rPr>
        <w:t>规划镇区公共服务设施用地规模为</w:t>
      </w:r>
      <w:r>
        <w:rPr>
          <w:lang w:bidi="ar"/>
        </w:rPr>
        <w:t>27.61公顷，占规划用地的9.31%</w:t>
      </w:r>
      <w:r>
        <w:rPr>
          <w:rFonts w:hint="eastAsia"/>
        </w:rPr>
        <w:t>。</w:t>
      </w:r>
    </w:p>
    <w:p>
      <w:pPr>
        <w:ind w:firstLine="640"/>
      </w:pPr>
      <w:r>
        <w:rPr>
          <w:rFonts w:hint="eastAsia"/>
        </w:rPr>
        <w:t>1</w:t>
      </w:r>
      <w:r>
        <w:t>.</w:t>
      </w:r>
      <w:r>
        <w:rPr>
          <w:rFonts w:hint="eastAsia"/>
        </w:rPr>
        <w:t>机关团体用地规划</w:t>
      </w:r>
    </w:p>
    <w:p>
      <w:pPr>
        <w:ind w:firstLine="640"/>
      </w:pPr>
      <w:r>
        <w:rPr>
          <w:rFonts w:hint="eastAsia"/>
          <w:lang w:bidi="ar"/>
        </w:rPr>
        <w:t>规划机关团体用地面积为</w:t>
      </w:r>
      <w:r>
        <w:rPr>
          <w:rFonts w:hint="eastAsia"/>
        </w:rPr>
        <w:t>2.51公顷，占</w:t>
      </w:r>
      <w:r>
        <w:rPr>
          <w:rFonts w:hint="eastAsia"/>
          <w:lang w:bidi="ar"/>
        </w:rPr>
        <w:t>镇区</w:t>
      </w:r>
      <w:r>
        <w:rPr>
          <w:lang w:bidi="ar"/>
        </w:rPr>
        <w:t>建设</w:t>
      </w:r>
      <w:r>
        <w:rPr>
          <w:rFonts w:hint="eastAsia"/>
          <w:lang w:bidi="ar"/>
        </w:rPr>
        <w:t>用地面积</w:t>
      </w:r>
      <w:r>
        <w:rPr>
          <w:rFonts w:hint="eastAsia"/>
        </w:rPr>
        <w:t>的1.98</w:t>
      </w:r>
      <w:r>
        <w:t>%</w:t>
      </w:r>
      <w:r>
        <w:rPr>
          <w:lang w:bidi="ar"/>
        </w:rPr>
        <w:t>，主要为</w:t>
      </w:r>
      <w:r>
        <w:rPr>
          <w:rFonts w:hint="eastAsia"/>
          <w:lang w:bidi="ar"/>
        </w:rPr>
        <w:t>灌涨</w:t>
      </w:r>
      <w:r>
        <w:rPr>
          <w:lang w:bidi="ar"/>
        </w:rPr>
        <w:t>镇</w:t>
      </w:r>
      <w:r>
        <w:rPr>
          <w:rFonts w:hint="eastAsia"/>
        </w:rPr>
        <w:t>政府、街北村委会、公安局、烟草局</w:t>
      </w:r>
      <w:r>
        <w:rPr>
          <w:lang w:bidi="ar"/>
        </w:rPr>
        <w:t>等</w:t>
      </w:r>
      <w:r>
        <w:rPr>
          <w:rFonts w:hint="eastAsia"/>
        </w:rPr>
        <w:t>。</w:t>
      </w:r>
    </w:p>
    <w:p>
      <w:pPr>
        <w:ind w:firstLine="640"/>
      </w:pPr>
      <w:r>
        <w:rPr>
          <w:rFonts w:hint="eastAsia"/>
        </w:rPr>
        <w:t>2</w:t>
      </w:r>
      <w:r>
        <w:t>.</w:t>
      </w:r>
      <w:r>
        <w:rPr>
          <w:rFonts w:hint="eastAsia"/>
        </w:rPr>
        <w:t>文化设施用地规划</w:t>
      </w:r>
    </w:p>
    <w:p>
      <w:pPr>
        <w:ind w:firstLine="640"/>
      </w:pPr>
      <w:r>
        <w:rPr>
          <w:rFonts w:hint="eastAsia"/>
          <w:lang w:bidi="ar"/>
        </w:rPr>
        <w:t>规划文化设施用地面积</w:t>
      </w:r>
      <w:r>
        <w:rPr>
          <w:rFonts w:hint="eastAsia"/>
        </w:rPr>
        <w:t>2.94公顷，占</w:t>
      </w:r>
      <w:r>
        <w:rPr>
          <w:rFonts w:hint="eastAsia"/>
          <w:lang w:bidi="ar"/>
        </w:rPr>
        <w:t>镇区</w:t>
      </w:r>
      <w:r>
        <w:rPr>
          <w:lang w:bidi="ar"/>
        </w:rPr>
        <w:t>建设</w:t>
      </w:r>
      <w:r>
        <w:rPr>
          <w:rFonts w:hint="eastAsia"/>
          <w:lang w:bidi="ar"/>
        </w:rPr>
        <w:t>用地面积</w:t>
      </w:r>
      <w:r>
        <w:rPr>
          <w:rFonts w:hint="eastAsia"/>
        </w:rPr>
        <w:t>的2.32</w:t>
      </w:r>
      <w:r>
        <w:t>%</w:t>
      </w:r>
      <w:r>
        <w:rPr>
          <w:rFonts w:hint="eastAsia"/>
        </w:rPr>
        <w:t>；在镇区东侧规划1处文化广场，可布置小型体育健身设施；在镇区东北处新增一处体育中心，用地面积为1.53公顷，占</w:t>
      </w:r>
      <w:r>
        <w:rPr>
          <w:rFonts w:hint="eastAsia"/>
          <w:lang w:bidi="ar"/>
        </w:rPr>
        <w:t>镇区</w:t>
      </w:r>
      <w:r>
        <w:rPr>
          <w:lang w:bidi="ar"/>
        </w:rPr>
        <w:t>建设</w:t>
      </w:r>
      <w:r>
        <w:rPr>
          <w:rFonts w:hint="eastAsia"/>
          <w:lang w:bidi="ar"/>
        </w:rPr>
        <w:t>用地面积</w:t>
      </w:r>
      <w:r>
        <w:rPr>
          <w:rFonts w:hint="eastAsia"/>
        </w:rPr>
        <w:t>的1.21%，满足全镇大型文化体育活动需求；人均文体设施用地面积为3.73平方米。</w:t>
      </w:r>
    </w:p>
    <w:p>
      <w:pPr>
        <w:ind w:firstLine="640"/>
      </w:pPr>
      <w:r>
        <w:rPr>
          <w:rFonts w:hint="eastAsia"/>
        </w:rPr>
        <w:t>结合社区布局社区级文化设施，配建</w:t>
      </w:r>
      <w:r>
        <w:t>2</w:t>
      </w:r>
      <w:r>
        <w:rPr>
          <w:rFonts w:hint="eastAsia"/>
        </w:rPr>
        <w:t>处社区级文化活动站。文化活动站依据相关标准配置图书阅览室、科技普法、教育培训等文化设施，并设置专门针对老人、儿童及青少年活动的文化设施。结合绿地建设小型体育设施，方便居民就近使用。</w:t>
      </w:r>
    </w:p>
    <w:p>
      <w:pPr>
        <w:ind w:firstLine="640"/>
      </w:pPr>
      <w:r>
        <w:rPr>
          <w:rFonts w:hint="eastAsia"/>
        </w:rPr>
        <w:t>3</w:t>
      </w:r>
      <w:r>
        <w:t>.</w:t>
      </w:r>
      <w:r>
        <w:rPr>
          <w:rFonts w:hint="eastAsia"/>
        </w:rPr>
        <w:t>教育用地规划</w:t>
      </w:r>
    </w:p>
    <w:p>
      <w:pPr>
        <w:ind w:firstLine="640"/>
      </w:pPr>
      <w:r>
        <w:rPr>
          <w:rFonts w:hint="eastAsia"/>
        </w:rPr>
        <w:t>规划教育用地主要为保留现状灌涨镇初级中学、中心小学、幼儿园及高中，满足镇区需求；用地面积为</w:t>
      </w:r>
      <w:r>
        <w:t>7.</w:t>
      </w:r>
      <w:r>
        <w:rPr>
          <w:rFonts w:hint="eastAsia"/>
        </w:rPr>
        <w:t>33公顷，占</w:t>
      </w:r>
      <w:r>
        <w:rPr>
          <w:rFonts w:hint="eastAsia"/>
          <w:lang w:bidi="ar"/>
        </w:rPr>
        <w:t>镇区</w:t>
      </w:r>
      <w:r>
        <w:rPr>
          <w:lang w:bidi="ar"/>
        </w:rPr>
        <w:t>建设</w:t>
      </w:r>
      <w:r>
        <w:rPr>
          <w:rFonts w:hint="eastAsia"/>
          <w:lang w:bidi="ar"/>
        </w:rPr>
        <w:t>用地面积</w:t>
      </w:r>
      <w:r>
        <w:rPr>
          <w:rFonts w:hint="eastAsia"/>
        </w:rPr>
        <w:t>的5.78</w:t>
      </w:r>
      <w:r>
        <w:t>%</w:t>
      </w:r>
      <w:r>
        <w:rPr>
          <w:rFonts w:hint="eastAsia"/>
        </w:rPr>
        <w:t>，人均教育用地面积6.11平方米。</w:t>
      </w:r>
    </w:p>
    <w:p>
      <w:pPr>
        <w:ind w:firstLine="640"/>
      </w:pPr>
      <w:r>
        <w:rPr>
          <w:rFonts w:hint="eastAsia"/>
        </w:rPr>
        <w:t>规划保留现状灌涨高中；规划保留灌涨镇初级中学，规模为</w:t>
      </w:r>
      <w:r>
        <w:t>25</w:t>
      </w:r>
      <w:r>
        <w:rPr>
          <w:rFonts w:hint="eastAsia"/>
        </w:rPr>
        <w:t>班，可以满足全镇居民的中学就学需求。规划保留现状1处中心小学，规模为</w:t>
      </w:r>
      <w:r>
        <w:t>24</w:t>
      </w:r>
      <w:r>
        <w:rPr>
          <w:rFonts w:hint="eastAsia"/>
        </w:rPr>
        <w:t>班，满足镇域居民镇区就学的需求。规划保留镇区一处幼儿园，规模为</w:t>
      </w:r>
      <w:r>
        <w:t>11</w:t>
      </w:r>
      <w:r>
        <w:rPr>
          <w:rFonts w:hint="eastAsia"/>
        </w:rPr>
        <w:t>班，满足镇区幼儿就学需求。</w:t>
      </w:r>
    </w:p>
    <w:p>
      <w:pPr>
        <w:ind w:firstLine="640"/>
      </w:pPr>
      <w:r>
        <w:rPr>
          <w:rFonts w:hint="eastAsia"/>
        </w:rPr>
        <w:t>4</w:t>
      </w:r>
      <w:r>
        <w:t>.</w:t>
      </w:r>
      <w:r>
        <w:rPr>
          <w:rFonts w:hint="eastAsia"/>
        </w:rPr>
        <w:t>医疗卫生用地规划</w:t>
      </w:r>
    </w:p>
    <w:p>
      <w:pPr>
        <w:ind w:firstLine="640"/>
      </w:pPr>
      <w:r>
        <w:rPr>
          <w:rFonts w:hint="eastAsia"/>
          <w:lang w:bidi="ar"/>
        </w:rPr>
        <w:t>规划医疗卫生用地面积</w:t>
      </w:r>
      <w:r>
        <w:rPr>
          <w:rFonts w:hint="eastAsia"/>
        </w:rPr>
        <w:t>0.83公顷，占</w:t>
      </w:r>
      <w:r>
        <w:rPr>
          <w:rFonts w:hint="eastAsia"/>
          <w:lang w:bidi="ar"/>
        </w:rPr>
        <w:t>镇区</w:t>
      </w:r>
      <w:r>
        <w:rPr>
          <w:lang w:bidi="ar"/>
        </w:rPr>
        <w:t>建设</w:t>
      </w:r>
      <w:r>
        <w:rPr>
          <w:rFonts w:hint="eastAsia"/>
          <w:lang w:bidi="ar"/>
        </w:rPr>
        <w:t>用地面积</w:t>
      </w:r>
      <w:r>
        <w:rPr>
          <w:rFonts w:hint="eastAsia"/>
        </w:rPr>
        <w:t>的</w:t>
      </w:r>
      <w:r>
        <w:t>0.</w:t>
      </w:r>
      <w:r>
        <w:rPr>
          <w:rFonts w:hint="eastAsia"/>
        </w:rPr>
        <w:t>66</w:t>
      </w:r>
      <w:r>
        <w:t>%</w:t>
      </w:r>
      <w:r>
        <w:rPr>
          <w:rFonts w:hint="eastAsia"/>
        </w:rPr>
        <w:t>，床位数为4</w:t>
      </w:r>
      <w:r>
        <w:t>0</w:t>
      </w:r>
      <w:r>
        <w:rPr>
          <w:rFonts w:hint="eastAsia"/>
        </w:rPr>
        <w:t>床，人均医疗卫生用地面积0.69平方米，以满足全镇人民的医疗需求</w:t>
      </w:r>
      <w:r>
        <w:rPr>
          <w:lang w:bidi="ar"/>
        </w:rPr>
        <w:t>。</w:t>
      </w:r>
    </w:p>
    <w:p>
      <w:pPr>
        <w:ind w:firstLine="640"/>
      </w:pPr>
      <w:r>
        <w:rPr>
          <w:rFonts w:hint="eastAsia"/>
        </w:rPr>
        <w:t>5</w:t>
      </w:r>
      <w:r>
        <w:t>.</w:t>
      </w:r>
      <w:r>
        <w:rPr>
          <w:rFonts w:hint="eastAsia"/>
        </w:rPr>
        <w:t>社会福利用地规划</w:t>
      </w:r>
    </w:p>
    <w:p>
      <w:pPr>
        <w:ind w:firstLine="640"/>
      </w:pPr>
      <w:r>
        <w:rPr>
          <w:rFonts w:hint="eastAsia"/>
        </w:rPr>
        <w:t>规划社会福利用地主要为镇区南侧新增1处中心敬老院，用地面积为0.49公顷，占</w:t>
      </w:r>
      <w:r>
        <w:rPr>
          <w:rFonts w:hint="eastAsia"/>
          <w:lang w:bidi="ar"/>
        </w:rPr>
        <w:t>镇区</w:t>
      </w:r>
      <w:r>
        <w:rPr>
          <w:lang w:bidi="ar"/>
        </w:rPr>
        <w:t>建设</w:t>
      </w:r>
      <w:r>
        <w:rPr>
          <w:rFonts w:hint="eastAsia"/>
          <w:lang w:bidi="ar"/>
        </w:rPr>
        <w:t>用地面积</w:t>
      </w:r>
      <w:r>
        <w:rPr>
          <w:rFonts w:hint="eastAsia"/>
        </w:rPr>
        <w:t>的0.38</w:t>
      </w:r>
      <w:r>
        <w:t>%</w:t>
      </w:r>
      <w:r>
        <w:rPr>
          <w:rFonts w:hint="eastAsia"/>
        </w:rPr>
        <w:t>，人均社会福利用地面积0.41平方米</w:t>
      </w:r>
      <w:r>
        <w:rPr>
          <w:rFonts w:hint="eastAsia"/>
          <w:lang w:bidi="ar"/>
        </w:rPr>
        <w:t>。</w:t>
      </w:r>
    </w:p>
    <w:p>
      <w:pPr>
        <w:pStyle w:val="3"/>
        <w:spacing w:before="326" w:beforeLines="100" w:after="326" w:afterLines="100"/>
      </w:pPr>
      <w:bookmarkStart w:id="127" w:name="_Toc175648325"/>
      <w:r>
        <w:rPr>
          <w:rFonts w:hint="eastAsia"/>
        </w:rPr>
        <w:t>住房建设与引导</w:t>
      </w:r>
      <w:bookmarkEnd w:id="127"/>
    </w:p>
    <w:p>
      <w:pPr>
        <w:pStyle w:val="4"/>
        <w:spacing w:before="195" w:beforeLines="60" w:after="195" w:afterLines="60" w:line="240" w:lineRule="auto"/>
        <w:ind w:left="0"/>
      </w:pPr>
      <w:bookmarkStart w:id="128" w:name="_Hlk142925025"/>
      <w:r>
        <w:rPr>
          <w:rFonts w:hint="eastAsia"/>
        </w:rPr>
        <w:t>居住用地规划</w:t>
      </w:r>
    </w:p>
    <w:bookmarkEnd w:id="128"/>
    <w:p>
      <w:pPr>
        <w:spacing w:before="163" w:beforeLines="50" w:after="163" w:afterLines="50"/>
        <w:ind w:firstLine="640"/>
      </w:pPr>
      <w:r>
        <w:rPr>
          <w:rFonts w:hint="eastAsia"/>
        </w:rPr>
        <w:t>规划至2</w:t>
      </w:r>
      <w:r>
        <w:t>035</w:t>
      </w:r>
      <w:r>
        <w:rPr>
          <w:rFonts w:hint="eastAsia"/>
        </w:rPr>
        <w:t>年，居住用地面积为58.85公顷，占镇区</w:t>
      </w:r>
      <w:r>
        <w:t>建设</w:t>
      </w:r>
      <w:r>
        <w:rPr>
          <w:rFonts w:hint="eastAsia"/>
        </w:rPr>
        <w:t>用地面积的46.41</w:t>
      </w:r>
      <w:r>
        <w:t>%</w:t>
      </w:r>
      <w:r>
        <w:rPr>
          <w:rFonts w:hint="eastAsia"/>
        </w:rPr>
        <w:t>，人均居住用地面积为49.03平方米。</w:t>
      </w:r>
    </w:p>
    <w:p>
      <w:pPr>
        <w:spacing w:before="48"/>
        <w:ind w:firstLine="640"/>
      </w:pPr>
      <w:r>
        <w:rPr>
          <w:rFonts w:hint="eastAsia"/>
        </w:rPr>
        <w:t>镇区居住用地主要集中在镇区东侧，可由府前路分为南北两个片区；每个居住片区由</w:t>
      </w:r>
      <w:r>
        <w:t>2</w:t>
      </w:r>
      <w:r>
        <w:rPr>
          <w:rFonts w:hint="eastAsia"/>
        </w:rPr>
        <w:t>个5分钟生活圈居住区组成，每个5分钟生活圈居住人口规模约为6000人左右。</w:t>
      </w:r>
    </w:p>
    <w:p>
      <w:pPr>
        <w:pStyle w:val="4"/>
        <w:spacing w:before="195" w:beforeLines="60" w:after="195" w:afterLines="60" w:line="240" w:lineRule="auto"/>
        <w:ind w:left="0"/>
      </w:pPr>
      <w:bookmarkStart w:id="129" w:name="_Hlk142925032"/>
      <w:r>
        <w:rPr>
          <w:rFonts w:hint="eastAsia"/>
        </w:rPr>
        <w:t>住房保障规划</w:t>
      </w:r>
    </w:p>
    <w:bookmarkEnd w:id="129"/>
    <w:p>
      <w:pPr>
        <w:spacing w:before="48"/>
        <w:ind w:firstLine="640"/>
      </w:pPr>
      <w:r>
        <w:rPr>
          <w:rFonts w:hint="eastAsia"/>
        </w:rPr>
        <w:t>住宅建设规划宜采取保留、更新改造、拆迁置换和新区建设等多种方式。规划保留镇区内现有的建筑质量较高、居住环境较好、配套服务设施齐全、规划布局较为合理的居住用地；对镇区中村庄用地采取逐步更新改造方式；对部分建筑质量较差、配套设施缺乏、环境恶劣、且与其他用地混杂布局的住宅，可根据实际建设需要，拆迁置换为其他城镇用地，如可开发为公共绿地。</w:t>
      </w:r>
    </w:p>
    <w:p>
      <w:pPr>
        <w:pStyle w:val="3"/>
        <w:spacing w:before="326" w:beforeLines="100" w:after="326" w:afterLines="100"/>
      </w:pPr>
      <w:bookmarkStart w:id="130" w:name="_Toc175648326"/>
      <w:r>
        <w:rPr>
          <w:rFonts w:hint="eastAsia"/>
        </w:rPr>
        <w:t>空间形态与风貌管控</w:t>
      </w:r>
      <w:bookmarkEnd w:id="130"/>
    </w:p>
    <w:p>
      <w:pPr>
        <w:pStyle w:val="4"/>
        <w:spacing w:before="195" w:beforeLines="60" w:after="195" w:afterLines="60" w:line="240" w:lineRule="auto"/>
        <w:ind w:left="0"/>
      </w:pPr>
      <w:r>
        <w:t>空间风貌结构</w:t>
      </w:r>
    </w:p>
    <w:p>
      <w:pPr>
        <w:spacing w:before="48"/>
        <w:ind w:firstLine="640"/>
      </w:pPr>
      <w:r>
        <w:rPr>
          <w:rFonts w:hint="eastAsia"/>
        </w:rPr>
        <w:t>基于灌涨镇滨河的现状，结合镇区内部景观架构，构建符合自然山水特征与发展需要的城镇总体空间形态与格局，确定灌涨镇镇区空间形态框架为“</w:t>
      </w:r>
      <w:bookmarkStart w:id="131" w:name="_Hlk200655380"/>
      <w:r>
        <w:rPr>
          <w:rFonts w:hint="eastAsia"/>
        </w:rPr>
        <w:t>两轴一带两心三区</w:t>
      </w:r>
      <w:bookmarkEnd w:id="131"/>
      <w:r>
        <w:rPr>
          <w:rFonts w:hint="eastAsia"/>
        </w:rPr>
        <w:t>”</w:t>
      </w:r>
    </w:p>
    <w:p>
      <w:pPr>
        <w:spacing w:before="163" w:beforeLines="50" w:after="163" w:afterLines="50"/>
        <w:ind w:firstLine="640"/>
      </w:pPr>
      <w:bookmarkStart w:id="132" w:name="_Hlk200655408"/>
      <w:r>
        <w:rPr>
          <w:rFonts w:hint="eastAsia"/>
        </w:rPr>
        <w:t>“两轴”为依托府前路形成的现代城镇风貌轴、依托灌二路形成的文化景观风貌轴。</w:t>
      </w:r>
    </w:p>
    <w:p>
      <w:pPr>
        <w:spacing w:before="163" w:beforeLines="50" w:after="163" w:afterLines="50"/>
        <w:ind w:firstLine="640"/>
      </w:pPr>
      <w:r>
        <w:rPr>
          <w:rFonts w:hint="eastAsia"/>
        </w:rPr>
        <w:t>“一带”为沿东侧河流形成的滨河景观带。</w:t>
      </w:r>
    </w:p>
    <w:p>
      <w:pPr>
        <w:spacing w:before="163" w:beforeLines="50" w:after="163" w:afterLines="50"/>
        <w:ind w:firstLine="640"/>
      </w:pPr>
      <w:r>
        <w:rPr>
          <w:rFonts w:hint="eastAsia"/>
        </w:rPr>
        <w:t>“两心”指以府前路和灌二路交叉口、镇区东侧开敞空间形成的城镇特色中心。</w:t>
      </w:r>
    </w:p>
    <w:p>
      <w:pPr>
        <w:spacing w:before="48"/>
        <w:ind w:firstLine="640"/>
      </w:pPr>
      <w:r>
        <w:rPr>
          <w:rFonts w:hint="eastAsia"/>
        </w:rPr>
        <w:t>“三区”是依据镇区特色划分的产业新城风貌区、宜居智城风貌区和产城形象风貌区</w:t>
      </w:r>
      <w:bookmarkEnd w:id="132"/>
      <w:r>
        <w:rPr>
          <w:rFonts w:hint="eastAsia"/>
        </w:rPr>
        <w:t>。</w:t>
      </w:r>
    </w:p>
    <w:p>
      <w:pPr>
        <w:pStyle w:val="4"/>
        <w:spacing w:before="195" w:beforeLines="60" w:after="195" w:afterLines="60" w:line="240" w:lineRule="auto"/>
        <w:ind w:left="0"/>
      </w:pPr>
      <w:r>
        <w:rPr>
          <w:rFonts w:hint="eastAsia"/>
        </w:rPr>
        <w:t>开发强度和高度分区</w:t>
      </w:r>
    </w:p>
    <w:p>
      <w:pPr>
        <w:spacing w:before="48"/>
        <w:ind w:firstLine="640"/>
      </w:pPr>
      <w:r>
        <w:rPr>
          <w:rFonts w:hint="eastAsia"/>
        </w:rPr>
        <w:t>镇区建设用地开发强度按三级控制，实行差异化的土地开发强度管制。一级强度区容积率控制为小于</w:t>
      </w:r>
      <w:r>
        <w:t>1.0，主要为仓储用地和工业用地；二级强度区容积率控制为1.0-1.5，主要为居住用地；三级强度区容积率控制为1.5-2.0，主要为商业用地。</w:t>
      </w:r>
    </w:p>
    <w:p>
      <w:pPr>
        <w:spacing w:before="48"/>
        <w:ind w:firstLine="640"/>
      </w:pPr>
      <w:r>
        <w:rPr>
          <w:rFonts w:hint="eastAsia"/>
        </w:rPr>
        <w:t>一级高度区建筑控制为不大于</w:t>
      </w:r>
      <w:r>
        <w:t>3层，高度不大于12米；二级级高度区建筑控制为不大于4层，高度不大于16米；三级高度区建筑控制为不大于6层，高度不大于24米。</w:t>
      </w:r>
    </w:p>
    <w:p>
      <w:pPr>
        <w:pStyle w:val="4"/>
        <w:spacing w:before="195" w:beforeLines="60" w:after="195" w:afterLines="60" w:line="240" w:lineRule="auto"/>
        <w:ind w:left="0"/>
      </w:pPr>
      <w:r>
        <w:rPr>
          <w:rFonts w:hint="eastAsia"/>
        </w:rPr>
        <w:t>风貌管控</w:t>
      </w:r>
    </w:p>
    <w:p>
      <w:pPr>
        <w:spacing w:before="48"/>
        <w:ind w:firstLine="640"/>
      </w:pPr>
      <w:r>
        <w:rPr>
          <w:rFonts w:hint="eastAsia"/>
        </w:rPr>
        <w:t>线性风貌管控：重点对府前路、灌二路和灌罗路沿线和滨河沿线进行控制。沿道路主要控制道路两旁的绿化与公共空间，形成连续的视觉空间，加强与次级空间轴线、节点、绿化廊道的渗透、延展和联系，形成网络状的功能和慢行空间，强化行人街道空间和步行体验，强化城市空间的层次性、多样性和可达性；滨河风貌管控地带建筑不宜过高，控制滨水建筑形式，处理好建筑与水体之间的关系，保证滨水沿岸的天际线优美连续，留足水体边界的公共空间。</w:t>
      </w:r>
    </w:p>
    <w:p>
      <w:pPr>
        <w:spacing w:before="163" w:beforeLines="50" w:after="163" w:afterLines="50"/>
        <w:ind w:firstLine="640"/>
      </w:pPr>
      <w:r>
        <w:rPr>
          <w:rFonts w:hint="eastAsia"/>
        </w:rPr>
        <w:t>片区风貌管控：重点对南部综合服务片区和北侧生活片区进行管控。南部综合服务片区指以镇政府为中心形成的公共服务设施集中的地区，片区</w:t>
      </w:r>
      <w:r>
        <w:rPr>
          <w:rFonts w:hint="eastAsia"/>
          <w:lang w:val="zh-CN"/>
        </w:rPr>
        <w:t>应营造舒朗大气、积极明快的氛围，</w:t>
      </w:r>
      <w:r>
        <w:rPr>
          <w:rFonts w:hint="eastAsia"/>
        </w:rPr>
        <w:t>展示灌涨形象</w:t>
      </w:r>
      <w:r>
        <w:rPr>
          <w:rFonts w:hint="eastAsia"/>
          <w:lang w:val="zh-CN"/>
        </w:rPr>
        <w:t>；</w:t>
      </w:r>
      <w:r>
        <w:rPr>
          <w:rFonts w:hint="eastAsia"/>
        </w:rPr>
        <w:t>北侧生活片区指生活小区、生活小区配套的绿地、广场等地区，该片区应通过绿地绿化、景观小品、建构筑物等打造为宜居智城风貌。</w:t>
      </w:r>
    </w:p>
    <w:p>
      <w:pPr>
        <w:pStyle w:val="3"/>
        <w:spacing w:before="326" w:beforeLines="100" w:after="326" w:afterLines="100"/>
      </w:pPr>
      <w:bookmarkStart w:id="133" w:name="_Toc175648327"/>
      <w:r>
        <w:rPr>
          <w:rFonts w:hint="eastAsia"/>
        </w:rPr>
        <w:t>道路交通系统规划</w:t>
      </w:r>
      <w:bookmarkEnd w:id="133"/>
    </w:p>
    <w:p>
      <w:pPr>
        <w:pStyle w:val="4"/>
        <w:spacing w:before="195" w:beforeLines="60" w:after="195" w:afterLines="60" w:line="240" w:lineRule="auto"/>
        <w:ind w:left="0"/>
      </w:pPr>
      <w:r>
        <w:rPr>
          <w:rFonts w:hint="eastAsia"/>
        </w:rPr>
        <w:t>规划目标</w:t>
      </w:r>
    </w:p>
    <w:p>
      <w:pPr>
        <w:spacing w:before="48"/>
        <w:ind w:firstLine="640"/>
      </w:pPr>
      <w:r>
        <w:rPr>
          <w:rFonts w:hint="eastAsia"/>
        </w:rPr>
        <w:t>形成高效通畅的交通网络体系；保障过境公路畅通，提高镇区道路网密度，注重与对外交通的联系和衔接。构建以慢行为主的绿色出行结构；构建尺度宜人、安全连续的慢行网络，</w:t>
      </w:r>
      <w:r>
        <w:rPr>
          <w:rFonts w:hint="eastAsia"/>
          <w:lang w:val="zh-CN"/>
        </w:rPr>
        <w:t>至2035年，道路密度不小于</w:t>
      </w:r>
      <w:r>
        <w:rPr>
          <w:lang w:val="zh-CN"/>
        </w:rPr>
        <w:t>8</w:t>
      </w:r>
      <w:r>
        <w:rPr>
          <w:rFonts w:hint="eastAsia"/>
          <w:lang w:val="zh-CN"/>
        </w:rPr>
        <w:t>千米/平方千米</w:t>
      </w:r>
      <w:r>
        <w:rPr>
          <w:rFonts w:hint="eastAsia"/>
        </w:rPr>
        <w:t>。</w:t>
      </w:r>
    </w:p>
    <w:p>
      <w:pPr>
        <w:pStyle w:val="4"/>
        <w:spacing w:before="195" w:beforeLines="60" w:after="195" w:afterLines="60" w:line="240" w:lineRule="auto"/>
        <w:ind w:left="0"/>
      </w:pPr>
      <w:r>
        <w:rPr>
          <w:rFonts w:hint="eastAsia"/>
        </w:rPr>
        <w:t>对外交通系统</w:t>
      </w:r>
    </w:p>
    <w:p>
      <w:pPr>
        <w:spacing w:before="163" w:beforeLines="50" w:after="163" w:afterLines="50"/>
        <w:ind w:firstLine="640"/>
      </w:pPr>
      <w:r>
        <w:rPr>
          <w:rFonts w:hint="eastAsia"/>
        </w:rPr>
        <w:t>强化镇区内外交通衔接，搭建高效便捷的内外道路转换体系。保留镇区中部南北向灌二路和东西向府前路，规划双向2车道，红线宽度控制为</w:t>
      </w:r>
      <w:r>
        <w:t>20</w:t>
      </w:r>
      <w:r>
        <w:rPr>
          <w:rFonts w:hint="eastAsia"/>
        </w:rPr>
        <w:t>米。</w:t>
      </w:r>
    </w:p>
    <w:p>
      <w:pPr>
        <w:spacing w:before="48"/>
        <w:ind w:firstLine="640"/>
      </w:pPr>
      <w:r>
        <w:rPr>
          <w:rFonts w:hint="eastAsia"/>
        </w:rPr>
        <w:t>强化镇区主干路与S330、G312的衔接，并尽量减少镇区低等级道路与过境道路的交叉口数量，以保证交通安全、美化道路景观，提高镇区的环境质量</w:t>
      </w:r>
      <w:r>
        <w:t>。</w:t>
      </w:r>
    </w:p>
    <w:p>
      <w:pPr>
        <w:pStyle w:val="4"/>
        <w:spacing w:before="195" w:beforeLines="60" w:after="195" w:afterLines="60" w:line="240" w:lineRule="auto"/>
        <w:ind w:left="0"/>
      </w:pPr>
      <w:r>
        <w:rPr>
          <w:rFonts w:hint="eastAsia"/>
        </w:rPr>
        <w:t>道路交通系统</w:t>
      </w:r>
    </w:p>
    <w:p>
      <w:pPr>
        <w:spacing w:before="163" w:beforeLines="50" w:after="163" w:afterLines="50"/>
        <w:ind w:firstLine="640"/>
      </w:pPr>
      <w:r>
        <w:rPr>
          <w:rFonts w:hint="eastAsia"/>
        </w:rPr>
        <w:t>镇区内采用“主干路、次干路、支路”体系，构建“两横两纵”的主要交通通道；加强次干路与支路建设，形成畅通高效的干线道路与集散道路体系。道路线型结合现有的道路基础，最大限度降低建设成本；提高路网密度，推行“小街区、密路网”模式；结合社区生活圈模式，构建功能完善、级配结构合理的城镇道路网系统。</w:t>
      </w:r>
    </w:p>
    <w:p>
      <w:pPr>
        <w:spacing w:before="163" w:beforeLines="50" w:after="163" w:afterLines="50"/>
        <w:ind w:firstLine="640"/>
      </w:pPr>
      <w:r>
        <w:rPr>
          <w:rFonts w:hint="eastAsia"/>
        </w:rPr>
        <w:t>主干路：红线宽度为1</w:t>
      </w:r>
      <w:r>
        <w:t>6-20</w:t>
      </w:r>
      <w:r>
        <w:rPr>
          <w:rFonts w:hint="eastAsia"/>
        </w:rPr>
        <w:t>米。</w:t>
      </w:r>
    </w:p>
    <w:p>
      <w:pPr>
        <w:spacing w:before="163" w:beforeLines="50" w:after="163" w:afterLines="50"/>
        <w:ind w:firstLine="640"/>
      </w:pPr>
      <w:r>
        <w:rPr>
          <w:rFonts w:hint="eastAsia"/>
        </w:rPr>
        <w:t>次干路：红线宽度为1</w:t>
      </w:r>
      <w:r>
        <w:t>2</w:t>
      </w:r>
      <w:r>
        <w:rPr>
          <w:rFonts w:hint="eastAsia"/>
        </w:rPr>
        <w:t>米。</w:t>
      </w:r>
    </w:p>
    <w:p>
      <w:pPr>
        <w:spacing w:before="48"/>
        <w:ind w:firstLine="640"/>
      </w:pPr>
      <w:r>
        <w:rPr>
          <w:rFonts w:hint="eastAsia"/>
        </w:rPr>
        <w:t>支路：红线宽度为</w:t>
      </w:r>
      <w:r>
        <w:t>5-8</w:t>
      </w:r>
      <w:r>
        <w:rPr>
          <w:rFonts w:hint="eastAsia"/>
        </w:rPr>
        <w:t>米</w:t>
      </w:r>
      <w:r>
        <w:t>。</w:t>
      </w:r>
    </w:p>
    <w:p>
      <w:pPr>
        <w:pStyle w:val="4"/>
        <w:spacing w:before="195" w:beforeLines="60" w:after="195" w:afterLines="60" w:line="240" w:lineRule="auto"/>
        <w:ind w:left="0"/>
      </w:pPr>
      <w:r>
        <w:rPr>
          <w:rFonts w:hint="eastAsia"/>
        </w:rPr>
        <w:t>公共交通规划</w:t>
      </w:r>
    </w:p>
    <w:p>
      <w:pPr>
        <w:ind w:firstLine="640"/>
      </w:pPr>
      <w:r>
        <w:rPr>
          <w:rFonts w:hint="eastAsia"/>
        </w:rPr>
        <w:t>1</w:t>
      </w:r>
      <w:r>
        <w:t>.公共交通场站</w:t>
      </w:r>
    </w:p>
    <w:p>
      <w:pPr>
        <w:ind w:firstLine="640"/>
      </w:pPr>
      <w:r>
        <w:rPr>
          <w:rFonts w:hint="eastAsia"/>
        </w:rPr>
        <w:t>规划保留现状交通运输场站，并在扩大至用地面积0</w:t>
      </w:r>
      <w:r>
        <w:t>.</w:t>
      </w:r>
      <w:r>
        <w:rPr>
          <w:rFonts w:hint="eastAsia"/>
        </w:rPr>
        <w:t>42公顷，为城乡公交客运站</w:t>
      </w:r>
      <w:r>
        <w:t>。</w:t>
      </w:r>
    </w:p>
    <w:p>
      <w:pPr>
        <w:ind w:firstLine="640"/>
      </w:pPr>
      <w:r>
        <w:rPr>
          <w:rFonts w:hint="eastAsia"/>
        </w:rPr>
        <w:t>2</w:t>
      </w:r>
      <w:r>
        <w:t>.公交站点</w:t>
      </w:r>
    </w:p>
    <w:p>
      <w:pPr>
        <w:ind w:firstLine="640"/>
      </w:pPr>
      <w:r>
        <w:rPr>
          <w:rFonts w:hint="eastAsia"/>
        </w:rPr>
        <w:t>保留现状府前路上多处城乡公交站点，保障居民公共出行便利。</w:t>
      </w:r>
    </w:p>
    <w:p>
      <w:pPr>
        <w:pStyle w:val="4"/>
        <w:spacing w:before="195" w:beforeLines="60" w:after="195" w:afterLines="60" w:line="240" w:lineRule="auto"/>
        <w:ind w:left="0"/>
      </w:pPr>
      <w:r>
        <w:rPr>
          <w:rFonts w:hint="eastAsia"/>
        </w:rPr>
        <w:t>停车设施规划</w:t>
      </w:r>
    </w:p>
    <w:p>
      <w:pPr>
        <w:spacing w:before="48"/>
        <w:ind w:firstLine="640"/>
      </w:pPr>
      <w:r>
        <w:rPr>
          <w:rFonts w:hint="eastAsia"/>
        </w:rPr>
        <w:t>在镇区中部结合居住环境和商业设施规划两处社会停车场，面积共0</w:t>
      </w:r>
      <w:r>
        <w:t>.</w:t>
      </w:r>
      <w:r>
        <w:rPr>
          <w:rFonts w:hint="eastAsia"/>
        </w:rPr>
        <w:t>85公顷。</w:t>
      </w:r>
    </w:p>
    <w:p>
      <w:pPr>
        <w:pStyle w:val="4"/>
        <w:spacing w:before="195" w:beforeLines="60" w:after="195" w:afterLines="60" w:line="240" w:lineRule="auto"/>
        <w:ind w:left="0"/>
      </w:pPr>
      <w:r>
        <w:rPr>
          <w:rFonts w:hint="eastAsia"/>
        </w:rPr>
        <w:t>慢行系统规划</w:t>
      </w:r>
    </w:p>
    <w:p>
      <w:pPr>
        <w:spacing w:before="48"/>
        <w:ind w:firstLine="640"/>
      </w:pPr>
      <w:r>
        <w:rPr>
          <w:rFonts w:hint="eastAsia"/>
        </w:rPr>
        <w:t>推进绿道系统建设，打造以镇区次干路为骨架、支路为补充的两级慢行绿道系统，加强滨河绿地建设，构建安全连续的慢行系统。各次干路串联镇区休闲绿地，并沿次干路两侧打造休闲绿道；各支路深入至居住组团，便捷联通小游园、街头绿地；结合党建文化广场、滨河公园绿地等设置慢性游憩公园。</w:t>
      </w:r>
    </w:p>
    <w:p>
      <w:pPr>
        <w:spacing w:before="48"/>
        <w:ind w:firstLine="640"/>
      </w:pPr>
      <w:r>
        <w:rPr>
          <w:rFonts w:hint="eastAsia"/>
        </w:rPr>
        <w:t>城乡公交站点与慢行系统结合设置，建设便于居民使用的慢行体系。</w:t>
      </w:r>
    </w:p>
    <w:p>
      <w:pPr>
        <w:pStyle w:val="3"/>
        <w:spacing w:before="326" w:beforeLines="100" w:after="326" w:afterLines="100"/>
      </w:pPr>
      <w:bookmarkStart w:id="134" w:name="_Toc129799057"/>
      <w:bookmarkStart w:id="135" w:name="_Toc175648328"/>
      <w:r>
        <w:rPr>
          <w:rFonts w:hint="eastAsia"/>
        </w:rPr>
        <w:t>基础设施</w:t>
      </w:r>
      <w:bookmarkEnd w:id="134"/>
      <w:r>
        <w:rPr>
          <w:rFonts w:hint="eastAsia"/>
        </w:rPr>
        <w:t>规划</w:t>
      </w:r>
      <w:bookmarkEnd w:id="135"/>
    </w:p>
    <w:p>
      <w:pPr>
        <w:pStyle w:val="4"/>
        <w:spacing w:before="195" w:beforeLines="60" w:after="195" w:afterLines="60" w:line="240" w:lineRule="auto"/>
        <w:ind w:left="0"/>
      </w:pPr>
      <w:r>
        <w:rPr>
          <w:rFonts w:hint="eastAsia"/>
        </w:rPr>
        <w:t>给水工程规划</w:t>
      </w:r>
    </w:p>
    <w:p>
      <w:pPr>
        <w:ind w:firstLine="640"/>
      </w:pPr>
      <w:r>
        <w:rPr>
          <w:rFonts w:hint="eastAsia"/>
        </w:rPr>
        <w:t>1</w:t>
      </w:r>
      <w:r>
        <w:t>.</w:t>
      </w:r>
      <w:r>
        <w:rPr>
          <w:rFonts w:hint="eastAsia"/>
        </w:rPr>
        <w:t>用水量预测</w:t>
      </w:r>
    </w:p>
    <w:p>
      <w:pPr>
        <w:ind w:firstLine="640"/>
      </w:pPr>
      <w:r>
        <w:rPr>
          <w:rFonts w:hint="eastAsia"/>
        </w:rPr>
        <w:t>规划范围最高日用水量约为</w:t>
      </w:r>
      <w:r>
        <w:t>3032立方米/日</w:t>
      </w:r>
      <w:r>
        <w:rPr>
          <w:rFonts w:hint="eastAsia"/>
        </w:rPr>
        <w:t>。</w:t>
      </w:r>
    </w:p>
    <w:p>
      <w:pPr>
        <w:ind w:firstLine="640"/>
      </w:pPr>
      <w:r>
        <w:rPr>
          <w:rFonts w:hint="eastAsia"/>
        </w:rPr>
        <w:t>2</w:t>
      </w:r>
      <w:r>
        <w:t>.</w:t>
      </w:r>
      <w:r>
        <w:rPr>
          <w:rFonts w:hint="eastAsia"/>
        </w:rPr>
        <w:t>水厂规划</w:t>
      </w:r>
    </w:p>
    <w:p>
      <w:pPr>
        <w:ind w:firstLine="640"/>
      </w:pPr>
      <w:r>
        <w:rPr>
          <w:rFonts w:hint="eastAsia"/>
        </w:rPr>
        <w:t>规划扩建灌涨水厂，规模至</w:t>
      </w:r>
      <w:r>
        <w:t>3500立方米/日，水源采用中深层地下水</w:t>
      </w:r>
      <w:r>
        <w:rPr>
          <w:rFonts w:hint="eastAsia"/>
        </w:rPr>
        <w:t>。</w:t>
      </w:r>
    </w:p>
    <w:p>
      <w:pPr>
        <w:ind w:firstLine="640"/>
      </w:pPr>
      <w:r>
        <w:rPr>
          <w:rFonts w:hint="eastAsia"/>
        </w:rPr>
        <w:t>3</w:t>
      </w:r>
      <w:r>
        <w:t>.</w:t>
      </w:r>
      <w:r>
        <w:rPr>
          <w:rFonts w:hint="eastAsia"/>
        </w:rPr>
        <w:t>供水管网规划</w:t>
      </w:r>
    </w:p>
    <w:p>
      <w:pPr>
        <w:ind w:firstLine="640"/>
      </w:pPr>
      <w:r>
        <w:rPr>
          <w:bCs/>
        </w:rPr>
        <w:t>规划由内乡县城区敷设DN300给水管网至灌涨镇区，与灌涨镇现</w:t>
      </w:r>
      <w:r>
        <w:rPr>
          <w:rFonts w:hint="eastAsia"/>
          <w:bCs/>
        </w:rPr>
        <w:t>状</w:t>
      </w:r>
      <w:r>
        <w:rPr>
          <w:bCs/>
        </w:rPr>
        <w:t>给水管网接通。规划保留府前路、和平路现状DN200给水管，沿</w:t>
      </w:r>
      <w:r>
        <w:rPr>
          <w:rFonts w:hint="eastAsia"/>
          <w:bCs/>
        </w:rPr>
        <w:t>灌二路</w:t>
      </w:r>
      <w:r>
        <w:rPr>
          <w:bCs/>
        </w:rPr>
        <w:t>敷设DN200给水管；沿</w:t>
      </w:r>
      <w:r>
        <w:rPr>
          <w:rFonts w:hint="eastAsia"/>
          <w:bCs/>
        </w:rPr>
        <w:t>朝阳街</w:t>
      </w:r>
      <w:r>
        <w:rPr>
          <w:bCs/>
        </w:rPr>
        <w:t>、兴华路、启明路、文化路、曾家河路等道路敷设DN150给水管。规划给水管与相交道路给水管相接，形成安全可靠的环状供水系统</w:t>
      </w:r>
      <w:r>
        <w:rPr>
          <w:rFonts w:hint="eastAsia"/>
          <w:bCs/>
        </w:rPr>
        <w:t>。</w:t>
      </w:r>
    </w:p>
    <w:p>
      <w:pPr>
        <w:pStyle w:val="4"/>
        <w:spacing w:before="195" w:beforeLines="60" w:after="195" w:afterLines="60" w:line="240" w:lineRule="auto"/>
        <w:ind w:left="0"/>
      </w:pPr>
      <w:r>
        <w:rPr>
          <w:rFonts w:hint="eastAsia"/>
        </w:rPr>
        <w:t>排水工程规划</w:t>
      </w:r>
    </w:p>
    <w:p>
      <w:pPr>
        <w:ind w:firstLine="640"/>
      </w:pPr>
      <w:r>
        <w:rPr>
          <w:rFonts w:hint="eastAsia"/>
        </w:rPr>
        <w:t>1</w:t>
      </w:r>
      <w:r>
        <w:t>.</w:t>
      </w:r>
      <w:r>
        <w:rPr>
          <w:rFonts w:hint="eastAsia"/>
        </w:rPr>
        <w:t>污水工程</w:t>
      </w:r>
    </w:p>
    <w:p>
      <w:pPr>
        <w:ind w:firstLine="640"/>
        <w:rPr>
          <w:bCs/>
        </w:rPr>
      </w:pPr>
      <w:r>
        <w:rPr>
          <w:rFonts w:hint="eastAsia"/>
          <w:bCs/>
        </w:rPr>
        <w:t>规划镇区实行雨污分流制排水系统。</w:t>
      </w:r>
    </w:p>
    <w:p>
      <w:pPr>
        <w:ind w:firstLine="640"/>
      </w:pPr>
      <w:r>
        <w:rPr>
          <w:rFonts w:hint="eastAsia"/>
        </w:rPr>
        <w:t>预测镇区</w:t>
      </w:r>
      <w:r>
        <w:rPr>
          <w:rFonts w:hint="eastAsia" w:ascii="Times New Roman" w:hAnsi="Times New Roman"/>
          <w:lang w:bidi="ar"/>
        </w:rPr>
        <w:t>平均日污水量为</w:t>
      </w:r>
      <w:r>
        <w:rPr>
          <w:rFonts w:ascii="Times New Roman" w:hAnsi="Times New Roman"/>
          <w:lang w:bidi="ar"/>
        </w:rPr>
        <w:t>1539立方米/日</w:t>
      </w:r>
      <w:r>
        <w:rPr>
          <w:rFonts w:hint="eastAsia"/>
        </w:rPr>
        <w:t>。</w:t>
      </w:r>
    </w:p>
    <w:p>
      <w:pPr>
        <w:ind w:firstLine="640"/>
      </w:pPr>
      <w:r>
        <w:rPr>
          <w:bCs/>
        </w:rPr>
        <w:t>规划沿朝阳路、兴华路、府前路、启明路、开元路敷设d300~d400污水管，接入下游</w:t>
      </w:r>
      <w:r>
        <w:rPr>
          <w:rFonts w:hint="eastAsia"/>
          <w:bCs/>
        </w:rPr>
        <w:t>和平</w:t>
      </w:r>
      <w:r>
        <w:rPr>
          <w:bCs/>
        </w:rPr>
        <w:t>路、文化路d400~d500污水管，污水向南排入灌涨污水处理厂</w:t>
      </w:r>
      <w:r>
        <w:t>。</w:t>
      </w:r>
      <w:r>
        <w:rPr>
          <w:rFonts w:hint="eastAsia"/>
        </w:rPr>
        <w:t>污水处理厂规模为</w:t>
      </w:r>
      <w:r>
        <w:t>2500日；污水处理厂出水水质要求达到《城镇污水处理厂污染物排放标准》（GB 18918-2002）中规定的一级A标准，处理达标后排入河流</w:t>
      </w:r>
      <w:r>
        <w:rPr>
          <w:rFonts w:hint="eastAsia"/>
        </w:rPr>
        <w:t>。</w:t>
      </w:r>
    </w:p>
    <w:p>
      <w:pPr>
        <w:ind w:firstLine="640"/>
      </w:pPr>
      <w:r>
        <w:rPr>
          <w:rFonts w:hint="eastAsia"/>
        </w:rPr>
        <w:t>2</w:t>
      </w:r>
      <w:r>
        <w:t>.</w:t>
      </w:r>
      <w:r>
        <w:rPr>
          <w:rFonts w:hint="eastAsia"/>
        </w:rPr>
        <w:t>雨水工程</w:t>
      </w:r>
    </w:p>
    <w:p>
      <w:pPr>
        <w:ind w:firstLine="640"/>
      </w:pPr>
      <w:r>
        <w:rPr>
          <w:rFonts w:hint="eastAsia"/>
        </w:rPr>
        <w:t>镇区雨水管渠设计重现期为2～3年；镇区的重要地区如行政中心、学校、医院、商业聚集区等雨水管渠设计重现期为3～5年；镇区的地下通道和下沉式广场等雨水管渠设计重现期为10～20年</w:t>
      </w:r>
      <w:r>
        <w:rPr>
          <w:rFonts w:hint="eastAsia"/>
          <w:szCs w:val="24"/>
        </w:rPr>
        <w:t>。</w:t>
      </w:r>
    </w:p>
    <w:p>
      <w:pPr>
        <w:ind w:firstLine="640"/>
      </w:pPr>
      <w:r>
        <w:rPr>
          <w:bCs/>
        </w:rPr>
        <w:t>规划沿</w:t>
      </w:r>
      <w:r>
        <w:rPr>
          <w:rFonts w:hint="eastAsia"/>
          <w:bCs/>
        </w:rPr>
        <w:t>朝阳街</w:t>
      </w:r>
      <w:r>
        <w:rPr>
          <w:bCs/>
        </w:rPr>
        <w:t>、兴华路、府前路、启明路、开元路等道路敷设d400~d600雨水管，雨水向东排入</w:t>
      </w:r>
      <w:r>
        <w:rPr>
          <w:rFonts w:hint="eastAsia"/>
          <w:bCs/>
        </w:rPr>
        <w:t>水系。</w:t>
      </w:r>
    </w:p>
    <w:p>
      <w:pPr>
        <w:pStyle w:val="4"/>
        <w:spacing w:before="195" w:beforeLines="60" w:after="195" w:afterLines="60" w:line="240" w:lineRule="auto"/>
        <w:ind w:left="0"/>
      </w:pPr>
      <w:r>
        <w:rPr>
          <w:rFonts w:hint="eastAsia"/>
        </w:rPr>
        <w:t>电力工程规划</w:t>
      </w:r>
    </w:p>
    <w:p>
      <w:pPr>
        <w:ind w:firstLine="640"/>
      </w:pPr>
      <w:r>
        <w:rPr>
          <w:rFonts w:hint="eastAsia"/>
        </w:rPr>
        <w:t>1</w:t>
      </w:r>
      <w:r>
        <w:t>.</w:t>
      </w:r>
      <w:r>
        <w:rPr>
          <w:rFonts w:hint="eastAsia"/>
        </w:rPr>
        <w:t>用电负荷预测</w:t>
      </w:r>
    </w:p>
    <w:p>
      <w:pPr>
        <w:ind w:firstLine="640"/>
      </w:pPr>
      <w:r>
        <w:rPr>
          <w:rFonts w:hint="eastAsia"/>
        </w:rPr>
        <w:t>预测镇区用电负荷约为</w:t>
      </w:r>
      <w:r>
        <w:t>17544千瓦</w:t>
      </w:r>
      <w:r>
        <w:rPr>
          <w:rFonts w:hint="eastAsia"/>
        </w:rPr>
        <w:t>。</w:t>
      </w:r>
    </w:p>
    <w:p>
      <w:pPr>
        <w:ind w:firstLine="640"/>
      </w:pPr>
      <w:r>
        <w:rPr>
          <w:rFonts w:hint="eastAsia"/>
        </w:rPr>
        <w:t>2</w:t>
      </w:r>
      <w:r>
        <w:t>.</w:t>
      </w:r>
      <w:r>
        <w:rPr>
          <w:rFonts w:hint="eastAsia"/>
        </w:rPr>
        <w:t>变电设施规划</w:t>
      </w:r>
    </w:p>
    <w:p>
      <w:pPr>
        <w:ind w:firstLine="640"/>
      </w:pPr>
      <w:r>
        <w:t>规划</w:t>
      </w:r>
      <w:r>
        <w:rPr>
          <w:rFonts w:hint="eastAsia"/>
        </w:rPr>
        <w:t>保留</w:t>
      </w:r>
      <w:r>
        <w:t>现状35千伏灌涨变；镇区电源来自现状</w:t>
      </w:r>
      <w:r>
        <w:rPr>
          <w:rFonts w:hint="eastAsia"/>
        </w:rPr>
        <w:t>1</w:t>
      </w:r>
      <w:r>
        <w:t>10千伏符岭变和规划</w:t>
      </w:r>
      <w:r>
        <w:rPr>
          <w:rFonts w:hint="eastAsia"/>
        </w:rPr>
        <w:t>1</w:t>
      </w:r>
      <w:r>
        <w:t>10千伏前湾变。</w:t>
      </w:r>
    </w:p>
    <w:p>
      <w:pPr>
        <w:spacing w:before="48"/>
        <w:ind w:firstLine="640"/>
      </w:pPr>
      <w:r>
        <w:rPr>
          <w:rFonts w:hint="eastAsia"/>
        </w:rPr>
        <w:t>新建</w:t>
      </w:r>
      <w:r>
        <w:t>10千伏电力线沿干道采用地埋电缆沟的敷设方式，并在重点地段形成环路，以保证供电可靠安全性，同时确保每一个地块均能从临路一侧方便接入10千伏电源线。尽量避免架空铺设，不仅防止镇区景观的破坏，还能减少因人为原因造成的事故。为减少10千伏线路出线紧张问题，在镇区用电负荷中心相应位置设置市政公用开闭所</w:t>
      </w:r>
      <w:r>
        <w:rPr>
          <w:rFonts w:hint="eastAsia"/>
        </w:rPr>
        <w:t>。</w:t>
      </w:r>
    </w:p>
    <w:p>
      <w:pPr>
        <w:pStyle w:val="4"/>
        <w:spacing w:before="195" w:beforeLines="60" w:after="195" w:afterLines="60" w:line="240" w:lineRule="auto"/>
        <w:ind w:left="0"/>
      </w:pPr>
      <w:r>
        <w:rPr>
          <w:rFonts w:hint="eastAsia"/>
        </w:rPr>
        <w:t>通信工程规划</w:t>
      </w:r>
    </w:p>
    <w:p>
      <w:pPr>
        <w:ind w:firstLine="640"/>
      </w:pPr>
      <w:r>
        <w:rPr>
          <w:rFonts w:hint="eastAsia"/>
        </w:rPr>
        <w:t>1</w:t>
      </w:r>
      <w:r>
        <w:t>.</w:t>
      </w:r>
      <w:r>
        <w:rPr>
          <w:rFonts w:hint="eastAsia"/>
        </w:rPr>
        <w:t>邮政设施与电信设施规划</w:t>
      </w:r>
    </w:p>
    <w:p>
      <w:pPr>
        <w:ind w:firstLine="640"/>
      </w:pPr>
      <w:r>
        <w:t>规划保留灌涨镇现状邮政支局1处</w:t>
      </w:r>
      <w:bookmarkStart w:id="136" w:name="_Hlk530908955"/>
      <w:r>
        <w:t>，</w:t>
      </w:r>
      <w:bookmarkEnd w:id="136"/>
      <w:r>
        <w:t>位于</w:t>
      </w:r>
      <w:r>
        <w:rPr>
          <w:rFonts w:hint="eastAsia"/>
        </w:rPr>
        <w:t>府前路与和平街交叉口西南角</w:t>
      </w:r>
      <w:r>
        <w:t>。规划沿</w:t>
      </w:r>
      <w:r>
        <w:rPr>
          <w:rFonts w:hint="eastAsia"/>
        </w:rPr>
        <w:t>镇区</w:t>
      </w:r>
      <w:r>
        <w:t>主干道每隔500米设信箱一个，住宅楼各单元入口处设报箱</w:t>
      </w:r>
      <w:r>
        <w:rPr>
          <w:rFonts w:hint="eastAsia"/>
        </w:rPr>
        <w:t>。</w:t>
      </w:r>
    </w:p>
    <w:p>
      <w:pPr>
        <w:ind w:firstLine="640"/>
      </w:pPr>
      <w:r>
        <w:rPr>
          <w:rFonts w:hint="eastAsia"/>
        </w:rPr>
        <w:t>2</w:t>
      </w:r>
      <w:r>
        <w:t>.</w:t>
      </w:r>
      <w:r>
        <w:rPr>
          <w:rFonts w:hint="eastAsia"/>
        </w:rPr>
        <w:t>广播电视设施规划</w:t>
      </w:r>
    </w:p>
    <w:p>
      <w:pPr>
        <w:ind w:firstLine="640"/>
      </w:pPr>
      <w:r>
        <w:rPr>
          <w:rFonts w:hint="eastAsia"/>
        </w:rPr>
        <w:t>规划广播电视综合交叉覆盖率达到</w:t>
      </w:r>
      <w:r>
        <w:t>98％以上，有线电视入户实现数字化、传输线路全部采用光缆，埋户率达100％</w:t>
      </w:r>
      <w:r>
        <w:rPr>
          <w:rFonts w:hint="eastAsia"/>
        </w:rPr>
        <w:t>。</w:t>
      </w:r>
    </w:p>
    <w:p>
      <w:pPr>
        <w:pStyle w:val="4"/>
        <w:spacing w:before="195" w:beforeLines="60" w:after="195" w:afterLines="60" w:line="240" w:lineRule="auto"/>
        <w:ind w:left="0"/>
      </w:pPr>
      <w:r>
        <w:rPr>
          <w:rFonts w:hint="eastAsia"/>
        </w:rPr>
        <w:t>燃气工程规划</w:t>
      </w:r>
    </w:p>
    <w:p>
      <w:pPr>
        <w:ind w:firstLine="640"/>
      </w:pPr>
      <w:r>
        <w:rPr>
          <w:rFonts w:hint="eastAsia"/>
        </w:rPr>
        <w:t>1</w:t>
      </w:r>
      <w:r>
        <w:t>.</w:t>
      </w:r>
      <w:r>
        <w:rPr>
          <w:rFonts w:hint="eastAsia"/>
        </w:rPr>
        <w:t>用气负荷预测</w:t>
      </w:r>
    </w:p>
    <w:p>
      <w:pPr>
        <w:ind w:firstLine="640"/>
      </w:pPr>
      <w:r>
        <w:rPr>
          <w:rFonts w:hint="eastAsia"/>
        </w:rPr>
        <w:t>预测镇区用气负荷约</w:t>
      </w:r>
      <w:r>
        <w:rPr>
          <w:rFonts w:ascii="Times New Roman" w:hAnsi="Times New Roman"/>
        </w:rPr>
        <w:t>7560</w:t>
      </w:r>
      <w:r>
        <w:rPr>
          <w:rFonts w:hint="eastAsia"/>
        </w:rPr>
        <w:t>立方米/日。</w:t>
      </w:r>
    </w:p>
    <w:p>
      <w:pPr>
        <w:ind w:firstLine="640"/>
      </w:pPr>
      <w:r>
        <w:rPr>
          <w:rFonts w:hint="eastAsia"/>
        </w:rPr>
        <w:t>2</w:t>
      </w:r>
      <w:r>
        <w:t>.</w:t>
      </w:r>
      <w:r>
        <w:rPr>
          <w:rFonts w:hint="eastAsia"/>
        </w:rPr>
        <w:t>燃气管网规划</w:t>
      </w:r>
    </w:p>
    <w:p>
      <w:pPr>
        <w:ind w:firstLine="640"/>
      </w:pPr>
      <w:r>
        <w:rPr>
          <w:rFonts w:hint="eastAsia"/>
          <w:bCs/>
        </w:rPr>
        <w:t>规划沿府前路敷设de</w:t>
      </w:r>
      <w:r>
        <w:rPr>
          <w:bCs/>
        </w:rPr>
        <w:t>160</w:t>
      </w:r>
      <w:r>
        <w:rPr>
          <w:rFonts w:hint="eastAsia"/>
          <w:bCs/>
        </w:rPr>
        <w:t>燃气管线，沿朝阳街</w:t>
      </w:r>
      <w:r>
        <w:rPr>
          <w:bCs/>
        </w:rPr>
        <w:t>、兴华路、启明路、开元路</w:t>
      </w:r>
      <w:r>
        <w:rPr>
          <w:rFonts w:hint="eastAsia"/>
          <w:bCs/>
        </w:rPr>
        <w:t>、丰收路、灌二路、和平路、文化路、红旗路等道路敷设de</w:t>
      </w:r>
      <w:r>
        <w:rPr>
          <w:bCs/>
        </w:rPr>
        <w:t>110</w:t>
      </w:r>
      <w:r>
        <w:rPr>
          <w:rFonts w:hint="eastAsia"/>
          <w:bCs/>
        </w:rPr>
        <w:t>燃气管线，燃气管线</w:t>
      </w:r>
      <w:r>
        <w:rPr>
          <w:bCs/>
        </w:rPr>
        <w:t>呈环状布置，局部为支状</w:t>
      </w:r>
      <w:r>
        <w:rPr>
          <w:rFonts w:hint="eastAsia"/>
          <w:bCs/>
        </w:rPr>
        <w:t>。</w:t>
      </w:r>
    </w:p>
    <w:p>
      <w:pPr>
        <w:pStyle w:val="4"/>
        <w:spacing w:before="195" w:beforeLines="60" w:after="195" w:afterLines="60" w:line="240" w:lineRule="auto"/>
        <w:ind w:left="0"/>
      </w:pPr>
      <w:r>
        <w:rPr>
          <w:rFonts w:hint="eastAsia"/>
        </w:rPr>
        <w:t>热力工程规划</w:t>
      </w:r>
    </w:p>
    <w:p>
      <w:pPr>
        <w:ind w:firstLine="640"/>
      </w:pPr>
      <w:r>
        <w:rPr>
          <w:rFonts w:hint="eastAsia"/>
        </w:rPr>
        <w:t>1</w:t>
      </w:r>
      <w:r>
        <w:t>.</w:t>
      </w:r>
      <w:r>
        <w:rPr>
          <w:rFonts w:hint="eastAsia"/>
        </w:rPr>
        <w:t>热负荷预测</w:t>
      </w:r>
    </w:p>
    <w:p>
      <w:pPr>
        <w:ind w:firstLine="640"/>
      </w:pPr>
      <w:r>
        <w:rPr>
          <w:rFonts w:hint="eastAsia"/>
        </w:rPr>
        <w:t>预测镇区采暖热负荷约</w:t>
      </w:r>
      <w:r>
        <w:t>63.11</w:t>
      </w:r>
      <w:r>
        <w:rPr>
          <w:rFonts w:hint="eastAsia"/>
        </w:rPr>
        <w:t>兆瓦。</w:t>
      </w:r>
    </w:p>
    <w:p>
      <w:pPr>
        <w:ind w:firstLine="640"/>
      </w:pPr>
      <w:r>
        <w:rPr>
          <w:rFonts w:hint="eastAsia"/>
        </w:rPr>
        <w:t>2</w:t>
      </w:r>
      <w:r>
        <w:t>.</w:t>
      </w:r>
      <w:r>
        <w:rPr>
          <w:rFonts w:hint="eastAsia"/>
        </w:rPr>
        <w:t>热源规划</w:t>
      </w:r>
    </w:p>
    <w:p>
      <w:pPr>
        <w:ind w:firstLine="640"/>
      </w:pPr>
      <w:r>
        <w:rPr>
          <w:rFonts w:hint="eastAsia"/>
        </w:rPr>
        <w:t>规划镇区采用分区域集中供热模式，热源为电能、风能、燃气等清洁能源，规划在镇区内设置</w:t>
      </w:r>
      <w:r>
        <w:t>3座供热站</w:t>
      </w:r>
      <w:r>
        <w:rPr>
          <w:rFonts w:hint="eastAsia"/>
        </w:rPr>
        <w:t>。</w:t>
      </w:r>
    </w:p>
    <w:p>
      <w:pPr>
        <w:pStyle w:val="4"/>
        <w:spacing w:before="195" w:beforeLines="60" w:after="195" w:afterLines="60" w:line="240" w:lineRule="auto"/>
        <w:ind w:left="0"/>
      </w:pPr>
      <w:r>
        <w:rPr>
          <w:rFonts w:hint="eastAsia"/>
        </w:rPr>
        <w:t>环卫工程规划</w:t>
      </w:r>
    </w:p>
    <w:p>
      <w:pPr>
        <w:ind w:firstLine="640"/>
      </w:pPr>
      <w:r>
        <w:rPr>
          <w:rFonts w:hint="eastAsia"/>
        </w:rPr>
        <w:t>1</w:t>
      </w:r>
      <w:r>
        <w:t>.生活垃圾量预测</w:t>
      </w:r>
    </w:p>
    <w:p>
      <w:pPr>
        <w:ind w:firstLine="640"/>
      </w:pPr>
      <w:r>
        <w:t>2035年，</w:t>
      </w:r>
      <w:r>
        <w:rPr>
          <w:rFonts w:hint="eastAsia"/>
        </w:rPr>
        <w:t>镇区</w:t>
      </w:r>
      <w:r>
        <w:t>规划人口约0.9万，人均生活垃圾产生量1.0千克/人·日进行预测。规划至2035年，</w:t>
      </w:r>
      <w:r>
        <w:rPr>
          <w:rFonts w:hint="eastAsia"/>
        </w:rPr>
        <w:t>镇区</w:t>
      </w:r>
      <w:r>
        <w:t>预测生活垃圾产量为9吨/日。</w:t>
      </w:r>
    </w:p>
    <w:p>
      <w:pPr>
        <w:ind w:firstLine="640"/>
      </w:pPr>
      <w:r>
        <w:rPr>
          <w:rFonts w:hint="eastAsia"/>
        </w:rPr>
        <w:t>2</w:t>
      </w:r>
      <w:r>
        <w:t>.垃圾收运与处置</w:t>
      </w:r>
    </w:p>
    <w:p>
      <w:pPr>
        <w:ind w:firstLine="640"/>
      </w:pPr>
      <w:r>
        <w:rPr>
          <w:rFonts w:hint="eastAsia"/>
        </w:rPr>
        <w:t>镇区建立二级转运系统，生活垃圾由垃圾收集点收集后运送至生活垃圾收集站，再运输至规划垃圾转运站进行压缩处理，直接送至垃圾处理场统一处理。</w:t>
      </w:r>
    </w:p>
    <w:p>
      <w:pPr>
        <w:spacing w:before="48"/>
        <w:ind w:firstLine="640"/>
      </w:pPr>
      <w:r>
        <w:rPr>
          <w:rFonts w:hint="eastAsia"/>
        </w:rPr>
        <w:t>建筑垃圾运至建筑垃圾处理厂进行处理；医疗垃圾应采用医疗卫生垃圾专用车运输，统一运输至南阳市医疗垃圾集中处理中心处理；工业一般垃圾以各厂区内部处置为主，资源化与最终处置相结合；危险废弃物纳入南阳市危废处置系统，运至危废处置中心安全处置。</w:t>
      </w:r>
    </w:p>
    <w:p>
      <w:pPr>
        <w:ind w:firstLine="640"/>
      </w:pPr>
      <w:r>
        <w:rPr>
          <w:rFonts w:hint="eastAsia"/>
        </w:rPr>
        <w:t>3</w:t>
      </w:r>
      <w:r>
        <w:t>.环卫设施布局</w:t>
      </w:r>
    </w:p>
    <w:p>
      <w:pPr>
        <w:ind w:firstLine="640"/>
      </w:pPr>
      <w:r>
        <w:rPr>
          <w:rFonts w:hint="eastAsia"/>
        </w:rPr>
        <w:t>开元路东北侧</w:t>
      </w:r>
      <w:r>
        <w:t>规划一座小型（V）生活垃圾转运站，转运规模为40吨/日，占地面积</w:t>
      </w:r>
      <w:r>
        <w:rPr>
          <w:rFonts w:hint="eastAsia"/>
        </w:rPr>
        <w:t>1.27</w:t>
      </w:r>
      <w:r>
        <w:t>公顷。</w:t>
      </w:r>
    </w:p>
    <w:p>
      <w:pPr>
        <w:spacing w:before="48"/>
        <w:ind w:firstLine="640"/>
      </w:pPr>
      <w:r>
        <w:rPr>
          <w:rFonts w:hint="eastAsia"/>
        </w:rPr>
        <w:t>镇区</w:t>
      </w:r>
      <w:r>
        <w:t>需环卫停车场面积0.2</w:t>
      </w:r>
      <w:r>
        <w:rPr>
          <w:rFonts w:hint="eastAsia"/>
        </w:rPr>
        <w:t>0</w:t>
      </w:r>
      <w:r>
        <w:t>公顷。</w:t>
      </w:r>
      <w:r>
        <w:rPr>
          <w:rFonts w:hint="eastAsia"/>
        </w:rPr>
        <w:t>规划</w:t>
      </w:r>
      <w:r>
        <w:t>1处环卫车辆停车场，结合垃圾转运站停放。</w:t>
      </w:r>
    </w:p>
    <w:p>
      <w:pPr>
        <w:pStyle w:val="3"/>
        <w:spacing w:before="326" w:beforeLines="100" w:after="326" w:afterLines="100"/>
      </w:pPr>
      <w:bookmarkStart w:id="137" w:name="_Toc129799058"/>
      <w:bookmarkStart w:id="138" w:name="_Toc175648329"/>
      <w:bookmarkStart w:id="139" w:name="_Toc127350193"/>
      <w:r>
        <w:rPr>
          <w:rFonts w:hint="eastAsia"/>
        </w:rPr>
        <w:t>综合防灾</w:t>
      </w:r>
      <w:bookmarkEnd w:id="137"/>
      <w:r>
        <w:rPr>
          <w:rFonts w:hint="eastAsia"/>
        </w:rPr>
        <w:t>减灾规划</w:t>
      </w:r>
      <w:bookmarkEnd w:id="138"/>
    </w:p>
    <w:p>
      <w:pPr>
        <w:pStyle w:val="4"/>
        <w:spacing w:before="195" w:beforeLines="60" w:after="195" w:afterLines="60" w:line="240" w:lineRule="auto"/>
        <w:ind w:left="0"/>
      </w:pPr>
      <w:r>
        <w:rPr>
          <w:rFonts w:hint="eastAsia"/>
        </w:rPr>
        <w:t>综合防灾减灾目标</w:t>
      </w:r>
    </w:p>
    <w:p>
      <w:pPr>
        <w:spacing w:before="48"/>
        <w:ind w:firstLine="640"/>
      </w:pPr>
      <w:r>
        <w:rPr>
          <w:rFonts w:hint="eastAsia"/>
        </w:rPr>
        <w:t>完善避难场所和疏散通道体系，健全各类防灾设施体系，加强生命线系统应急保障能力，优化应急服务设施布局，构建基于社区层面的防灾生活圈，通过灾害隐患点治理全面降低镇区的灾害风险，提高镇区的防灾减灾能力。</w:t>
      </w:r>
    </w:p>
    <w:p>
      <w:pPr>
        <w:pStyle w:val="4"/>
        <w:spacing w:before="195" w:beforeLines="60" w:after="195" w:afterLines="60" w:line="240" w:lineRule="auto"/>
        <w:ind w:left="0"/>
      </w:pPr>
      <w:r>
        <w:rPr>
          <w:rFonts w:hint="eastAsia"/>
        </w:rPr>
        <w:t>综合防灾空间布局</w:t>
      </w:r>
    </w:p>
    <w:p>
      <w:pPr>
        <w:ind w:firstLine="640"/>
      </w:pPr>
      <w:r>
        <w:rPr>
          <w:rFonts w:hint="eastAsia"/>
        </w:rPr>
        <w:t>1</w:t>
      </w:r>
      <w:r>
        <w:t>.防洪排涝规划</w:t>
      </w:r>
    </w:p>
    <w:p>
      <w:pPr>
        <w:ind w:firstLine="640"/>
      </w:pPr>
      <w:r>
        <w:rPr>
          <w:rFonts w:hint="eastAsia"/>
        </w:rPr>
        <w:t>防洪标准：灌涨镇镇区按</w:t>
      </w:r>
      <w:r>
        <w:t>20年一遇标准设防；镇</w:t>
      </w:r>
      <w:r>
        <w:rPr>
          <w:rFonts w:hint="eastAsia"/>
        </w:rPr>
        <w:t>中部默河</w:t>
      </w:r>
      <w:r>
        <w:t>按20年一遇标准设防。</w:t>
      </w:r>
    </w:p>
    <w:p>
      <w:pPr>
        <w:ind w:firstLine="640"/>
      </w:pPr>
      <w:r>
        <w:rPr>
          <w:rFonts w:hint="eastAsia"/>
        </w:rPr>
        <w:t>内涝防治标准：灌涨镇能有效应对不低于</w:t>
      </w:r>
      <w:r>
        <w:t>20年一遇的暴雨。</w:t>
      </w:r>
    </w:p>
    <w:p>
      <w:pPr>
        <w:ind w:firstLine="640"/>
      </w:pPr>
      <w:r>
        <w:rPr>
          <w:rFonts w:hint="eastAsia"/>
        </w:rPr>
        <w:t>2</w:t>
      </w:r>
      <w:r>
        <w:t>.消防规划</w:t>
      </w:r>
    </w:p>
    <w:p>
      <w:pPr>
        <w:ind w:firstLine="640"/>
      </w:pPr>
      <w:r>
        <w:rPr>
          <w:rFonts w:hint="eastAsia"/>
        </w:rPr>
        <w:t>镇区按照普通消防站接警后</w:t>
      </w:r>
      <w:r>
        <w:t>5分钟内消防队可以到达责任区边缘为原则，及消防站责任区范围小于7平方千米的要求设置消防站，</w:t>
      </w:r>
      <w:r>
        <w:rPr>
          <w:rFonts w:hint="eastAsia"/>
        </w:rPr>
        <w:t>规划在镇区南侧规划建设1处一级乡镇专职消防队</w:t>
      </w:r>
      <w:r>
        <w:t>。</w:t>
      </w:r>
    </w:p>
    <w:p>
      <w:pPr>
        <w:ind w:firstLine="640"/>
      </w:pPr>
      <w:r>
        <w:rPr>
          <w:rFonts w:hint="eastAsia"/>
        </w:rPr>
        <w:t>3</w:t>
      </w:r>
      <w:r>
        <w:t>.抗震防灾规划</w:t>
      </w:r>
    </w:p>
    <w:p>
      <w:pPr>
        <w:ind w:firstLine="640"/>
      </w:pPr>
      <w:r>
        <w:rPr>
          <w:rFonts w:hint="eastAsia"/>
        </w:rPr>
        <w:t>灌涨镇地震烈度为</w:t>
      </w:r>
      <w:r>
        <w:t>7度。新建、扩建、改建建设工程应当达到抗震设防要求；镇区生命线工程（给排水、供电、通讯、道路、桥梁、堤坝等）及主要公共建筑（如体育馆、学校、卫生院、消防站、重要仓库等）按照8度设防。</w:t>
      </w:r>
    </w:p>
    <w:p>
      <w:pPr>
        <w:ind w:firstLine="640"/>
      </w:pPr>
      <w:r>
        <w:rPr>
          <w:rFonts w:hint="eastAsia"/>
        </w:rPr>
        <w:t>利用镇区公园、绿地、广场、学校、体育场、空地等作为避震疏散场地。固定避难场所人均有效避难面积不小于</w:t>
      </w:r>
      <w:r>
        <w:t>2.0平方米。</w:t>
      </w:r>
    </w:p>
    <w:p>
      <w:pPr>
        <w:ind w:firstLine="640"/>
      </w:pPr>
      <w:r>
        <w:rPr>
          <w:rFonts w:hint="eastAsia"/>
        </w:rPr>
        <w:t>将镇区主次干道、过境公路作为主要避震疏散通道。</w:t>
      </w:r>
    </w:p>
    <w:p>
      <w:pPr>
        <w:ind w:firstLine="640"/>
      </w:pPr>
      <w:r>
        <w:rPr>
          <w:rFonts w:hint="eastAsia"/>
        </w:rPr>
        <w:t>救灾干道：灌二路与府前路。</w:t>
      </w:r>
    </w:p>
    <w:p>
      <w:pPr>
        <w:ind w:firstLine="640"/>
      </w:pPr>
      <w:r>
        <w:rPr>
          <w:rFonts w:hint="eastAsia"/>
        </w:rPr>
        <w:t>疏散主干道：以兴华路、府明路等镇区主干道为主要疏散干道。</w:t>
      </w:r>
    </w:p>
    <w:p>
      <w:pPr>
        <w:ind w:firstLine="640"/>
      </w:pPr>
      <w:r>
        <w:rPr>
          <w:rFonts w:hint="eastAsia"/>
        </w:rPr>
        <w:t>4</w:t>
      </w:r>
      <w:r>
        <w:t>.突发公共卫生事件防御规划</w:t>
      </w:r>
    </w:p>
    <w:p>
      <w:pPr>
        <w:ind w:firstLine="640"/>
      </w:pPr>
      <w:r>
        <w:rPr>
          <w:rFonts w:hint="eastAsia"/>
        </w:rPr>
        <w:t>出现灾情、疫情时，在镇区主入口设公安劝阻站，控制疏导车辆、人流进出镇区，保证救灾车辆顺利通行，所有出入疫区的人流、车流经过消毒，防止疫情扩散。</w:t>
      </w:r>
    </w:p>
    <w:p>
      <w:pPr>
        <w:pStyle w:val="4"/>
        <w:spacing w:before="195" w:beforeLines="60" w:after="195" w:afterLines="60" w:line="240" w:lineRule="auto"/>
        <w:ind w:left="0"/>
      </w:pPr>
      <w:r>
        <w:rPr>
          <w:rFonts w:hint="eastAsia"/>
        </w:rPr>
        <w:t>综合防灾应急服务设施规划</w:t>
      </w:r>
    </w:p>
    <w:p>
      <w:pPr>
        <w:ind w:firstLine="640"/>
      </w:pPr>
      <w:r>
        <w:rPr>
          <w:rFonts w:hint="eastAsia"/>
        </w:rPr>
        <w:t>1</w:t>
      </w:r>
      <w:r>
        <w:t>.应急指挥设施体系</w:t>
      </w:r>
    </w:p>
    <w:p>
      <w:pPr>
        <w:ind w:firstLine="640"/>
      </w:pPr>
      <w:r>
        <w:rPr>
          <w:rFonts w:hint="eastAsia"/>
        </w:rPr>
        <w:t>镇区设置应急指挥中心</w:t>
      </w:r>
      <w:r>
        <w:t>1处，位于镇人民政府。</w:t>
      </w:r>
    </w:p>
    <w:p>
      <w:pPr>
        <w:ind w:firstLine="640"/>
      </w:pPr>
      <w:r>
        <w:rPr>
          <w:rFonts w:hint="eastAsia"/>
        </w:rPr>
        <w:t>2</w:t>
      </w:r>
      <w:r>
        <w:t>.应急救灾物资储备设施</w:t>
      </w:r>
    </w:p>
    <w:p>
      <w:pPr>
        <w:ind w:firstLine="640"/>
      </w:pPr>
      <w:r>
        <w:rPr>
          <w:rFonts w:hint="eastAsia"/>
        </w:rPr>
        <w:t>镇区设置救灾物资储备库，并配置装卸设备、技防设备、物资保管维护设备、交通工具（应急调度车、救灾物资转运车）与通讯调度设备等。</w:t>
      </w:r>
    </w:p>
    <w:p>
      <w:pPr>
        <w:ind w:firstLine="640"/>
      </w:pPr>
      <w:r>
        <w:rPr>
          <w:rFonts w:hint="eastAsia"/>
        </w:rPr>
        <w:t>3</w:t>
      </w:r>
      <w:r>
        <w:t>.提升应急医疗服务能力</w:t>
      </w:r>
    </w:p>
    <w:p>
      <w:pPr>
        <w:ind w:firstLine="640"/>
      </w:pPr>
      <w:r>
        <w:rPr>
          <w:rFonts w:hint="eastAsia"/>
        </w:rPr>
        <w:t>镇区依托卫生院设置镇级应急医疗设施。</w:t>
      </w:r>
    </w:p>
    <w:p>
      <w:pPr>
        <w:ind w:firstLine="640"/>
      </w:pPr>
      <w:r>
        <w:rPr>
          <w:rFonts w:hint="eastAsia"/>
        </w:rPr>
        <w:t>4</w:t>
      </w:r>
      <w:r>
        <w:t>.生命线系统</w:t>
      </w:r>
    </w:p>
    <w:p>
      <w:pPr>
        <w:spacing w:before="48"/>
        <w:ind w:firstLine="640"/>
      </w:pPr>
      <w:r>
        <w:rPr>
          <w:rFonts w:hint="eastAsia"/>
        </w:rPr>
        <w:t>供水系统：水厂建设标准应满足放在要求，在每个紧急避难场所设取水井供灾时使用；配备送水车以备应急时使用。</w:t>
      </w:r>
    </w:p>
    <w:p>
      <w:pPr>
        <w:spacing w:before="48"/>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spacing w:before="48"/>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spacing w:before="48"/>
        <w:ind w:firstLine="640"/>
      </w:pPr>
      <w:r>
        <w:rPr>
          <w:rFonts w:hint="eastAsia"/>
        </w:rPr>
        <w:t>燃气系统：维修和改造现有燃气系统薄弱环节；加强新铺设管道抗灾能力；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bookmarkEnd w:id="139"/>
    <w:p>
      <w:pPr>
        <w:pStyle w:val="3"/>
        <w:spacing w:before="326" w:beforeLines="100" w:after="326" w:afterLines="100"/>
      </w:pPr>
      <w:bookmarkStart w:id="140" w:name="_Toc175648330"/>
      <w:r>
        <w:rPr>
          <w:rFonts w:hint="eastAsia"/>
        </w:rPr>
        <w:t>控制线划定</w:t>
      </w:r>
      <w:bookmarkEnd w:id="140"/>
    </w:p>
    <w:p>
      <w:pPr>
        <w:pStyle w:val="4"/>
        <w:spacing w:before="195" w:beforeLines="60" w:after="195" w:afterLines="60" w:line="240" w:lineRule="auto"/>
        <w:ind w:left="0"/>
      </w:pPr>
      <w:r>
        <w:rPr>
          <w:rFonts w:hint="eastAsia"/>
        </w:rPr>
        <w:t>城市黄</w:t>
      </w:r>
      <w:r>
        <w:t>线</w:t>
      </w:r>
    </w:p>
    <w:p>
      <w:pPr>
        <w:spacing w:before="48"/>
        <w:ind w:firstLine="640"/>
        <w:rPr>
          <w:u w:val="single"/>
        </w:rPr>
      </w:pPr>
      <w:r>
        <w:rPr>
          <w:rFonts w:hint="eastAsia"/>
          <w:u w:val="single"/>
        </w:rPr>
        <w:t>城市黄线包括灌涨镇环卫站、消防站、供电站，面积分别为1.27公顷、0.09公顷、0.74公顷。包括中小学、幼儿园和医院等公共服务设施用地。其中，教育用地面积为7.33公顷，医院面积为0.83公顷。</w:t>
      </w:r>
    </w:p>
    <w:p>
      <w:pPr>
        <w:spacing w:before="48"/>
        <w:ind w:firstLine="640"/>
        <w:rPr>
          <w:u w:val="single"/>
        </w:rPr>
      </w:pPr>
      <w:r>
        <w:rPr>
          <w:rFonts w:hint="eastAsia"/>
          <w:u w:val="single"/>
        </w:rPr>
        <w:t>城市黄线内不得改作他用，不得违反法律法规、强制性标准以及批准的规划进行开发建设。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spacing w:before="195" w:beforeLines="60" w:after="195" w:afterLines="60" w:line="240" w:lineRule="auto"/>
        <w:ind w:left="0"/>
      </w:pPr>
      <w:r>
        <w:rPr>
          <w:rFonts w:hint="eastAsia"/>
        </w:rPr>
        <w:t>城市绿线</w:t>
      </w:r>
    </w:p>
    <w:p>
      <w:pPr>
        <w:spacing w:before="48"/>
        <w:ind w:firstLine="640"/>
        <w:rPr>
          <w:u w:val="single"/>
        </w:rPr>
      </w:pPr>
      <w:r>
        <w:rPr>
          <w:rFonts w:hint="eastAsia"/>
          <w:u w:val="single"/>
        </w:rPr>
        <w:t>城市绿线控制范围共8.27</w:t>
      </w:r>
      <w:r>
        <w:rPr>
          <w:u w:val="single"/>
        </w:rPr>
        <w:t>公顷，为规划范围内的公园绿地、防护绿地和广场用地</w:t>
      </w:r>
      <w:r>
        <w:rPr>
          <w:rFonts w:hint="eastAsia"/>
          <w:u w:val="single"/>
        </w:rPr>
        <w:t>。</w:t>
      </w:r>
    </w:p>
    <w:p>
      <w:pPr>
        <w:ind w:firstLine="640"/>
      </w:pPr>
      <w:r>
        <w:rPr>
          <w:rFonts w:hint="eastAsia"/>
          <w:u w:val="single"/>
        </w:rPr>
        <w:t>城市绿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r>
        <w:br w:type="page"/>
      </w:r>
    </w:p>
    <w:p>
      <w:pPr>
        <w:spacing w:before="48"/>
        <w:ind w:firstLine="640"/>
      </w:pPr>
    </w:p>
    <w:p>
      <w:pPr>
        <w:pStyle w:val="2"/>
        <w:spacing w:before="489" w:beforeLines="150" w:after="489" w:afterLines="150"/>
      </w:pPr>
      <w:bookmarkStart w:id="141" w:name="_Toc175648318"/>
      <w:bookmarkStart w:id="142" w:name="_Toc221006689"/>
      <w:r>
        <w:rPr>
          <w:rFonts w:hint="eastAsia"/>
        </w:rPr>
        <w:t>土地综合整治与生态修复</w:t>
      </w:r>
      <w:bookmarkEnd w:id="141"/>
      <w:bookmarkEnd w:id="142"/>
    </w:p>
    <w:p>
      <w:pPr>
        <w:pStyle w:val="3"/>
        <w:spacing w:before="326" w:beforeLines="100" w:after="326" w:afterLines="100"/>
      </w:pPr>
      <w:bookmarkStart w:id="143" w:name="_Toc11093"/>
      <w:bookmarkStart w:id="144" w:name="_Hlk142899891"/>
      <w:bookmarkStart w:id="145" w:name="_Toc175648319"/>
      <w:bookmarkStart w:id="146" w:name="_Toc27152"/>
      <w:r>
        <w:rPr>
          <w:rFonts w:hint="eastAsia"/>
        </w:rPr>
        <w:t>土地综合整治</w:t>
      </w:r>
      <w:bookmarkEnd w:id="143"/>
      <w:bookmarkEnd w:id="144"/>
      <w:bookmarkEnd w:id="145"/>
    </w:p>
    <w:p>
      <w:pPr>
        <w:keepNext/>
        <w:keepLines/>
        <w:numPr>
          <w:ilvl w:val="2"/>
          <w:numId w:val="1"/>
        </w:numPr>
        <w:spacing w:before="195" w:beforeLines="60" w:after="195" w:afterLines="60" w:line="240" w:lineRule="auto"/>
        <w:ind w:left="142" w:firstLineChars="0"/>
        <w:jc w:val="left"/>
        <w:outlineLvl w:val="2"/>
        <w:rPr>
          <w:rFonts w:ascii="黑体" w:hAnsi="黑体" w:eastAsia="黑体"/>
          <w:b/>
          <w:bCs/>
          <w:sz w:val="28"/>
          <w:szCs w:val="32"/>
        </w:rPr>
      </w:pPr>
      <w:r>
        <w:rPr>
          <w:rFonts w:hint="eastAsia" w:ascii="黑体" w:hAnsi="黑体" w:eastAsia="黑体"/>
          <w:b/>
          <w:bCs/>
          <w:sz w:val="28"/>
          <w:szCs w:val="32"/>
        </w:rPr>
        <w:t>落实</w:t>
      </w:r>
      <w:r>
        <w:rPr>
          <w:rFonts w:ascii="黑体" w:hAnsi="黑体" w:eastAsia="黑体"/>
          <w:b/>
          <w:bCs/>
          <w:sz w:val="28"/>
          <w:szCs w:val="32"/>
        </w:rPr>
        <w:t>整治</w:t>
      </w:r>
      <w:r>
        <w:rPr>
          <w:rFonts w:hint="eastAsia" w:ascii="黑体" w:hAnsi="黑体" w:eastAsia="黑体"/>
          <w:b/>
          <w:bCs/>
          <w:sz w:val="28"/>
          <w:szCs w:val="32"/>
        </w:rPr>
        <w:t>任务</w:t>
      </w:r>
    </w:p>
    <w:p>
      <w:pPr>
        <w:spacing w:before="48"/>
        <w:ind w:firstLine="640"/>
        <w:rPr>
          <w:rFonts w:ascii="Times New Roman" w:hAnsi="Times New Roman"/>
        </w:rPr>
      </w:pPr>
      <w:r>
        <w:rPr>
          <w:rFonts w:hint="eastAsia"/>
          <w:lang w:bidi="ar"/>
        </w:rPr>
        <w:t>规划期内安排农用地整理补充耕地任务</w:t>
      </w:r>
      <w:r>
        <w:rPr>
          <w:lang w:bidi="ar"/>
        </w:rPr>
        <w:t>150.44公顷，后备资源开发补充耕地任务9.67公顷，安排农村建设用地整治补充耕地37.60公顷</w:t>
      </w:r>
      <w:r>
        <w:rPr>
          <w:rFonts w:hint="eastAsia"/>
          <w:lang w:bidi="ar"/>
        </w:rPr>
        <w:t>。</w:t>
      </w:r>
      <w:r>
        <w:rPr>
          <w:lang w:bidi="ar"/>
        </w:rPr>
        <w:t>区域内永久基本农田全部建成为高标准农田</w:t>
      </w:r>
      <w:r>
        <w:rPr>
          <w:rFonts w:ascii="Times New Roman" w:hAnsi="Times New Roman"/>
          <w:lang w:bidi="ar"/>
        </w:rPr>
        <w:t>。</w:t>
      </w:r>
    </w:p>
    <w:p>
      <w:pPr>
        <w:keepNext/>
        <w:keepLines/>
        <w:numPr>
          <w:ilvl w:val="2"/>
          <w:numId w:val="1"/>
        </w:numPr>
        <w:spacing w:before="195" w:beforeLines="60" w:after="195" w:afterLines="60" w:line="240" w:lineRule="auto"/>
        <w:ind w:left="142" w:firstLineChars="0"/>
        <w:jc w:val="left"/>
        <w:outlineLvl w:val="2"/>
        <w:rPr>
          <w:rFonts w:ascii="黑体" w:hAnsi="黑体" w:eastAsia="黑体"/>
          <w:b/>
          <w:bCs/>
          <w:sz w:val="28"/>
          <w:szCs w:val="32"/>
        </w:rPr>
      </w:pPr>
      <w:r>
        <w:rPr>
          <w:rFonts w:hint="eastAsia" w:ascii="黑体" w:hAnsi="黑体" w:eastAsia="黑体"/>
          <w:b/>
          <w:bCs/>
          <w:sz w:val="28"/>
          <w:szCs w:val="32"/>
        </w:rPr>
        <w:t>整治</w:t>
      </w:r>
      <w:r>
        <w:rPr>
          <w:rFonts w:ascii="黑体" w:hAnsi="黑体" w:eastAsia="黑体"/>
          <w:b/>
          <w:bCs/>
          <w:sz w:val="28"/>
          <w:szCs w:val="32"/>
        </w:rPr>
        <w:t>重点区域</w:t>
      </w:r>
    </w:p>
    <w:p>
      <w:pPr>
        <w:ind w:firstLine="640"/>
      </w:pPr>
      <w:r>
        <w:rPr>
          <w:rFonts w:hint="eastAsia"/>
        </w:rPr>
        <w:t>1</w:t>
      </w:r>
      <w:r>
        <w:t>.</w:t>
      </w:r>
      <w:r>
        <w:rPr>
          <w:rFonts w:hint="eastAsia"/>
        </w:rPr>
        <w:t>土地</w:t>
      </w:r>
      <w:r>
        <w:t>综合整治重点区域</w:t>
      </w:r>
    </w:p>
    <w:p>
      <w:pPr>
        <w:ind w:firstLine="640"/>
      </w:pPr>
      <w:r>
        <w:rPr>
          <w:rFonts w:hint="eastAsia"/>
        </w:rPr>
        <w:t>包括街北村、前湾村、陈营村、刘营村、魏庄村等</w:t>
      </w:r>
      <w:r>
        <w:t>8个村庄。此区域宜整体推进农用地整理、建设用地整理和生态保护修复，优化生产、生活、生态空间，促进土地节约集约利用，改善农村人居环境，加快推进农业农村现代化</w:t>
      </w:r>
      <w:r>
        <w:rPr>
          <w:rFonts w:hint="eastAsia" w:ascii="Times New Roman" w:hAnsi="Times New Roman"/>
          <w:lang w:bidi="ar"/>
        </w:rPr>
        <w:t>。</w:t>
      </w:r>
    </w:p>
    <w:p>
      <w:pPr>
        <w:ind w:firstLine="640"/>
      </w:pPr>
      <w:r>
        <w:rPr>
          <w:rFonts w:hint="eastAsia"/>
        </w:rPr>
        <w:t>2</w:t>
      </w:r>
      <w:r>
        <w:t>.</w:t>
      </w:r>
      <w:r>
        <w:rPr>
          <w:rFonts w:hint="eastAsia"/>
        </w:rPr>
        <w:t>农用地</w:t>
      </w:r>
      <w:r>
        <w:t>整理重点区域</w:t>
      </w:r>
    </w:p>
    <w:p>
      <w:pPr>
        <w:ind w:firstLine="640"/>
      </w:pPr>
      <w:r>
        <w:rPr>
          <w:rFonts w:hint="eastAsia"/>
        </w:rPr>
        <w:t>包括杨营村、杨寨村、岗头村等7</w:t>
      </w:r>
      <w:r>
        <w:t>个村庄。此区域宜统筹农村住宅建设、产业发展、公共服务、基础设施等各类建设用地，有序开展农村宅基地、工矿废弃地以及其他低效闲置建设用地整理，优化农村建设用地布局</w:t>
      </w:r>
      <w:r>
        <w:rPr>
          <w:rFonts w:hint="eastAsia"/>
          <w:lang w:bidi="ar"/>
        </w:rPr>
        <w:t>。</w:t>
      </w:r>
    </w:p>
    <w:p>
      <w:pPr>
        <w:ind w:firstLine="640"/>
      </w:pPr>
      <w:r>
        <w:rPr>
          <w:rFonts w:hint="eastAsia"/>
        </w:rPr>
        <w:t>3</w:t>
      </w:r>
      <w:r>
        <w:t>.</w:t>
      </w:r>
      <w:r>
        <w:rPr>
          <w:rFonts w:hint="eastAsia"/>
        </w:rPr>
        <w:t>农村</w:t>
      </w:r>
      <w:r>
        <w:t>建设用地整理重点区域</w:t>
      </w:r>
    </w:p>
    <w:p>
      <w:pPr>
        <w:ind w:firstLine="640"/>
      </w:pPr>
      <w:r>
        <w:rPr>
          <w:rFonts w:hint="eastAsia" w:ascii="Times New Roman" w:hAnsi="Times New Roman"/>
          <w:lang w:bidi="ar"/>
        </w:rPr>
        <w:t>包括刘岗村、山底村、胡刘村、李营村、杨岗</w:t>
      </w:r>
      <w:r>
        <w:rPr>
          <w:rFonts w:ascii="Times New Roman" w:hAnsi="Times New Roman"/>
          <w:lang w:bidi="ar"/>
        </w:rPr>
        <w:t>村</w:t>
      </w:r>
      <w:r>
        <w:rPr>
          <w:rFonts w:hint="eastAsia" w:ascii="Times New Roman" w:hAnsi="Times New Roman"/>
          <w:lang w:bidi="ar"/>
        </w:rPr>
        <w:t>等18个</w:t>
      </w:r>
      <w:r>
        <w:rPr>
          <w:rFonts w:ascii="Times New Roman" w:hAnsi="Times New Roman"/>
          <w:lang w:bidi="ar"/>
        </w:rPr>
        <w:t>村庄。</w:t>
      </w:r>
      <w:r>
        <w:rPr>
          <w:rFonts w:hint="eastAsia" w:ascii="Times New Roman" w:hAnsi="Times New Roman"/>
          <w:lang w:bidi="ar"/>
        </w:rPr>
        <w:t>此区域</w:t>
      </w:r>
      <w:r>
        <w:rPr>
          <w:rFonts w:ascii="Times New Roman" w:hAnsi="Times New Roman"/>
          <w:lang w:bidi="ar"/>
        </w:rPr>
        <w:t>宜</w:t>
      </w:r>
      <w:r>
        <w:rPr>
          <w:rFonts w:hint="eastAsia" w:ascii="Times New Roman" w:hAnsi="Times New Roman"/>
          <w:lang w:bidi="ar"/>
        </w:rPr>
        <w:t>统筹农村住宅建设、产业发展、公共服务、基础设施等各类建设用地，有序开展农村宅基地、工矿废弃地以及其他低效闲置建设用地整理，优化农村建设用地布局。</w:t>
      </w:r>
    </w:p>
    <w:p>
      <w:pPr>
        <w:ind w:firstLine="640"/>
      </w:pPr>
      <w:r>
        <w:rPr>
          <w:rFonts w:hint="eastAsia"/>
        </w:rPr>
        <w:t>4</w:t>
      </w:r>
      <w:r>
        <w:t>.</w:t>
      </w:r>
      <w:r>
        <w:rPr>
          <w:rFonts w:hint="eastAsia"/>
        </w:rPr>
        <w:t>耕地</w:t>
      </w:r>
      <w:r>
        <w:t>后备资源开发重点区域</w:t>
      </w:r>
    </w:p>
    <w:p>
      <w:pPr>
        <w:ind w:firstLine="640"/>
      </w:pPr>
      <w:r>
        <w:rPr>
          <w:rFonts w:hint="eastAsia"/>
        </w:rPr>
        <w:t>包括刘岗村、山底村、杨岗村、杨洼村、杨营村等10</w:t>
      </w:r>
      <w:r>
        <w:t>个村庄范围内适宜开发区域。此区域应在保护和改善生态环境的前提下，因地制宜适度开发耕地后备资源</w:t>
      </w:r>
      <w:r>
        <w:rPr>
          <w:rFonts w:hint="eastAsia" w:ascii="Times New Roman" w:hAnsi="Times New Roman"/>
          <w:lang w:bidi="ar"/>
        </w:rPr>
        <w:t>。</w:t>
      </w:r>
    </w:p>
    <w:p>
      <w:pPr>
        <w:keepNext/>
        <w:keepLines/>
        <w:numPr>
          <w:ilvl w:val="2"/>
          <w:numId w:val="1"/>
        </w:numPr>
        <w:spacing w:before="195" w:beforeLines="60" w:after="195" w:afterLines="60" w:line="240" w:lineRule="auto"/>
        <w:ind w:left="142" w:firstLineChars="0"/>
        <w:jc w:val="left"/>
        <w:outlineLvl w:val="2"/>
        <w:rPr>
          <w:rFonts w:ascii="黑体" w:hAnsi="黑体" w:eastAsia="黑体"/>
          <w:b/>
          <w:bCs/>
          <w:sz w:val="28"/>
          <w:szCs w:val="32"/>
        </w:rPr>
      </w:pPr>
      <w:r>
        <w:rPr>
          <w:rFonts w:hint="eastAsia" w:ascii="黑体" w:hAnsi="黑体" w:eastAsia="黑体"/>
          <w:b/>
          <w:bCs/>
          <w:sz w:val="28"/>
          <w:szCs w:val="32"/>
        </w:rPr>
        <w:t>整治</w:t>
      </w:r>
      <w:r>
        <w:rPr>
          <w:rFonts w:ascii="黑体" w:hAnsi="黑体" w:eastAsia="黑体"/>
          <w:b/>
          <w:bCs/>
          <w:sz w:val="28"/>
          <w:szCs w:val="32"/>
        </w:rPr>
        <w:t>重点工程</w:t>
      </w:r>
    </w:p>
    <w:p>
      <w:pPr>
        <w:spacing w:before="48"/>
        <w:ind w:firstLine="640"/>
      </w:pPr>
      <w:r>
        <w:rPr>
          <w:rFonts w:hint="eastAsia"/>
          <w:bCs/>
        </w:rPr>
        <w:t>全域</w:t>
      </w:r>
      <w:r>
        <w:rPr>
          <w:bCs/>
        </w:rPr>
        <w:t>土地综合整治项目。</w:t>
      </w:r>
      <w:r>
        <w:rPr>
          <w:rFonts w:hint="eastAsia"/>
          <w:bCs/>
        </w:rPr>
        <w:t>以</w:t>
      </w:r>
      <w:r>
        <w:rPr>
          <w:bCs/>
        </w:rPr>
        <w:t>全镇为单元</w:t>
      </w:r>
      <w:r>
        <w:rPr>
          <w:rFonts w:hint="eastAsia"/>
          <w:bCs/>
        </w:rPr>
        <w:t>整体</w:t>
      </w:r>
      <w:r>
        <w:rPr>
          <w:bCs/>
        </w:rPr>
        <w:t>推进土地综合整治</w:t>
      </w:r>
      <w:r>
        <w:rPr>
          <w:rFonts w:hint="eastAsia"/>
          <w:bCs/>
        </w:rPr>
        <w:t>，开展</w:t>
      </w:r>
      <w:r>
        <w:rPr>
          <w:bCs/>
        </w:rPr>
        <w:t>全域土地综合整治项目，</w:t>
      </w:r>
      <w:r>
        <w:rPr>
          <w:rFonts w:hint="eastAsia"/>
          <w:bCs/>
        </w:rPr>
        <w:t>包含农用地整治、建设用地整治、乡村生态保护修复、乡村振兴及人居环境提升等。综合</w:t>
      </w:r>
      <w:r>
        <w:rPr>
          <w:bCs/>
        </w:rPr>
        <w:t>整治过程中，</w:t>
      </w:r>
      <w:r>
        <w:rPr>
          <w:rFonts w:hint="eastAsia"/>
          <w:bCs/>
        </w:rPr>
        <w:t>以</w:t>
      </w:r>
      <w:r>
        <w:rPr>
          <w:bCs/>
        </w:rPr>
        <w:t>整治重点区</w:t>
      </w:r>
      <w:r>
        <w:t>域为引，分别侧重</w:t>
      </w:r>
      <w:r>
        <w:rPr>
          <w:rFonts w:hint="eastAsia"/>
        </w:rPr>
        <w:t>综合</w:t>
      </w:r>
      <w:r>
        <w:t>整治</w:t>
      </w:r>
      <w:r>
        <w:rPr>
          <w:rFonts w:hint="eastAsia"/>
        </w:rPr>
        <w:t>、</w:t>
      </w:r>
      <w:r>
        <w:t>农用地整理、农村建设用地整理、耕地后备资源开发等</w:t>
      </w:r>
      <w:r>
        <w:rPr>
          <w:rFonts w:hint="eastAsia"/>
        </w:rPr>
        <w:t>，分解</w:t>
      </w:r>
      <w:r>
        <w:t>补充耕地任务，完成耕地保护目标。</w:t>
      </w:r>
    </w:p>
    <w:p>
      <w:pPr>
        <w:pStyle w:val="3"/>
        <w:spacing w:before="326" w:beforeLines="100" w:after="326" w:afterLines="100"/>
      </w:pPr>
      <w:bookmarkStart w:id="147" w:name="_Toc175648320"/>
      <w:r>
        <w:rPr>
          <w:rFonts w:hint="eastAsia"/>
        </w:rPr>
        <w:t>国土空间生态修复</w:t>
      </w:r>
      <w:bookmarkEnd w:id="146"/>
      <w:bookmarkEnd w:id="147"/>
    </w:p>
    <w:p>
      <w:pPr>
        <w:keepNext/>
        <w:keepLines/>
        <w:numPr>
          <w:ilvl w:val="2"/>
          <w:numId w:val="1"/>
        </w:numPr>
        <w:spacing w:before="195" w:beforeLines="60" w:after="195" w:afterLines="60" w:line="240" w:lineRule="auto"/>
        <w:ind w:left="142" w:firstLineChars="0"/>
        <w:jc w:val="left"/>
        <w:outlineLvl w:val="2"/>
        <w:rPr>
          <w:rFonts w:ascii="黑体" w:hAnsi="黑体" w:eastAsia="黑体"/>
          <w:b/>
          <w:bCs/>
          <w:sz w:val="28"/>
          <w:szCs w:val="32"/>
        </w:rPr>
      </w:pPr>
      <w:bookmarkStart w:id="148" w:name="_Hlk150184672"/>
      <w:r>
        <w:rPr>
          <w:rFonts w:hint="eastAsia" w:ascii="黑体" w:hAnsi="黑体" w:eastAsia="黑体"/>
          <w:b/>
          <w:bCs/>
          <w:sz w:val="28"/>
          <w:szCs w:val="32"/>
        </w:rPr>
        <w:t>落实生态修复定位</w:t>
      </w:r>
    </w:p>
    <w:p>
      <w:pPr>
        <w:spacing w:before="48"/>
        <w:ind w:firstLine="640"/>
      </w:pPr>
      <w:r>
        <w:rPr>
          <w:rFonts w:hint="eastAsia"/>
        </w:rPr>
        <w:t>灌涨镇在内乡县生态系统保护规划中属于中部平原生态涵养功能区。构建</w:t>
      </w:r>
      <w:r>
        <w:t>“田成方、林成网、水相连、生态稳” 的平原生态安全格局</w:t>
      </w:r>
      <w:r>
        <w:rPr>
          <w:rFonts w:hint="eastAsia"/>
        </w:rPr>
        <w:t>，实现农业生产与生态保护的协同发展，支撑农业生产和环境保护高质量发展，打造宜居宜业的美丽小城镇。</w:t>
      </w:r>
    </w:p>
    <w:p>
      <w:pPr>
        <w:keepNext/>
        <w:keepLines/>
        <w:numPr>
          <w:ilvl w:val="2"/>
          <w:numId w:val="1"/>
        </w:numPr>
        <w:spacing w:before="195" w:beforeLines="60" w:after="195" w:afterLines="60" w:line="240" w:lineRule="auto"/>
        <w:ind w:left="142" w:firstLineChars="0"/>
        <w:jc w:val="left"/>
        <w:outlineLvl w:val="2"/>
        <w:rPr>
          <w:rFonts w:ascii="黑体" w:hAnsi="黑体" w:eastAsia="黑体"/>
          <w:b/>
          <w:bCs/>
          <w:sz w:val="28"/>
          <w:szCs w:val="32"/>
        </w:rPr>
      </w:pPr>
      <w:r>
        <w:rPr>
          <w:rFonts w:hint="eastAsia" w:ascii="黑体" w:hAnsi="黑体" w:eastAsia="黑体"/>
          <w:b/>
          <w:bCs/>
          <w:sz w:val="28"/>
          <w:szCs w:val="32"/>
        </w:rPr>
        <w:t>生态修复重点区域</w:t>
      </w:r>
    </w:p>
    <w:p>
      <w:pPr>
        <w:ind w:firstLine="640"/>
      </w:pPr>
      <w:r>
        <w:rPr>
          <w:rFonts w:hint="eastAsia"/>
        </w:rPr>
        <w:t>1</w:t>
      </w:r>
      <w:r>
        <w:t>.</w:t>
      </w:r>
      <w:r>
        <w:rPr>
          <w:rFonts w:hint="eastAsia"/>
        </w:rPr>
        <w:t>生态水系修复重点区域</w:t>
      </w:r>
    </w:p>
    <w:p>
      <w:pPr>
        <w:ind w:firstLine="640"/>
      </w:pPr>
      <w:r>
        <w:rPr>
          <w:rFonts w:hint="eastAsia"/>
        </w:rPr>
        <w:t>生态水系修复重点区域主要为镇域内默河、王湾河（曾家河）及连接的支流等区域。</w:t>
      </w:r>
    </w:p>
    <w:p>
      <w:pPr>
        <w:ind w:firstLine="640"/>
      </w:pPr>
      <w:r>
        <w:rPr>
          <w:rFonts w:hint="eastAsia"/>
        </w:rPr>
        <w:t>2</w:t>
      </w:r>
      <w:r>
        <w:t>.</w:t>
      </w:r>
      <w:r>
        <w:rPr>
          <w:rFonts w:hint="eastAsia"/>
        </w:rPr>
        <w:t>农业生态修复重点区域</w:t>
      </w:r>
    </w:p>
    <w:p>
      <w:pPr>
        <w:ind w:firstLine="640"/>
      </w:pPr>
      <w:r>
        <w:rPr>
          <w:rFonts w:hint="eastAsia"/>
        </w:rPr>
        <w:t>农业生态修复重点区域主要集中在镇域东部杨岗村、前楼村、寺洼村，镇域南部刘岗村、山底村、李营村，镇域中部包括灌涨村、杨洼村、宋营村及街北村除镇区外的区域。此区域农业较为发达，兼种烟叶等农作物，农药、化肥使用较多，存在白色垃圾，畜牧业发达，地表径流丰富，易造成农业面源污染。</w:t>
      </w:r>
    </w:p>
    <w:p>
      <w:pPr>
        <w:keepNext/>
        <w:keepLines/>
        <w:numPr>
          <w:ilvl w:val="2"/>
          <w:numId w:val="1"/>
        </w:numPr>
        <w:spacing w:before="130" w:beforeLines="40" w:after="195" w:afterLines="60" w:line="240" w:lineRule="auto"/>
        <w:ind w:left="142" w:firstLineChars="0"/>
        <w:jc w:val="left"/>
        <w:outlineLvl w:val="2"/>
        <w:rPr>
          <w:rFonts w:ascii="黑体" w:hAnsi="黑体" w:eastAsia="黑体"/>
          <w:b/>
          <w:bCs/>
          <w:sz w:val="28"/>
          <w:szCs w:val="32"/>
        </w:rPr>
      </w:pPr>
      <w:r>
        <w:rPr>
          <w:rFonts w:hint="eastAsia" w:ascii="黑体" w:hAnsi="黑体" w:eastAsia="黑体"/>
          <w:b/>
          <w:bCs/>
          <w:sz w:val="28"/>
          <w:szCs w:val="32"/>
        </w:rPr>
        <w:t>生态修复重点工程</w:t>
      </w:r>
    </w:p>
    <w:p>
      <w:pPr>
        <w:ind w:firstLine="640"/>
      </w:pPr>
      <w:r>
        <w:rPr>
          <w:rFonts w:hint="eastAsia"/>
        </w:rPr>
        <w:t>1</w:t>
      </w:r>
      <w:r>
        <w:t>.</w:t>
      </w:r>
      <w:r>
        <w:rPr>
          <w:rFonts w:hint="eastAsia"/>
        </w:rPr>
        <w:t>内乡县默河水环境综合治理项目</w:t>
      </w:r>
    </w:p>
    <w:bookmarkEnd w:id="148"/>
    <w:p>
      <w:pPr>
        <w:ind w:firstLine="640"/>
      </w:pPr>
      <w:r>
        <w:rPr>
          <w:rFonts w:hint="eastAsia"/>
        </w:rPr>
        <w:t>针对镇域内默河及连接的支流等开展综合整治及生态建设项目，包括清淤疏浚、构建河道防洪体系、生态湿地建设、坑塘整治、水利基础设施建设、农业污染防治等。项目总规模</w:t>
      </w:r>
      <w:r>
        <w:t>3761亩，</w:t>
      </w:r>
      <w:r>
        <w:rPr>
          <w:rFonts w:hint="eastAsia"/>
        </w:rPr>
        <w:t>主要集中在陈营村、前湾村、杨营村、郭营村、胡刘村、杨集村、刘营村、灌涨村。</w:t>
      </w:r>
    </w:p>
    <w:p>
      <w:pPr>
        <w:ind w:firstLine="640"/>
      </w:pPr>
      <w:r>
        <w:rPr>
          <w:rFonts w:hint="eastAsia"/>
        </w:rPr>
        <w:t>2</w:t>
      </w:r>
      <w:r>
        <w:t>.</w:t>
      </w:r>
      <w:r>
        <w:rPr>
          <w:rFonts w:hint="eastAsia"/>
        </w:rPr>
        <w:t>南水北调中线工程水源地（南阳片区）历史遗留废弃矿山生态修复示范工程项目（内乡县）</w:t>
      </w:r>
    </w:p>
    <w:p>
      <w:pPr>
        <w:ind w:firstLine="640"/>
      </w:pPr>
      <w:r>
        <w:t>以矿产资源集中开采区为重点</w:t>
      </w:r>
      <w:r>
        <w:rPr>
          <w:rFonts w:hint="eastAsia"/>
        </w:rPr>
        <w:t>，通过地形重塑、废弃土地复垦、植被恢复、矿石渣清理、边坡治理、矿山土壤及水资源治理等措施，恢复矿山生态环境。项目总规模</w:t>
      </w:r>
      <w:r>
        <w:t>19</w:t>
      </w:r>
      <w:r>
        <w:rPr>
          <w:rFonts w:hint="eastAsia"/>
        </w:rPr>
        <w:t>亩，主要集中于李营村。至20</w:t>
      </w:r>
      <w:r>
        <w:t>2</w:t>
      </w:r>
      <w:r>
        <w:rPr>
          <w:rFonts w:hint="eastAsia"/>
        </w:rPr>
        <w:t>5年，</w:t>
      </w:r>
      <w:r>
        <w:t>历史遗留矿山完成上级下发任务，至2035年，历史遗留矿山实现应治尽治</w:t>
      </w:r>
      <w:r>
        <w:rPr>
          <w:rFonts w:hint="eastAsia"/>
        </w:rPr>
        <w:t>。</w:t>
      </w:r>
    </w:p>
    <w:p>
      <w:pPr>
        <w:ind w:firstLine="640"/>
      </w:pPr>
      <w:r>
        <w:t>3.</w:t>
      </w:r>
      <w:r>
        <w:rPr>
          <w:rFonts w:hint="eastAsia"/>
        </w:rPr>
        <w:t>农业面源污染治理项目</w:t>
      </w:r>
    </w:p>
    <w:p>
      <w:pPr>
        <w:ind w:firstLine="640"/>
      </w:pPr>
      <w:r>
        <w:rPr>
          <w:rFonts w:hint="eastAsia"/>
        </w:rPr>
        <w:t>镇域内烟叶等农产品种植较多、畜牧业发达。针对农业生产过程中农药、化肥使用较多，存在白色垃圾，畜牧业污染等问题，开展农业面源污染治理。通过推进农业现代化，有机种植、有机防治，合理使用农药和化肥，建设农田防渗透工程，制定农业废弃物处理政策，加强污染监测等方式治理农业面源污染。</w:t>
      </w:r>
    </w:p>
    <w:p>
      <w:pPr>
        <w:ind w:firstLine="640"/>
      </w:pPr>
      <w:r>
        <w:br w:type="page"/>
      </w:r>
    </w:p>
    <w:p>
      <w:pPr>
        <w:spacing w:before="48"/>
        <w:ind w:firstLine="640"/>
      </w:pPr>
    </w:p>
    <w:p>
      <w:pPr>
        <w:pStyle w:val="2"/>
        <w:spacing w:before="489" w:beforeLines="150" w:after="489" w:afterLines="150"/>
      </w:pPr>
      <w:bookmarkStart w:id="149" w:name="_Toc175648332"/>
      <w:bookmarkStart w:id="150" w:name="_Toc221006690"/>
      <w:r>
        <w:rPr>
          <w:rFonts w:hint="eastAsia"/>
        </w:rPr>
        <w:t>规划传导</w:t>
      </w:r>
      <w:bookmarkEnd w:id="149"/>
      <w:bookmarkEnd w:id="150"/>
    </w:p>
    <w:p>
      <w:pPr>
        <w:pStyle w:val="3"/>
        <w:spacing w:before="326" w:beforeLines="100" w:after="326" w:afterLines="100"/>
      </w:pPr>
      <w:bookmarkStart w:id="151" w:name="_Toc175648333"/>
      <w:r>
        <w:rPr>
          <w:rFonts w:hint="eastAsia"/>
        </w:rPr>
        <w:t>镇区详细规划单元与指引</w:t>
      </w:r>
      <w:bookmarkEnd w:id="151"/>
    </w:p>
    <w:p>
      <w:pPr>
        <w:pStyle w:val="4"/>
        <w:spacing w:before="195" w:beforeLines="60" w:after="195" w:afterLines="60" w:line="240" w:lineRule="auto"/>
        <w:ind w:left="0"/>
      </w:pPr>
      <w:r>
        <w:rPr>
          <w:rFonts w:hint="eastAsia"/>
        </w:rPr>
        <w:t>划分镇区详规单元</w:t>
      </w:r>
    </w:p>
    <w:p>
      <w:pPr>
        <w:spacing w:before="48"/>
        <w:ind w:firstLine="640"/>
      </w:pPr>
      <w:r>
        <w:rPr>
          <w:rFonts w:hint="eastAsia"/>
        </w:rPr>
        <w:t>根据用地功能、镇区更新和发展需求，以城镇道路等为界，划分为若干详细规划管理单元；镇区共划定5</w:t>
      </w:r>
      <w:r>
        <w:t>个详细规划单元。</w:t>
      </w:r>
    </w:p>
    <w:p>
      <w:pPr>
        <w:pStyle w:val="4"/>
        <w:spacing w:before="195" w:beforeLines="60" w:after="195" w:afterLines="60" w:line="240" w:lineRule="auto"/>
        <w:ind w:left="0"/>
      </w:pPr>
      <w:r>
        <w:rPr>
          <w:rFonts w:hint="eastAsia"/>
        </w:rPr>
        <w:t>单元规划指引</w:t>
      </w:r>
    </w:p>
    <w:p>
      <w:pPr>
        <w:spacing w:before="163" w:beforeLines="50"/>
        <w:ind w:firstLine="640"/>
      </w:pPr>
      <w:r>
        <w:rPr>
          <w:rFonts w:hint="eastAsia"/>
        </w:rPr>
        <w:t>居住生活单元：以住宅建筑和居住配套设施为主要功能导向的区域，结合单元住宅总量控制要求与用地潜力分析，按照构建生活圈要求优化居住用地和配套设施布局，推动建设尺度适宜、配套完善、邻里和谐的全龄友好社区。</w:t>
      </w:r>
      <w:r>
        <w:t xml:space="preserve"> </w:t>
      </w:r>
    </w:p>
    <w:p>
      <w:pPr>
        <w:spacing w:before="163" w:beforeLines="50"/>
        <w:ind w:firstLine="640"/>
      </w:pPr>
      <w:r>
        <w:rPr>
          <w:rFonts w:hint="eastAsia"/>
        </w:rPr>
        <w:t>公共活动中心单元：以提供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p>
    <w:p>
      <w:pPr>
        <w:spacing w:before="163" w:beforeLines="50"/>
        <w:ind w:firstLine="640"/>
      </w:pPr>
      <w:r>
        <w:rPr>
          <w:rFonts w:hint="eastAsia"/>
        </w:rPr>
        <w:t>产业开发单元：以仓储物流及其配套产业为主要功能导向的区域，结合产业空间布局和产业链条设置，按照效率优先、绿色低碳、安全韧性的原则优化用地布局</w:t>
      </w:r>
      <w:r>
        <w:rPr>
          <w:rFonts w:hint="eastAsia" w:hAnsi="Times New Roman"/>
          <w:lang w:bidi="ar"/>
        </w:rPr>
        <w:t>。</w:t>
      </w:r>
    </w:p>
    <w:p>
      <w:pPr>
        <w:pStyle w:val="3"/>
        <w:spacing w:before="326" w:beforeLines="100" w:after="326" w:afterLines="100"/>
      </w:pPr>
      <w:bookmarkStart w:id="152" w:name="_Toc175648334"/>
      <w:r>
        <w:rPr>
          <w:rFonts w:hint="eastAsia"/>
        </w:rPr>
        <w:t>详细规划编制单元与指引</w:t>
      </w:r>
      <w:bookmarkEnd w:id="152"/>
    </w:p>
    <w:p>
      <w:pPr>
        <w:pStyle w:val="4"/>
        <w:spacing w:before="195" w:beforeLines="60" w:after="195" w:afterLines="60" w:line="240" w:lineRule="auto"/>
        <w:ind w:left="0"/>
      </w:pPr>
      <w:r>
        <w:rPr>
          <w:rFonts w:hint="eastAsia"/>
        </w:rPr>
        <w:t>划定镇域详细规划编制单元</w:t>
      </w:r>
    </w:p>
    <w:p>
      <w:pPr>
        <w:spacing w:before="48"/>
        <w:ind w:firstLine="640"/>
      </w:pPr>
      <w:r>
        <w:rPr>
          <w:rFonts w:hint="eastAsia"/>
        </w:rPr>
        <w:t>全镇共划定33</w:t>
      </w:r>
      <w:r>
        <w:t>个详细规划编制单元，包括县</w:t>
      </w:r>
      <w:r>
        <w:rPr>
          <w:rFonts w:hint="eastAsia"/>
        </w:rPr>
        <w:t>开发片</w:t>
      </w:r>
      <w:r>
        <w:t>区</w:t>
      </w:r>
      <w:r>
        <w:rPr>
          <w:rFonts w:hint="eastAsia"/>
        </w:rPr>
        <w:t>1</w:t>
      </w:r>
      <w:r>
        <w:t>个编制单元，直接落实县总规单元划分成果；其余为以行政村界限为边界的详规单元，分别为</w:t>
      </w:r>
      <w:r>
        <w:rPr>
          <w:rFonts w:hint="eastAsia"/>
        </w:rPr>
        <w:t>杨集</w:t>
      </w:r>
      <w:r>
        <w:t>村编制单元</w:t>
      </w:r>
      <w:r>
        <w:rPr>
          <w:rFonts w:hint="eastAsia"/>
        </w:rPr>
        <w:t>GZ10</w:t>
      </w:r>
      <w:r>
        <w:t>、</w:t>
      </w:r>
      <w:r>
        <w:rPr>
          <w:rFonts w:hint="eastAsia"/>
        </w:rPr>
        <w:t>后马</w:t>
      </w:r>
      <w:r>
        <w:t>村编制单元</w:t>
      </w:r>
      <w:r>
        <w:rPr>
          <w:rFonts w:hint="eastAsia"/>
        </w:rPr>
        <w:t>GZ11</w:t>
      </w:r>
      <w:r>
        <w:t>、</w:t>
      </w:r>
      <w:r>
        <w:rPr>
          <w:rFonts w:hint="eastAsia"/>
        </w:rPr>
        <w:t>周岗</w:t>
      </w:r>
      <w:r>
        <w:t>村编制单元</w:t>
      </w:r>
      <w:r>
        <w:rPr>
          <w:rFonts w:hint="eastAsia"/>
        </w:rPr>
        <w:t>GZ12</w:t>
      </w:r>
      <w:r>
        <w:t>、</w:t>
      </w:r>
      <w:r>
        <w:rPr>
          <w:rFonts w:hint="eastAsia"/>
        </w:rPr>
        <w:t>前马</w:t>
      </w:r>
      <w:r>
        <w:t>村编制单元</w:t>
      </w:r>
      <w:r>
        <w:rPr>
          <w:rFonts w:hint="eastAsia"/>
        </w:rPr>
        <w:t>GZ13</w:t>
      </w:r>
      <w:r>
        <w:t>、</w:t>
      </w:r>
      <w:r>
        <w:rPr>
          <w:rFonts w:hint="eastAsia"/>
        </w:rPr>
        <w:t>陈营</w:t>
      </w:r>
      <w:r>
        <w:t>村编制单元</w:t>
      </w:r>
      <w:r>
        <w:rPr>
          <w:rFonts w:hint="eastAsia"/>
        </w:rPr>
        <w:t>GZ14</w:t>
      </w:r>
      <w:r>
        <w:t>、</w:t>
      </w:r>
      <w:r>
        <w:rPr>
          <w:rFonts w:hint="eastAsia"/>
        </w:rPr>
        <w:t>刘营</w:t>
      </w:r>
      <w:r>
        <w:t>村编制单元</w:t>
      </w:r>
      <w:r>
        <w:rPr>
          <w:rFonts w:hint="eastAsia"/>
        </w:rPr>
        <w:t>GZ15</w:t>
      </w:r>
      <w:r>
        <w:t>、</w:t>
      </w:r>
      <w:r>
        <w:rPr>
          <w:rFonts w:hint="eastAsia"/>
        </w:rPr>
        <w:t>岗头</w:t>
      </w:r>
      <w:r>
        <w:t>村编制单元</w:t>
      </w:r>
      <w:r>
        <w:rPr>
          <w:rFonts w:hint="eastAsia"/>
        </w:rPr>
        <w:t>GZ16</w:t>
      </w:r>
      <w:r>
        <w:t>、</w:t>
      </w:r>
      <w:r>
        <w:rPr>
          <w:rFonts w:hint="eastAsia"/>
        </w:rPr>
        <w:t>水田</w:t>
      </w:r>
      <w:r>
        <w:t>村编制单元</w:t>
      </w:r>
      <w:r>
        <w:rPr>
          <w:rFonts w:hint="eastAsia"/>
        </w:rPr>
        <w:t>GZ17</w:t>
      </w:r>
      <w:r>
        <w:t>、</w:t>
      </w:r>
      <w:r>
        <w:rPr>
          <w:rFonts w:hint="eastAsia"/>
        </w:rPr>
        <w:t>前湾</w:t>
      </w:r>
      <w:r>
        <w:t>村编制单元</w:t>
      </w:r>
      <w:r>
        <w:rPr>
          <w:rFonts w:hint="eastAsia"/>
        </w:rPr>
        <w:t>GZ18</w:t>
      </w:r>
      <w:r>
        <w:t>、</w:t>
      </w:r>
      <w:r>
        <w:rPr>
          <w:rFonts w:hint="eastAsia"/>
        </w:rPr>
        <w:t>魏庄村编制单元GZ19</w:t>
      </w:r>
      <w:r>
        <w:t>、</w:t>
      </w:r>
      <w:r>
        <w:rPr>
          <w:rFonts w:hint="eastAsia"/>
        </w:rPr>
        <w:t>杨寨</w:t>
      </w:r>
      <w:r>
        <w:t>村编制单元</w:t>
      </w:r>
      <w:r>
        <w:rPr>
          <w:rFonts w:hint="eastAsia"/>
        </w:rPr>
        <w:t>GZ20</w:t>
      </w:r>
      <w:r>
        <w:t>、</w:t>
      </w:r>
      <w:r>
        <w:rPr>
          <w:rFonts w:hint="eastAsia"/>
        </w:rPr>
        <w:t>杨岗</w:t>
      </w:r>
      <w:r>
        <w:t>村编制单元</w:t>
      </w:r>
      <w:r>
        <w:rPr>
          <w:rFonts w:hint="eastAsia"/>
        </w:rPr>
        <w:t>GZ21</w:t>
      </w:r>
      <w:r>
        <w:t>、</w:t>
      </w:r>
      <w:r>
        <w:rPr>
          <w:rFonts w:hint="eastAsia"/>
        </w:rPr>
        <w:t>杨营</w:t>
      </w:r>
      <w:r>
        <w:t>村编制单元</w:t>
      </w:r>
      <w:r>
        <w:rPr>
          <w:rFonts w:hint="eastAsia"/>
        </w:rPr>
        <w:t>GZ22</w:t>
      </w:r>
      <w:r>
        <w:t>、</w:t>
      </w:r>
      <w:r>
        <w:rPr>
          <w:rFonts w:hint="eastAsia"/>
        </w:rPr>
        <w:t>灌涨</w:t>
      </w:r>
      <w:r>
        <w:t>村编制单元</w:t>
      </w:r>
      <w:r>
        <w:rPr>
          <w:rFonts w:hint="eastAsia"/>
        </w:rPr>
        <w:t>GZ23</w:t>
      </w:r>
      <w:r>
        <w:t>、</w:t>
      </w:r>
      <w:r>
        <w:rPr>
          <w:rFonts w:hint="eastAsia"/>
        </w:rPr>
        <w:t>杨洼</w:t>
      </w:r>
      <w:r>
        <w:t>村编制单元</w:t>
      </w:r>
      <w:r>
        <w:rPr>
          <w:rFonts w:hint="eastAsia"/>
        </w:rPr>
        <w:t>GZ24</w:t>
      </w:r>
      <w:r>
        <w:t>、</w:t>
      </w:r>
      <w:r>
        <w:rPr>
          <w:rFonts w:hint="eastAsia"/>
        </w:rPr>
        <w:t>郭营</w:t>
      </w:r>
      <w:r>
        <w:t>村编制单元</w:t>
      </w:r>
      <w:r>
        <w:rPr>
          <w:rFonts w:hint="eastAsia"/>
        </w:rPr>
        <w:t>GZ25</w:t>
      </w:r>
      <w:r>
        <w:t>、</w:t>
      </w:r>
      <w:r>
        <w:rPr>
          <w:rFonts w:hint="eastAsia"/>
        </w:rPr>
        <w:t>宋营</w:t>
      </w:r>
      <w:r>
        <w:t>村编制单元</w:t>
      </w:r>
      <w:r>
        <w:rPr>
          <w:rFonts w:hint="eastAsia"/>
        </w:rPr>
        <w:t>GZ26</w:t>
      </w:r>
      <w:r>
        <w:t>、</w:t>
      </w:r>
      <w:r>
        <w:rPr>
          <w:rFonts w:hint="eastAsia"/>
        </w:rPr>
        <w:t>寺洼</w:t>
      </w:r>
      <w:r>
        <w:t>村编制单元</w:t>
      </w:r>
      <w:r>
        <w:rPr>
          <w:rFonts w:hint="eastAsia"/>
        </w:rPr>
        <w:t>GZ27</w:t>
      </w:r>
      <w:r>
        <w:t>、</w:t>
      </w:r>
      <w:r>
        <w:rPr>
          <w:rFonts w:hint="eastAsia"/>
        </w:rPr>
        <w:t>前楼</w:t>
      </w:r>
      <w:r>
        <w:t>村编制单元</w:t>
      </w:r>
      <w:r>
        <w:rPr>
          <w:rFonts w:hint="eastAsia"/>
        </w:rPr>
        <w:t>GZ28</w:t>
      </w:r>
      <w:r>
        <w:t>、</w:t>
      </w:r>
      <w:r>
        <w:rPr>
          <w:rFonts w:hint="eastAsia"/>
        </w:rPr>
        <w:t>屈营</w:t>
      </w:r>
      <w:r>
        <w:t>村编制单元</w:t>
      </w:r>
      <w:r>
        <w:rPr>
          <w:rFonts w:hint="eastAsia"/>
        </w:rPr>
        <w:t>GZ29</w:t>
      </w:r>
      <w:r>
        <w:t>、</w:t>
      </w:r>
      <w:r>
        <w:rPr>
          <w:rFonts w:hint="eastAsia"/>
        </w:rPr>
        <w:t>李营</w:t>
      </w:r>
      <w:r>
        <w:t>村编制单元</w:t>
      </w:r>
      <w:r>
        <w:rPr>
          <w:rFonts w:hint="eastAsia"/>
        </w:rPr>
        <w:t>GZ30</w:t>
      </w:r>
      <w:r>
        <w:t>、</w:t>
      </w:r>
      <w:r>
        <w:rPr>
          <w:rFonts w:hint="eastAsia"/>
        </w:rPr>
        <w:t>胡刘</w:t>
      </w:r>
      <w:r>
        <w:t>村编制单元</w:t>
      </w:r>
      <w:r>
        <w:rPr>
          <w:rFonts w:hint="eastAsia"/>
        </w:rPr>
        <w:t>GZ31</w:t>
      </w:r>
      <w:r>
        <w:t>、</w:t>
      </w:r>
      <w:r>
        <w:rPr>
          <w:rFonts w:hint="eastAsia"/>
        </w:rPr>
        <w:t>山底</w:t>
      </w:r>
      <w:r>
        <w:t>村编制单元</w:t>
      </w:r>
      <w:r>
        <w:rPr>
          <w:rFonts w:hint="eastAsia"/>
        </w:rPr>
        <w:t>GZ32</w:t>
      </w:r>
      <w:r>
        <w:t>、</w:t>
      </w:r>
      <w:r>
        <w:rPr>
          <w:rFonts w:hint="eastAsia"/>
        </w:rPr>
        <w:t>刘岗</w:t>
      </w:r>
      <w:r>
        <w:t>村编制单元</w:t>
      </w:r>
      <w:r>
        <w:rPr>
          <w:rFonts w:hint="eastAsia"/>
        </w:rPr>
        <w:t>GZ33。</w:t>
      </w:r>
    </w:p>
    <w:p>
      <w:pPr>
        <w:pStyle w:val="4"/>
        <w:spacing w:before="195" w:beforeLines="60" w:after="195" w:afterLines="60" w:line="240" w:lineRule="auto"/>
        <w:ind w:left="0"/>
      </w:pPr>
      <w:r>
        <w:rPr>
          <w:rFonts w:hint="eastAsia"/>
        </w:rPr>
        <w:t>详细规划编制指引</w:t>
      </w:r>
    </w:p>
    <w:p>
      <w:pPr>
        <w:spacing w:before="48"/>
        <w:ind w:firstLine="640"/>
        <w:rPr>
          <w:rFonts w:ascii="仿宋_GB2312"/>
          <w:lang w:bidi="ar"/>
        </w:rPr>
      </w:pPr>
      <w:r>
        <w:rPr>
          <w:rFonts w:hint="eastAsia"/>
        </w:rPr>
        <w:t>全镇镇区范围外，城镇开发边界外共涉及25</w:t>
      </w:r>
      <w:r>
        <w:t>个详细规划编制单元，</w:t>
      </w:r>
      <w:r>
        <w:rPr>
          <w:rFonts w:hint="eastAsia" w:ascii="仿宋_GB2312"/>
          <w:lang w:bidi="ar"/>
        </w:rPr>
        <w:t>根据村庄类型和发展需求选择编制“实用性”村庄规划、“通则式”村庄规划、“通则式村庄规划管理规定”和“单元”村庄规划。</w:t>
      </w:r>
    </w:p>
    <w:p>
      <w:pPr>
        <w:spacing w:before="48"/>
        <w:ind w:firstLine="640"/>
        <w:rPr>
          <w:lang w:bidi="ar"/>
        </w:rPr>
      </w:pPr>
      <w:r>
        <w:rPr>
          <w:rFonts w:hint="eastAsia" w:ascii="仿宋_GB2312"/>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r>
        <w:rPr>
          <w:rFonts w:hint="eastAsia"/>
          <w:lang w:bidi="ar"/>
        </w:rPr>
        <w:t>。</w:t>
      </w:r>
    </w:p>
    <w:p>
      <w:pPr>
        <w:spacing w:before="48"/>
        <w:ind w:firstLine="640"/>
        <w:rPr>
          <w:lang w:bidi="ar"/>
        </w:rPr>
      </w:pPr>
    </w:p>
    <w:p>
      <w:pPr>
        <w:spacing w:before="48"/>
        <w:ind w:firstLine="640"/>
        <w:rPr>
          <w:lang w:bidi="ar"/>
        </w:rPr>
      </w:pPr>
      <w:r>
        <w:rPr>
          <w:lang w:bidi="ar"/>
        </w:rPr>
        <w:br w:type="page"/>
      </w:r>
    </w:p>
    <w:p>
      <w:pPr>
        <w:spacing w:before="48"/>
        <w:ind w:firstLine="640"/>
        <w:rPr>
          <w:lang w:bidi="ar"/>
        </w:rPr>
      </w:pPr>
    </w:p>
    <w:p>
      <w:pPr>
        <w:pStyle w:val="2"/>
        <w:spacing w:before="489" w:beforeLines="150" w:after="489" w:afterLines="150"/>
      </w:pPr>
      <w:bookmarkStart w:id="153" w:name="_Toc221006691"/>
      <w:r>
        <w:rPr>
          <w:rFonts w:hint="eastAsia"/>
        </w:rPr>
        <w:t>实施保障</w:t>
      </w:r>
      <w:bookmarkEnd w:id="153"/>
    </w:p>
    <w:p>
      <w:pPr>
        <w:pStyle w:val="3"/>
        <w:spacing w:before="326" w:beforeLines="100" w:after="326" w:afterLines="100"/>
      </w:pPr>
      <w:bookmarkStart w:id="154" w:name="_Toc175648335"/>
      <w:r>
        <w:rPr>
          <w:rFonts w:hint="eastAsia"/>
        </w:rPr>
        <w:t>近期行动计划制定</w:t>
      </w:r>
      <w:bookmarkEnd w:id="154"/>
    </w:p>
    <w:p>
      <w:pPr>
        <w:pStyle w:val="4"/>
        <w:spacing w:before="195" w:beforeLines="60" w:after="195" w:afterLines="60" w:line="240" w:lineRule="auto"/>
        <w:ind w:left="0"/>
      </w:pPr>
      <w:bookmarkStart w:id="155" w:name="_Hlk142927673"/>
      <w:bookmarkStart w:id="156" w:name="_Toc122364916"/>
      <w:bookmarkStart w:id="157" w:name="_Toc122362506"/>
      <w:bookmarkStart w:id="158" w:name="_Toc126054148"/>
      <w:r>
        <w:rPr>
          <w:rFonts w:hint="eastAsia"/>
        </w:rPr>
        <w:t>近期实施重点任务</w:t>
      </w:r>
    </w:p>
    <w:bookmarkEnd w:id="155"/>
    <w:p>
      <w:pPr>
        <w:spacing w:before="48"/>
        <w:ind w:firstLine="640"/>
      </w:pPr>
      <w:r>
        <w:rPr>
          <w:rFonts w:hint="eastAsia"/>
        </w:rPr>
        <w:t>编制国土空间五年行动规划和年度实施计划。衔接十四五规划，加强对于国土空间规划目标任务的分解落实和实施推动，统筹各类专项行动，落实重大项目推进要求，滚动编制近期行动以及年度实施计划。</w:t>
      </w:r>
    </w:p>
    <w:p>
      <w:pPr>
        <w:pStyle w:val="4"/>
        <w:spacing w:before="195" w:beforeLines="60" w:after="195" w:afterLines="60" w:line="240" w:lineRule="auto"/>
        <w:ind w:left="0"/>
      </w:pPr>
      <w:bookmarkStart w:id="159" w:name="_Hlk142927680"/>
      <w:r>
        <w:rPr>
          <w:rFonts w:hint="eastAsia"/>
        </w:rPr>
        <w:t>行动计划</w:t>
      </w:r>
      <w:bookmarkEnd w:id="156"/>
      <w:bookmarkEnd w:id="157"/>
      <w:bookmarkEnd w:id="158"/>
    </w:p>
    <w:bookmarkEnd w:id="159"/>
    <w:p>
      <w:pPr>
        <w:ind w:firstLine="640"/>
      </w:pPr>
      <w:bookmarkStart w:id="160" w:name="_Hlk167092865"/>
      <w:r>
        <w:rPr>
          <w:rFonts w:hint="eastAsia"/>
        </w:rPr>
        <w:t>1</w:t>
      </w:r>
      <w:r>
        <w:t>.</w:t>
      </w:r>
      <w:r>
        <w:rPr>
          <w:rFonts w:hint="eastAsia"/>
        </w:rPr>
        <w:t>生态修复类项目</w:t>
      </w:r>
    </w:p>
    <w:p>
      <w:pPr>
        <w:ind w:firstLine="640"/>
      </w:pPr>
      <w:r>
        <w:rPr>
          <w:rFonts w:hint="eastAsia"/>
        </w:rPr>
        <w:t>重点推进南水北调中线工程水源地（南阳片区）历史遗留废弃矿山生态修复示范工程项目（内乡县）、灌涨镇农业面源污染治理项目、灌涨镇曾家河流域治理项目、默河下游提升治理项目</w:t>
      </w:r>
      <w:r>
        <w:t>等4个</w:t>
      </w:r>
      <w:r>
        <w:rPr>
          <w:rFonts w:hint="eastAsia"/>
        </w:rPr>
        <w:t>生态修复</w:t>
      </w:r>
      <w:r>
        <w:t>类项目。</w:t>
      </w:r>
    </w:p>
    <w:p>
      <w:pPr>
        <w:ind w:firstLine="640"/>
      </w:pPr>
      <w:r>
        <w:t>2.</w:t>
      </w:r>
      <w:r>
        <w:rPr>
          <w:rFonts w:hint="eastAsia"/>
        </w:rPr>
        <w:t>土地整治类项目</w:t>
      </w:r>
    </w:p>
    <w:p>
      <w:pPr>
        <w:ind w:firstLine="640"/>
      </w:pPr>
      <w:r>
        <w:rPr>
          <w:rFonts w:hint="eastAsia"/>
        </w:rPr>
        <w:t>重点推进灌涨镇全域土地综合整治项目</w:t>
      </w:r>
      <w:r>
        <w:t>等1个</w:t>
      </w:r>
      <w:r>
        <w:rPr>
          <w:rFonts w:hint="eastAsia"/>
        </w:rPr>
        <w:t>土地整治</w:t>
      </w:r>
      <w:r>
        <w:t>类项目。</w:t>
      </w:r>
    </w:p>
    <w:p>
      <w:pPr>
        <w:ind w:firstLine="640"/>
      </w:pPr>
      <w:r>
        <w:t>3.</w:t>
      </w:r>
      <w:r>
        <w:rPr>
          <w:rFonts w:hint="eastAsia"/>
        </w:rPr>
        <w:t>产业发展类项目</w:t>
      </w:r>
    </w:p>
    <w:p>
      <w:pPr>
        <w:ind w:firstLine="640"/>
      </w:pPr>
      <w:r>
        <w:rPr>
          <w:rFonts w:hint="eastAsia"/>
        </w:rPr>
        <w:t>重点推进牧原肉食品综合体、农牧装备孵化园、太平洋岗石老厂区、生命健康产业园、内乡县牧原国际食品城二期项目、牧原集团新型环保智能生猪养殖及屠宰加工项目、内乡县乡村振兴现代高效特色农业生产示范基地项目、牧原项目、龙大牧原、晋城陶瓷、贾营旅游开发项目、灌涨村粮食仓储项目、高效农业蔬菜大棚建设项目、国家级（南阳）中医药自贸区项目、四万亩种养循环示范高标准良田建设项目、绿色高效农业种植项目、特种钢产业园项目、默河水上文化旅游综合开发项目、密封垫深加工产业园项目、高纯度石英硅生产加工产业园项目、淀粉及淀粉产品生产加工项目、牧原产业链配套加工生产项目等</w:t>
      </w:r>
      <w:r>
        <w:t>22</w:t>
      </w:r>
      <w:r>
        <w:rPr>
          <w:rFonts w:hint="eastAsia"/>
        </w:rPr>
        <w:t>个生态修复类项目</w:t>
      </w:r>
      <w:r>
        <w:t>。</w:t>
      </w:r>
    </w:p>
    <w:p>
      <w:pPr>
        <w:ind w:firstLine="640"/>
      </w:pPr>
      <w:r>
        <w:t>4.</w:t>
      </w:r>
      <w:r>
        <w:rPr>
          <w:rFonts w:hint="eastAsia"/>
        </w:rPr>
        <w:t>基础设施类项目</w:t>
      </w:r>
    </w:p>
    <w:p>
      <w:pPr>
        <w:ind w:firstLine="640"/>
      </w:pPr>
      <w:r>
        <w:rPr>
          <w:rFonts w:hint="eastAsia"/>
        </w:rPr>
        <w:t>重点推进上海至西安高速公路内乡县与</w:t>
      </w:r>
      <w:r>
        <w:t>S330交叉处（灌涨出入口）</w:t>
      </w:r>
      <w:r>
        <w:rPr>
          <w:rFonts w:hint="eastAsia"/>
        </w:rPr>
        <w:t>、</w:t>
      </w:r>
      <w:r>
        <w:t>G312线内乡后马服务区</w:t>
      </w:r>
      <w:r>
        <w:rPr>
          <w:rFonts w:hint="eastAsia"/>
        </w:rPr>
        <w:t>、</w:t>
      </w:r>
      <w:r>
        <w:t>S330内乡镇平界至清凉庙段改建工程</w:t>
      </w:r>
      <w:r>
        <w:rPr>
          <w:rFonts w:hint="eastAsia"/>
        </w:rPr>
        <w:t>、东王庄马庄线</w:t>
      </w:r>
      <w:r>
        <w:t>-胡刘</w:t>
      </w:r>
      <w:r>
        <w:rPr>
          <w:rFonts w:hint="eastAsia"/>
        </w:rPr>
        <w:t>建设项目、</w:t>
      </w:r>
      <w:r>
        <w:t>S243线内乡余关至南环路改建工程</w:t>
      </w:r>
      <w:r>
        <w:rPr>
          <w:rFonts w:hint="eastAsia"/>
        </w:rPr>
        <w:t>、内乡县食品城南路建设工程、内乡县商圣路新建工程、南环路改建工程、内乡县龙源路（花园路—宝天曼大道）道路提升改造工程、内乡县宝天曼大道（天贵酒店—默河桥）升级改造工程、内乡县德清路新建工程、前楼</w:t>
      </w:r>
      <w:r>
        <w:t>-程岗道路项目</w:t>
      </w:r>
      <w:r>
        <w:rPr>
          <w:rFonts w:hint="eastAsia"/>
        </w:rPr>
        <w:t>、和平南路新建工程、集镇社区提升项目、丰收渠灌区续建配套与现代化改造项目、灌涨镇公墓建设项目、灌涨园林公墓等</w:t>
      </w:r>
      <w:r>
        <w:t>17个</w:t>
      </w:r>
      <w:r>
        <w:rPr>
          <w:rFonts w:hint="eastAsia"/>
        </w:rPr>
        <w:t>基础设施</w:t>
      </w:r>
      <w:r>
        <w:t>类项目。</w:t>
      </w:r>
    </w:p>
    <w:p>
      <w:pPr>
        <w:ind w:firstLine="640"/>
      </w:pPr>
      <w:r>
        <w:t>5.</w:t>
      </w:r>
      <w:r>
        <w:rPr>
          <w:rFonts w:hint="eastAsia"/>
        </w:rPr>
        <w:t>公共服务类项目</w:t>
      </w:r>
    </w:p>
    <w:p>
      <w:pPr>
        <w:ind w:firstLine="640"/>
      </w:pPr>
      <w:r>
        <w:rPr>
          <w:rFonts w:hint="eastAsia"/>
        </w:rPr>
        <w:t>重点推进杨洼村广场长廊、灌涨镇卫生院搬迁项目、社会化养老康养中心项目等</w:t>
      </w:r>
      <w:r>
        <w:t>3个</w:t>
      </w:r>
      <w:r>
        <w:rPr>
          <w:rFonts w:hint="eastAsia"/>
        </w:rPr>
        <w:t>公共服务设施</w:t>
      </w:r>
      <w:r>
        <w:t>类项目。</w:t>
      </w:r>
    </w:p>
    <w:p>
      <w:pPr>
        <w:ind w:firstLine="640"/>
      </w:pPr>
      <w:r>
        <w:t>6.</w:t>
      </w:r>
      <w:r>
        <w:rPr>
          <w:rFonts w:hint="eastAsia"/>
        </w:rPr>
        <w:t>能源类项目</w:t>
      </w:r>
    </w:p>
    <w:p>
      <w:pPr>
        <w:ind w:firstLine="640"/>
      </w:pPr>
      <w:r>
        <w:rPr>
          <w:rFonts w:hint="eastAsia"/>
        </w:rPr>
        <w:t>重点推进新型独立储能电站项目等1</w:t>
      </w:r>
      <w:r>
        <w:t>3个</w:t>
      </w:r>
      <w:r>
        <w:rPr>
          <w:rFonts w:hint="eastAsia"/>
        </w:rPr>
        <w:t>公能源</w:t>
      </w:r>
      <w:r>
        <w:t>类项目。</w:t>
      </w:r>
    </w:p>
    <w:bookmarkEnd w:id="160"/>
    <w:p>
      <w:pPr>
        <w:pStyle w:val="3"/>
        <w:spacing w:before="326" w:beforeLines="100" w:after="326" w:afterLines="100"/>
      </w:pPr>
      <w:bookmarkStart w:id="161" w:name="_Toc175648336"/>
      <w:r>
        <w:rPr>
          <w:rFonts w:hint="eastAsia"/>
        </w:rPr>
        <w:t>规划全周期实施监督管理</w:t>
      </w:r>
      <w:bookmarkEnd w:id="161"/>
    </w:p>
    <w:p>
      <w:pPr>
        <w:pStyle w:val="4"/>
        <w:spacing w:before="195" w:beforeLines="60" w:after="195" w:afterLines="60" w:line="240" w:lineRule="auto"/>
        <w:ind w:left="0"/>
      </w:pPr>
      <w:bookmarkStart w:id="162" w:name="_Hlk142927625"/>
      <w:r>
        <w:rPr>
          <w:rFonts w:hint="eastAsia"/>
        </w:rPr>
        <w:t>提升规划信息化水平</w:t>
      </w:r>
    </w:p>
    <w:bookmarkEnd w:id="162"/>
    <w:p>
      <w:pPr>
        <w:spacing w:before="48"/>
        <w:ind w:firstLine="640"/>
        <w:rPr>
          <w:lang w:bidi="ar"/>
        </w:rPr>
      </w:pPr>
      <w:r>
        <w:rPr>
          <w:rFonts w:hint="eastAsia"/>
          <w:lang w:bidi="ar"/>
        </w:rPr>
        <w:t>形成国土空间规划数据库，数据成果应同步上报，纳入国土空间规划“一张图”实施监督信息系统。</w:t>
      </w:r>
    </w:p>
    <w:p>
      <w:pPr>
        <w:pStyle w:val="4"/>
        <w:spacing w:before="195" w:beforeLines="60" w:after="195" w:afterLines="60" w:line="240" w:lineRule="auto"/>
        <w:ind w:left="0"/>
      </w:pPr>
      <w:bookmarkStart w:id="163" w:name="_Hlk142927630"/>
      <w:r>
        <w:rPr>
          <w:rFonts w:hint="eastAsia"/>
        </w:rPr>
        <w:t>落实国土空间用途管制制度</w:t>
      </w:r>
    </w:p>
    <w:bookmarkEnd w:id="163"/>
    <w:p>
      <w:pPr>
        <w:spacing w:before="48"/>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beforeLines="60" w:after="195" w:afterLines="60" w:line="240" w:lineRule="auto"/>
        <w:ind w:left="0"/>
      </w:pPr>
      <w:bookmarkStart w:id="164" w:name="_Hlk142927634"/>
      <w:r>
        <w:rPr>
          <w:rFonts w:hint="eastAsia"/>
        </w:rPr>
        <w:t>加强规划实施监测评估</w:t>
      </w:r>
    </w:p>
    <w:bookmarkEnd w:id="164"/>
    <w:p>
      <w:pPr>
        <w:spacing w:before="48"/>
        <w:ind w:firstLine="640"/>
        <w:rPr>
          <w:lang w:bidi="ar"/>
        </w:rPr>
      </w:pPr>
      <w:r>
        <w:rPr>
          <w:rFonts w:hint="eastAsia"/>
          <w:lang w:bidi="ar"/>
        </w:rPr>
        <w:t>建立规划实施评估指标体系和“体检评估”机制，落实国土空间规划监测评估预警系统，为市、县开展城市体检和规划全周期管理提供支撑。</w:t>
      </w:r>
      <w:r>
        <w:rPr>
          <w:lang w:bidi="ar"/>
        </w:rPr>
        <w:br w:type="page"/>
      </w:r>
    </w:p>
    <w:p>
      <w:pPr>
        <w:ind w:firstLine="640"/>
      </w:pPr>
      <w:bookmarkStart w:id="165" w:name="_Toc216450862"/>
      <w:bookmarkStart w:id="166" w:name="_Hlk220573942"/>
    </w:p>
    <w:p>
      <w:pPr>
        <w:pStyle w:val="2"/>
      </w:pPr>
      <w:bookmarkStart w:id="167" w:name="_Toc221006692"/>
      <w:r>
        <w:t>“</w:t>
      </w:r>
      <w:r>
        <w:rPr>
          <w:rFonts w:hint="eastAsia"/>
        </w:rPr>
        <w:t>通则式</w:t>
      </w:r>
      <w:r>
        <w:t>”</w:t>
      </w:r>
      <w:r>
        <w:rPr>
          <w:rFonts w:hint="eastAsia"/>
        </w:rPr>
        <w:t>村庄规划管理规定</w:t>
      </w:r>
      <w:bookmarkEnd w:id="165"/>
      <w:bookmarkEnd w:id="167"/>
    </w:p>
    <w:p>
      <w:pPr>
        <w:pStyle w:val="3"/>
      </w:pPr>
      <w:bookmarkStart w:id="168" w:name="_Toc214543577"/>
      <w:r>
        <w:rPr>
          <w:rFonts w:hint="eastAsia"/>
        </w:rPr>
        <w:t>适用范围</w:t>
      </w:r>
      <w:bookmarkEnd w:id="168"/>
    </w:p>
    <w:p>
      <w:pPr>
        <w:pStyle w:val="4"/>
        <w:spacing w:before="195" w:after="195"/>
      </w:pPr>
      <w:r>
        <w:rPr>
          <w:rFonts w:hint="eastAsia"/>
        </w:rPr>
        <w:t>适用范围</w:t>
      </w:r>
    </w:p>
    <w:p>
      <w:pPr>
        <w:ind w:firstLine="640"/>
      </w:pPr>
      <w:r>
        <w:rPr>
          <w:rFonts w:hint="eastAsia"/>
        </w:rPr>
        <w:t>在单独编制的村庄规划批准前，本辖区范围内需要编制村庄规划的村庄适用本规定，在有条件有需求时，可再行单独编制“实用性”或“通则式”村庄规划，</w:t>
      </w:r>
      <w:r>
        <w:t>规划获批后上传至国土空间规划“一张图”，更新替代原规划</w:t>
      </w:r>
      <w:r>
        <w:rPr>
          <w:rFonts w:hint="eastAsia"/>
        </w:rPr>
        <w:t>。</w:t>
      </w:r>
    </w:p>
    <w:p>
      <w:pPr>
        <w:ind w:firstLine="640"/>
      </w:pPr>
      <w:r>
        <w:rPr>
          <w:rFonts w:hint="eastAsia"/>
        </w:rPr>
        <w:t>符合条件的农民建房（新建、改建、扩建）、乡村公共服务设施、公用设施和产业项目的建设，可依据通则式村庄规划管理规定，按相关规定办理规划许可手续。已单独编制村庄规划的，可参照执行。</w:t>
      </w:r>
    </w:p>
    <w:p>
      <w:pPr>
        <w:pStyle w:val="3"/>
      </w:pPr>
      <w:bookmarkStart w:id="169" w:name="_Toc214543578"/>
      <w:r>
        <w:rPr>
          <w:rFonts w:hint="eastAsia"/>
        </w:rPr>
        <w:t>底线管控要求</w:t>
      </w:r>
      <w:bookmarkEnd w:id="169"/>
    </w:p>
    <w:p>
      <w:pPr>
        <w:pStyle w:val="4"/>
        <w:spacing w:before="195" w:after="195"/>
      </w:pPr>
      <w:r>
        <w:rPr>
          <w:rFonts w:hint="eastAsia"/>
        </w:rPr>
        <w:t>耕地和</w:t>
      </w:r>
      <w:r>
        <w:t>永久基本农田</w:t>
      </w:r>
    </w:p>
    <w:p>
      <w:pPr>
        <w:ind w:firstLine="640"/>
      </w:pPr>
      <w:r>
        <w:rPr>
          <w:rFonts w:hint="eastAsia"/>
        </w:rPr>
        <w:t>乡村建设不得擅自占用永久基本农田。严格耕地用途管制，全面落实耕地占补平衡制度。</w:t>
      </w:r>
    </w:p>
    <w:p>
      <w:pPr>
        <w:ind w:firstLine="640"/>
      </w:pPr>
      <w:r>
        <w:t>1.耕地保护</w:t>
      </w:r>
    </w:p>
    <w:p>
      <w:pPr>
        <w:ind w:firstLine="640"/>
      </w:pPr>
      <w:r>
        <w:rPr>
          <w:rFonts w:hint="eastAsia"/>
        </w:rPr>
        <w:t>耕地主要用于粮食和棉、油、糖、蔬菜等农产品及饲草饲料生产；在不破坏耕地耕作层且不造成耕地地类改变的前提下</w:t>
      </w:r>
      <w:r>
        <w:t>,可以适度种植其他农作物。耕地管控“八不准”、“六严禁、五不得”。</w:t>
      </w: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752"/>
        <w:gridCol w:w="3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ind w:firstLine="640"/>
            </w:pPr>
            <w:r>
              <w:rPr>
                <w:rFonts w:hint="eastAsia"/>
              </w:rPr>
              <w:t>专栏1</w:t>
            </w:r>
            <w:r>
              <w:t>6</w:t>
            </w:r>
            <w:r>
              <w:rPr>
                <w:rFonts w:hint="eastAsia"/>
              </w:rPr>
              <w:t>-1 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pPr>
            <w:r>
              <w:rPr>
                <w:rFonts w:hint="eastAsia"/>
              </w:rPr>
              <w:t>八不准</w:t>
            </w:r>
          </w:p>
        </w:tc>
        <w:tc>
          <w:tcPr>
            <w:tcW w:w="2752" w:type="dxa"/>
            <w:vAlign w:val="center"/>
          </w:tcPr>
          <w:p>
            <w:pPr>
              <w:pStyle w:val="96"/>
            </w:pPr>
            <w:r>
              <w:rPr>
                <w:rFonts w:hint="eastAsia"/>
              </w:rPr>
              <w:t>六严禁</w:t>
            </w:r>
          </w:p>
        </w:tc>
        <w:tc>
          <w:tcPr>
            <w:tcW w:w="3074" w:type="dxa"/>
            <w:vAlign w:val="center"/>
          </w:tcPr>
          <w:p>
            <w:pPr>
              <w:pStyle w:val="96"/>
            </w:pPr>
            <w:r>
              <w:rPr>
                <w:rFonts w:hint="eastAsia"/>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913" w:type="dxa"/>
          </w:tcPr>
          <w:p>
            <w:pPr>
              <w:pStyle w:val="96"/>
              <w:jc w:val="left"/>
            </w:pPr>
            <w:r>
              <w:t>不准占用永久基本农田建房。</w:t>
            </w:r>
          </w:p>
          <w:p>
            <w:pPr>
              <w:pStyle w:val="96"/>
              <w:jc w:val="left"/>
            </w:pPr>
            <w:r>
              <w:t>不准强占多占耕地建房。</w:t>
            </w:r>
          </w:p>
          <w:p>
            <w:pPr>
              <w:pStyle w:val="96"/>
              <w:jc w:val="left"/>
            </w:pPr>
            <w:r>
              <w:t>不准买卖、流转耕地违法建房。</w:t>
            </w:r>
          </w:p>
          <w:p>
            <w:pPr>
              <w:pStyle w:val="96"/>
              <w:jc w:val="left"/>
            </w:pPr>
            <w:r>
              <w:t>不准在承包耕地上违法建房。</w:t>
            </w:r>
          </w:p>
          <w:p>
            <w:pPr>
              <w:pStyle w:val="96"/>
              <w:jc w:val="left"/>
            </w:pPr>
            <w:r>
              <w:t>不准巧立名目违法占用耕地建房。</w:t>
            </w:r>
          </w:p>
          <w:p>
            <w:pPr>
              <w:pStyle w:val="96"/>
              <w:jc w:val="left"/>
            </w:pPr>
            <w:r>
              <w:t>不准违反“一户一宅”规定占用耕地建房。</w:t>
            </w:r>
          </w:p>
          <w:p>
            <w:pPr>
              <w:pStyle w:val="96"/>
              <w:jc w:val="left"/>
            </w:pPr>
            <w:r>
              <w:t>不准非法出售占用耕地建的房屋。</w:t>
            </w:r>
          </w:p>
          <w:p>
            <w:pPr>
              <w:pStyle w:val="96"/>
              <w:jc w:val="left"/>
            </w:pPr>
            <w:r>
              <w:t>不准违法审批占用耕地建房。</w:t>
            </w:r>
          </w:p>
        </w:tc>
        <w:tc>
          <w:tcPr>
            <w:tcW w:w="2752" w:type="dxa"/>
          </w:tcPr>
          <w:p>
            <w:pPr>
              <w:pStyle w:val="96"/>
              <w:jc w:val="left"/>
            </w:pPr>
            <w:r>
              <w:t>严禁违规占用耕地绿化造林；</w:t>
            </w:r>
          </w:p>
          <w:p>
            <w:pPr>
              <w:pStyle w:val="96"/>
              <w:jc w:val="left"/>
            </w:pPr>
            <w:r>
              <w:t>严禁超标准建设绿色通道</w:t>
            </w:r>
          </w:p>
          <w:p>
            <w:pPr>
              <w:pStyle w:val="96"/>
              <w:jc w:val="left"/>
            </w:pPr>
            <w:r>
              <w:t>严禁违规占用耕地挖湖造景；</w:t>
            </w:r>
          </w:p>
          <w:p>
            <w:pPr>
              <w:pStyle w:val="96"/>
              <w:jc w:val="left"/>
            </w:pPr>
            <w:r>
              <w:t>严禁占用永久基本农田扩大自然保护地；</w:t>
            </w:r>
          </w:p>
          <w:p>
            <w:pPr>
              <w:pStyle w:val="96"/>
              <w:jc w:val="left"/>
            </w:pPr>
            <w:r>
              <w:t>严禁违规占用耕地从事非农建设；</w:t>
            </w:r>
          </w:p>
          <w:p>
            <w:pPr>
              <w:pStyle w:val="96"/>
              <w:jc w:val="left"/>
            </w:pPr>
            <w:r>
              <w:t>严禁违法违规批地用地。</w:t>
            </w:r>
          </w:p>
          <w:p>
            <w:pPr>
              <w:pStyle w:val="96"/>
              <w:jc w:val="left"/>
            </w:pPr>
          </w:p>
        </w:tc>
        <w:tc>
          <w:tcPr>
            <w:tcW w:w="3074" w:type="dxa"/>
          </w:tcPr>
          <w:p>
            <w:pPr>
              <w:pStyle w:val="96"/>
              <w:jc w:val="left"/>
            </w:pPr>
            <w:r>
              <w:t>不得在一般耕地上挖湖造景、种植草皮；</w:t>
            </w:r>
          </w:p>
          <w:p>
            <w:pPr>
              <w:pStyle w:val="96"/>
              <w:jc w:val="left"/>
            </w:pPr>
            <w:r>
              <w:t>不得擅自扩大退耕还林还草还湖规模；</w:t>
            </w:r>
          </w:p>
          <w:p>
            <w:pPr>
              <w:pStyle w:val="96"/>
              <w:jc w:val="left"/>
            </w:pPr>
            <w:r>
              <w:t>不得违规超标准在铁路、公路等用地红线外，以及河渠两侧、水库周边占用一般耕地种树建设绿化带；</w:t>
            </w:r>
          </w:p>
          <w:p>
            <w:pPr>
              <w:pStyle w:val="96"/>
              <w:jc w:val="left"/>
            </w:pPr>
            <w:r>
              <w:t>未经批准不得占用一般耕地实施国土绿化；</w:t>
            </w:r>
          </w:p>
          <w:p>
            <w:pPr>
              <w:pStyle w:val="96"/>
              <w:jc w:val="left"/>
            </w:pPr>
            <w:r>
              <w:t>未经批准工商企业等社会资本不得将通过流转获得土地经营权的一般耕地转为林地、园地等其他农用地。</w:t>
            </w:r>
          </w:p>
        </w:tc>
      </w:tr>
    </w:tbl>
    <w:p>
      <w:pPr>
        <w:ind w:firstLine="640"/>
      </w:pPr>
      <w:r>
        <w:t>2.永久基本农田保护</w:t>
      </w:r>
    </w:p>
    <w:p>
      <w:pPr>
        <w:ind w:firstLine="640"/>
      </w:pPr>
      <w:r>
        <w:rPr>
          <w:rFonts w:hint="eastAsia"/>
        </w:rPr>
        <w:t>永久基本农田主要用于种植粮食作物，对现状种植棉、油、糖、蔬菜等非粮食作物的</w:t>
      </w:r>
      <w:r>
        <w:t>,可以维持不变。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pStyle w:val="4"/>
        <w:spacing w:before="195" w:after="195"/>
      </w:pPr>
      <w:r>
        <w:t>村庄建设边界</w:t>
      </w:r>
    </w:p>
    <w:p>
      <w:pPr>
        <w:ind w:firstLine="640"/>
      </w:pPr>
      <w:r>
        <w:rPr>
          <w:rFonts w:hint="eastAsia"/>
        </w:rPr>
        <w:t>不得突破《内乡县灌涨镇国土空间总体规划（</w:t>
      </w:r>
      <w:r>
        <w:t>2021-2035年）》划定的村庄建设边界，村庄建设边界内主要包括以下建设用地类型：</w:t>
      </w:r>
    </w:p>
    <w:p>
      <w:pPr>
        <w:ind w:firstLine="640"/>
      </w:pPr>
      <w:r>
        <w:rPr>
          <w:rFonts w:hint="eastAsia"/>
        </w:rPr>
        <w:t>农村宅基地、农村社区服务设施用地、公共管理与公共服务用地、商业服务业用地、工矿用地、仓储用地、交通运输用地、公用设施用地、绿地与开敞空间用地和特殊用地。</w:t>
      </w:r>
    </w:p>
    <w:p>
      <w:pPr>
        <w:ind w:firstLine="640"/>
      </w:pPr>
      <w:r>
        <w:rPr>
          <w:rFonts w:hint="eastAsia"/>
        </w:rPr>
        <w:t>村庄建设活动原则上应位于村庄建设边界范围内。</w:t>
      </w:r>
    </w:p>
    <w:p>
      <w:pPr>
        <w:ind w:firstLine="640"/>
      </w:pPr>
      <w:r>
        <w:rPr>
          <w:rFonts w:hint="eastAsia"/>
        </w:rPr>
        <w:t>村庄建设边界外的存量建设用地，通过土地整理、置换、整治等方式逐渐向村庄建设边界内集中，原土地可根据实际需要调整为非建设用地。</w:t>
      </w:r>
    </w:p>
    <w:p>
      <w:pPr>
        <w:pStyle w:val="4"/>
        <w:spacing w:before="195" w:after="195"/>
      </w:pPr>
      <w:r>
        <w:rPr>
          <w:rFonts w:hint="eastAsia"/>
        </w:rPr>
        <w:t>历史文化保护线</w:t>
      </w:r>
    </w:p>
    <w:p>
      <w:pPr>
        <w:ind w:firstLine="640"/>
        <w:rPr>
          <w:kern w:val="0"/>
          <w:lang w:bidi="ar"/>
        </w:rPr>
      </w:pPr>
      <w:r>
        <w:rPr>
          <w:rFonts w:hint="eastAsia"/>
        </w:rPr>
        <w:t>落实内乡县、灌涨镇国土空间规划确定的历史文化保护控制线，加强</w:t>
      </w:r>
      <w:r>
        <w:rPr>
          <w:rFonts w:hint="eastAsia"/>
          <w:kern w:val="0"/>
          <w:lang w:bidi="ar"/>
        </w:rPr>
        <w:t>历史文化要素管控。</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rPr>
                <w:lang w:val="zh-CN"/>
              </w:rPr>
            </w:pPr>
            <w:r>
              <w:rPr>
                <w:rFonts w:hint="eastAsia"/>
                <w:lang w:val="zh-CN"/>
              </w:rPr>
              <w:t>专栏</w:t>
            </w:r>
            <w:r>
              <w:rPr>
                <w:lang w:val="zh-CN"/>
              </w:rPr>
              <w:t xml:space="preserve">16-2 </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历史文化要素</w:t>
            </w:r>
          </w:p>
        </w:tc>
        <w:tc>
          <w:tcPr>
            <w:tcW w:w="3807" w:type="pct"/>
            <w:vAlign w:val="center"/>
          </w:tcPr>
          <w:p>
            <w:pPr>
              <w:pStyle w:val="96"/>
              <w:rPr>
                <w:lang w:val="zh-CN"/>
              </w:rPr>
            </w:pPr>
            <w:r>
              <w:rPr>
                <w:rFonts w:hint="eastAsia"/>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lang w:val="zh-CN"/>
              </w:rPr>
            </w:pPr>
            <w:r>
              <w:rPr>
                <w:rFonts w:hint="eastAsia"/>
                <w:lang w:val="zh-CN"/>
              </w:rPr>
              <w:t>文物保护单位</w:t>
            </w:r>
          </w:p>
        </w:tc>
        <w:tc>
          <w:tcPr>
            <w:tcW w:w="3807" w:type="pct"/>
            <w:vAlign w:val="center"/>
          </w:tcPr>
          <w:p>
            <w:pPr>
              <w:pStyle w:val="96"/>
              <w:jc w:val="left"/>
              <w:rPr>
                <w:lang w:val="zh-CN"/>
              </w:rPr>
            </w:pPr>
            <w:r>
              <w:rPr>
                <w:rFonts w:hint="eastAsia"/>
                <w:lang w:val="zh-CN"/>
              </w:rPr>
              <w:t>各级文物保护单位的保护范围和建设控制地带以及地下文物埋藏区的界线，以各级人民政府公布的保护范围、建设控制地带为准。应严格按照《文物法》相关规定和程序进行保护和修缮。</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合理开发利用。坚持“留、改、拆”并举，以“保护、利用、提升”为主的原则,严防大拆大建、拆真建假。系统梳理文物资源，深入挖掘其历史价值和旅游资源禀赋，将文物保护与乡村建设统筹结合。</w:t>
      </w:r>
    </w:p>
    <w:p>
      <w:pPr>
        <w:pStyle w:val="4"/>
        <w:spacing w:before="195" w:after="195"/>
      </w:pPr>
      <w:r>
        <w:t>洪涝风险控制线</w:t>
      </w:r>
    </w:p>
    <w:p>
      <w:pPr>
        <w:spacing w:before="65" w:after="156"/>
        <w:ind w:firstLine="640"/>
      </w:pPr>
      <w:r>
        <w:rPr>
          <w:rFonts w:hint="eastAsia"/>
        </w:rPr>
        <w:t>洪涝风险控制线内禁止新增城乡建设用地，确需新增的，需经得相关部门的意见后落实。</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shd w:val="clear" w:color="auto" w:fill="auto"/>
          </w:tcPr>
          <w:p>
            <w:pPr>
              <w:pStyle w:val="98"/>
              <w:ind w:firstLine="640"/>
            </w:pPr>
            <w:r>
              <w:rPr>
                <w:rFonts w:hint="eastAsia"/>
                <w:lang w:bidi="ar"/>
              </w:rPr>
              <w:t>专栏</w:t>
            </w:r>
            <w:r>
              <w:rPr>
                <w:lang w:bidi="ar"/>
              </w:rPr>
              <w:t xml:space="preserve"> 16-3 </w:t>
            </w:r>
            <w:r>
              <w:rPr>
                <w:rFonts w:hint="eastAsia"/>
                <w:lang w:bidi="ar"/>
              </w:rPr>
              <w:t>洪涝风险控制线管控规则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tcPr>
          <w:p>
            <w:pPr>
              <w:pStyle w:val="103"/>
              <w:ind w:firstLine="480"/>
              <w:rPr>
                <w:sz w:val="24"/>
                <w:szCs w:val="24"/>
                <w:lang w:bidi="ar"/>
              </w:rPr>
            </w:pPr>
            <w:r>
              <w:rPr>
                <w:rFonts w:hint="eastAsia"/>
                <w:sz w:val="24"/>
                <w:szCs w:val="24"/>
                <w:lang w:bidi="ar"/>
              </w:rPr>
              <w:t>洪涝灾害高风险区内允许进行的建设活动包括：洪涝灾害的监测设施、预警设施和救援设施；</w:t>
            </w:r>
            <w:r>
              <w:rPr>
                <w:sz w:val="24"/>
                <w:szCs w:val="24"/>
                <w:lang w:bidi="ar"/>
              </w:rPr>
              <w:t>有利于防洪排涝安全的灾害防御工程建设项目，如水库大坝、</w:t>
            </w:r>
            <w:r>
              <w:rPr>
                <w:rFonts w:hint="eastAsia"/>
                <w:sz w:val="24"/>
                <w:szCs w:val="24"/>
                <w:lang w:bidi="ar"/>
              </w:rPr>
              <w:t>调蓄湖、堤防、围堤围堰、水闸、涵洞、排涝泵站、堰坝、塘坝、沟渠、蓄水池、湿地等；现有防洪排涝工程隐患的治理和除险项目；有利于洪涝灾害次生灾害防治安全的治理和建设项目。洪涝灾害的疏散通道，如防洪临时撤离道路；重大洪涝灾害事件的遗址公园、纪念碑等纪念性设施；此类区域内其他类型灾害的防灾减灾治理和建设项目等。</w:t>
            </w:r>
          </w:p>
          <w:p>
            <w:pPr>
              <w:pStyle w:val="103"/>
              <w:ind w:firstLine="480"/>
              <w:rPr>
                <w:lang w:bidi="ar"/>
              </w:rPr>
            </w:pPr>
            <w:r>
              <w:rPr>
                <w:rFonts w:hint="eastAsia"/>
                <w:sz w:val="24"/>
                <w:szCs w:val="24"/>
                <w:lang w:bidi="ar"/>
              </w:rPr>
              <w:t>洪涝灾害高风险区内禁止进行的建设活动包括：禁止新建影响行洪和排涝安全的生产性、开发性建设活动，现有此类项目应逐步退出；禁止新建重大危源项目，以及生产易燃、易爆、有毒物品的工业用地和存放危险品的合储用地现有此类项目应逐步退出。禁止在此类区域内新增建设用地指标等。</w:t>
            </w:r>
          </w:p>
        </w:tc>
      </w:tr>
    </w:tbl>
    <w:p>
      <w:pPr>
        <w:pStyle w:val="3"/>
      </w:pPr>
      <w:bookmarkStart w:id="170" w:name="_Toc214543579"/>
      <w:r>
        <w:rPr>
          <w:rFonts w:hint="eastAsia"/>
        </w:rPr>
        <w:t>建设管控要求</w:t>
      </w:r>
      <w:bookmarkEnd w:id="170"/>
    </w:p>
    <w:p>
      <w:pPr>
        <w:pStyle w:val="4"/>
        <w:spacing w:before="195" w:after="195"/>
      </w:pPr>
      <w:r>
        <w:rPr>
          <w:rFonts w:hint="eastAsia"/>
        </w:rPr>
        <w:t>村庄建设用地管控</w:t>
      </w:r>
    </w:p>
    <w:p>
      <w:pPr>
        <w:ind w:firstLine="640"/>
      </w:pPr>
      <w:r>
        <w:rPr>
          <w:rFonts w:hint="eastAsia"/>
        </w:rPr>
        <w:t>村庄建设项目应当位于村庄建设边界内，符合乡镇国土空间规划明确的国土空间用途管制规则和建设管控要求。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w:t>
            </w:r>
            <w:r>
              <w:rPr>
                <w:lang w:bidi="ar"/>
              </w:rPr>
              <w:t xml:space="preserve">16-4 </w:t>
            </w:r>
            <w:r>
              <w:rPr>
                <w:rFonts w:hint="eastAsia"/>
                <w:lang w:bidi="ar"/>
              </w:rPr>
              <w:t>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铁路等级</w:t>
            </w:r>
          </w:p>
        </w:tc>
        <w:tc>
          <w:tcPr>
            <w:tcW w:w="5155" w:type="dxa"/>
          </w:tcPr>
          <w:p>
            <w:pPr>
              <w:pStyle w:val="96"/>
            </w:pPr>
            <w:r>
              <w:rPr>
                <w:rFonts w:hint="eastAsia"/>
              </w:rPr>
              <w:t>建筑边缘与铁路路基外侧的距离（米）</w:t>
            </w:r>
          </w:p>
        </w:tc>
        <w:tc>
          <w:tcPr>
            <w:tcW w:w="1770" w:type="dxa"/>
          </w:tcPr>
          <w:p>
            <w:pPr>
              <w:pStyle w:val="96"/>
            </w:pPr>
            <w:r>
              <w:rPr>
                <w:rFonts w:hint="eastAsia"/>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高铁</w:t>
            </w:r>
          </w:p>
        </w:tc>
        <w:tc>
          <w:tcPr>
            <w:tcW w:w="5155" w:type="dxa"/>
          </w:tcPr>
          <w:p>
            <w:pPr>
              <w:pStyle w:val="96"/>
            </w:pPr>
            <w:r>
              <w:rPr>
                <w:rFonts w:hint="eastAsia"/>
              </w:rPr>
              <w:t>不低于50米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pPr>
            <w:r>
              <w:rPr>
                <w:rFonts w:hint="eastAsia"/>
              </w:rPr>
              <w:t>铁路干线</w:t>
            </w:r>
          </w:p>
        </w:tc>
        <w:tc>
          <w:tcPr>
            <w:tcW w:w="5155" w:type="dxa"/>
          </w:tcPr>
          <w:p>
            <w:pPr>
              <w:pStyle w:val="96"/>
            </w:pPr>
            <w:r>
              <w:rPr>
                <w:rFonts w:hint="eastAsia"/>
              </w:rPr>
              <w:t>不低于30米</w:t>
            </w:r>
          </w:p>
        </w:tc>
        <w:tc>
          <w:tcPr>
            <w:tcW w:w="1770"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pPr>
            <w:r>
              <w:rPr>
                <w:rFonts w:hint="eastAsia"/>
              </w:rPr>
              <w:t>铁路支线</w:t>
            </w:r>
          </w:p>
        </w:tc>
        <w:tc>
          <w:tcPr>
            <w:tcW w:w="5155" w:type="dxa"/>
          </w:tcPr>
          <w:p>
            <w:pPr>
              <w:pStyle w:val="96"/>
            </w:pPr>
            <w:r>
              <w:rPr>
                <w:rFonts w:hint="eastAsia"/>
              </w:rPr>
              <w:t>不低于20米</w:t>
            </w:r>
          </w:p>
        </w:tc>
        <w:tc>
          <w:tcPr>
            <w:tcW w:w="1770" w:type="dxa"/>
          </w:tcPr>
          <w:p>
            <w:pPr>
              <w:pStyle w:val="96"/>
            </w:pPr>
          </w:p>
        </w:tc>
      </w:tr>
    </w:tbl>
    <w:p>
      <w:pPr>
        <w:spacing w:line="500" w:lineRule="exact"/>
        <w:ind w:firstLine="560"/>
        <w:jc w:val="center"/>
        <w:rPr>
          <w:rFonts w:ascii="仿宋" w:hAnsi="仿宋" w:eastAsia="仿宋" w:cs="仿宋"/>
          <w:kern w:val="0"/>
          <w:sz w:val="28"/>
          <w:szCs w:val="28"/>
          <w:lang w:bidi="ar"/>
        </w:rPr>
      </w:pP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w:t>
            </w:r>
            <w:r>
              <w:rPr>
                <w:lang w:bidi="ar"/>
              </w:rPr>
              <w:t xml:space="preserve">6-5 </w:t>
            </w:r>
            <w:r>
              <w:rPr>
                <w:rFonts w:hint="eastAsia"/>
                <w:lang w:bidi="ar"/>
              </w:rPr>
              <w:t>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道路类型</w:t>
            </w:r>
          </w:p>
        </w:tc>
        <w:tc>
          <w:tcPr>
            <w:tcW w:w="5155" w:type="dxa"/>
          </w:tcPr>
          <w:p>
            <w:pPr>
              <w:pStyle w:val="96"/>
              <w:rPr>
                <w:lang w:bidi="ar"/>
              </w:rPr>
            </w:pPr>
            <w:r>
              <w:rPr>
                <w:rFonts w:hint="eastAsia"/>
                <w:lang w:bidi="ar"/>
              </w:rPr>
              <w:t>各类建筑物退让道路红线的距离（米</w:t>
            </w:r>
            <w:r>
              <w:rPr>
                <w:lang w:bidi="ar"/>
              </w:rPr>
              <w:t>）</w:t>
            </w:r>
          </w:p>
        </w:tc>
        <w:tc>
          <w:tcPr>
            <w:tcW w:w="1770" w:type="dxa"/>
          </w:tcPr>
          <w:p>
            <w:pPr>
              <w:pStyle w:val="96"/>
              <w:rPr>
                <w:lang w:bidi="ar"/>
              </w:rPr>
            </w:pPr>
            <w:r>
              <w:rPr>
                <w:rFonts w:hint="eastAsia"/>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高速公路</w:t>
            </w:r>
          </w:p>
        </w:tc>
        <w:tc>
          <w:tcPr>
            <w:tcW w:w="5155" w:type="dxa"/>
          </w:tcPr>
          <w:p>
            <w:pPr>
              <w:pStyle w:val="96"/>
              <w:rPr>
                <w:lang w:bidi="ar"/>
              </w:rPr>
            </w:pPr>
            <w:r>
              <w:rPr>
                <w:rFonts w:hint="eastAsia"/>
                <w:lang w:bidi="ar"/>
              </w:rPr>
              <w:t>≥3</w:t>
            </w:r>
            <w:r>
              <w:rPr>
                <w:lang w:bidi="ar"/>
              </w:rPr>
              <w:t>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国道</w:t>
            </w:r>
          </w:p>
        </w:tc>
        <w:tc>
          <w:tcPr>
            <w:tcW w:w="5155" w:type="dxa"/>
          </w:tcPr>
          <w:p>
            <w:pPr>
              <w:pStyle w:val="96"/>
              <w:rPr>
                <w:lang w:bidi="ar"/>
              </w:rPr>
            </w:pPr>
            <w:r>
              <w:rPr>
                <w:rFonts w:hint="eastAsia"/>
                <w:lang w:bidi="ar"/>
              </w:rPr>
              <w:t>≥</w:t>
            </w:r>
            <w:r>
              <w:rPr>
                <w:lang w:bidi="ar"/>
              </w:rPr>
              <w:t>20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省道</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县道</w:t>
            </w:r>
          </w:p>
        </w:tc>
        <w:tc>
          <w:tcPr>
            <w:tcW w:w="5155" w:type="dxa"/>
          </w:tcPr>
          <w:p>
            <w:pPr>
              <w:pStyle w:val="96"/>
              <w:rPr>
                <w:lang w:bidi="ar"/>
              </w:rPr>
            </w:pPr>
            <w:r>
              <w:rPr>
                <w:rFonts w:hint="eastAsia"/>
                <w:lang w:bidi="ar"/>
              </w:rPr>
              <w:t>≥</w:t>
            </w:r>
            <w:r>
              <w:rPr>
                <w:lang w:bidi="ar"/>
              </w:rPr>
              <w:t>10</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乡道</w:t>
            </w:r>
          </w:p>
        </w:tc>
        <w:tc>
          <w:tcPr>
            <w:tcW w:w="5155" w:type="dxa"/>
          </w:tcPr>
          <w:p>
            <w:pPr>
              <w:pStyle w:val="96"/>
              <w:rPr>
                <w:lang w:bidi="ar"/>
              </w:rPr>
            </w:pPr>
            <w:r>
              <w:rPr>
                <w:rFonts w:hint="eastAsia"/>
                <w:lang w:bidi="ar"/>
              </w:rPr>
              <w:t>≥</w:t>
            </w:r>
            <w:r>
              <w:rPr>
                <w:lang w:bidi="ar"/>
              </w:rPr>
              <w:t>5</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lang w:bidi="ar"/>
              </w:rPr>
            </w:pPr>
            <w:r>
              <w:rPr>
                <w:rFonts w:hint="eastAsia"/>
                <w:lang w:bidi="ar"/>
              </w:rPr>
              <w:t>村道</w:t>
            </w:r>
          </w:p>
        </w:tc>
        <w:tc>
          <w:tcPr>
            <w:tcW w:w="5155" w:type="dxa"/>
          </w:tcPr>
          <w:p>
            <w:pPr>
              <w:pStyle w:val="96"/>
              <w:rPr>
                <w:lang w:bidi="ar"/>
              </w:rPr>
            </w:pPr>
            <w:r>
              <w:rPr>
                <w:rFonts w:hint="eastAsia"/>
                <w:lang w:bidi="ar"/>
              </w:rPr>
              <w:t>≥</w:t>
            </w:r>
            <w:r>
              <w:rPr>
                <w:lang w:bidi="ar"/>
              </w:rPr>
              <w:t>3</w:t>
            </w:r>
          </w:p>
        </w:tc>
        <w:tc>
          <w:tcPr>
            <w:tcW w:w="1770"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lang w:bidi="ar"/>
              </w:rPr>
            </w:pPr>
            <w:r>
              <w:rPr>
                <w:rFonts w:hint="eastAsia"/>
                <w:lang w:bidi="ar"/>
              </w:rPr>
              <w:t>村域主干路</w:t>
            </w:r>
          </w:p>
        </w:tc>
        <w:tc>
          <w:tcPr>
            <w:tcW w:w="5155" w:type="dxa"/>
          </w:tcPr>
          <w:p>
            <w:pPr>
              <w:pStyle w:val="96"/>
              <w:rPr>
                <w:lang w:bidi="ar"/>
              </w:rPr>
            </w:pPr>
            <w:r>
              <w:rPr>
                <w:rFonts w:hint="eastAsia"/>
                <w:lang w:bidi="ar"/>
              </w:rPr>
              <w:t>≥</w:t>
            </w:r>
            <w:r>
              <w:rPr>
                <w:lang w:bidi="ar"/>
              </w:rPr>
              <w:t>1.5</w:t>
            </w:r>
          </w:p>
        </w:tc>
        <w:tc>
          <w:tcPr>
            <w:tcW w:w="1770" w:type="dxa"/>
          </w:tcPr>
          <w:p>
            <w:pPr>
              <w:pStyle w:val="96"/>
              <w:rPr>
                <w:lang w:bidi="ar"/>
              </w:rPr>
            </w:pPr>
          </w:p>
        </w:tc>
      </w:tr>
    </w:tbl>
    <w:p>
      <w:pPr>
        <w:pStyle w:val="105"/>
      </w:pPr>
      <w:r>
        <w:rPr>
          <w:rFonts w:hint="eastAsia"/>
        </w:rPr>
        <w:t>注：若村内有约定的建筑退让道路红线距离，按照约定的退让距离执行。</w:t>
      </w:r>
    </w:p>
    <w:p>
      <w:pPr>
        <w:ind w:firstLine="640"/>
      </w:pPr>
      <w:r>
        <w:t>乡村范围内各类建筑退河道（水库）管护范围线不得小于5米，且应结合防洪、生态、水系及其他专项规划进行合理控制。</w:t>
      </w:r>
    </w:p>
    <w:p>
      <w:pPr>
        <w:pStyle w:val="4"/>
        <w:spacing w:before="195" w:after="195"/>
      </w:pPr>
      <w:r>
        <w:t>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农村村民一户只能拥有一处宅基地。新建宅基地平原地区</w:t>
      </w:r>
      <w:r>
        <w:t>每户宅基地面积不得超过167平方米</w:t>
      </w:r>
      <w:r>
        <w:rPr>
          <w:rFonts w:hint="eastAsia"/>
        </w:rPr>
        <w:t>，新建宅基地山地、丘陵地区</w:t>
      </w:r>
      <w:r>
        <w:t>每户宅基地面积不得超过200平方米。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w:t>
      </w:r>
      <w:r>
        <w:rPr>
          <w:rFonts w:hint="eastAsia"/>
        </w:rPr>
        <w:t>间</w:t>
      </w:r>
      <w:r>
        <w:t>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w:t>
      </w:r>
      <w:bookmarkStart w:id="171" w:name="OLE_LINK1"/>
      <w:bookmarkStart w:id="172" w:name="OLE_LINK2"/>
      <w:r>
        <w:t>农村住房设计图集</w:t>
      </w:r>
      <w:bookmarkEnd w:id="171"/>
      <w:bookmarkEnd w:id="172"/>
      <w:r>
        <w:t>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1821" w:tblpY="286"/>
        <w:tblOverlap w:val="never"/>
        <w:tblW w:w="534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1312"/>
        <w:gridCol w:w="1932"/>
        <w:gridCol w:w="1853"/>
        <w:gridCol w:w="1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000" w:type="pct"/>
            <w:gridSpan w:val="5"/>
          </w:tcPr>
          <w:p>
            <w:pPr>
              <w:pStyle w:val="98"/>
            </w:pPr>
            <w:r>
              <w:rPr>
                <w:rFonts w:hint="eastAsia"/>
              </w:rPr>
              <w:t>专栏</w:t>
            </w:r>
            <w:r>
              <w:t xml:space="preserve">16-6 </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建筑层数（层）</w:t>
            </w:r>
          </w:p>
        </w:tc>
        <w:tc>
          <w:tcPr>
            <w:tcW w:w="720" w:type="pct"/>
          </w:tcPr>
          <w:p>
            <w:pPr>
              <w:pStyle w:val="96"/>
            </w:pPr>
            <w:r>
              <w:rPr>
                <w:rFonts w:hint="eastAsia"/>
              </w:rPr>
              <w:t>容积率</w:t>
            </w:r>
          </w:p>
        </w:tc>
        <w:tc>
          <w:tcPr>
            <w:tcW w:w="1060" w:type="pct"/>
          </w:tcPr>
          <w:p>
            <w:pPr>
              <w:pStyle w:val="96"/>
            </w:pPr>
            <w:r>
              <w:rPr>
                <w:rFonts w:hint="eastAsia"/>
              </w:rPr>
              <w:t>建筑密度（%）</w:t>
            </w:r>
          </w:p>
        </w:tc>
        <w:tc>
          <w:tcPr>
            <w:tcW w:w="1017" w:type="pct"/>
          </w:tcPr>
          <w:p>
            <w:pPr>
              <w:pStyle w:val="96"/>
            </w:pPr>
            <w:r>
              <w:rPr>
                <w:rFonts w:hint="eastAsia"/>
              </w:rPr>
              <w:t>绿地率（%）</w:t>
            </w:r>
          </w:p>
        </w:tc>
        <w:tc>
          <w:tcPr>
            <w:tcW w:w="1087" w:type="pct"/>
          </w:tcPr>
          <w:p>
            <w:pPr>
              <w:pStyle w:val="96"/>
            </w:pPr>
            <w:r>
              <w:rPr>
                <w:rFonts w:hint="eastAsia"/>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116" w:type="pct"/>
          </w:tcPr>
          <w:p>
            <w:pPr>
              <w:pStyle w:val="96"/>
            </w:pPr>
            <w:r>
              <w:rPr>
                <w:rFonts w:hint="eastAsia"/>
              </w:rPr>
              <w:t>≤3</w:t>
            </w:r>
          </w:p>
        </w:tc>
        <w:tc>
          <w:tcPr>
            <w:tcW w:w="720" w:type="pct"/>
          </w:tcPr>
          <w:p>
            <w:pPr>
              <w:pStyle w:val="96"/>
            </w:pPr>
            <w:r>
              <w:rPr>
                <w:rFonts w:hint="eastAsia"/>
              </w:rPr>
              <w:t>≥0</w:t>
            </w:r>
            <w:r>
              <w:t>.8</w:t>
            </w:r>
          </w:p>
        </w:tc>
        <w:tc>
          <w:tcPr>
            <w:tcW w:w="1060" w:type="pct"/>
          </w:tcPr>
          <w:p>
            <w:pPr>
              <w:pStyle w:val="96"/>
            </w:pPr>
            <w:r>
              <w:rPr>
                <w:rFonts w:hint="eastAsia"/>
              </w:rPr>
              <w:t>≤4</w:t>
            </w:r>
            <w:r>
              <w:t>7</w:t>
            </w:r>
          </w:p>
        </w:tc>
        <w:tc>
          <w:tcPr>
            <w:tcW w:w="1017" w:type="pct"/>
          </w:tcPr>
          <w:p>
            <w:pPr>
              <w:pStyle w:val="96"/>
            </w:pPr>
            <w:r>
              <w:rPr>
                <w:rFonts w:hint="eastAsia"/>
              </w:rPr>
              <w:t>≥2</w:t>
            </w:r>
            <w:r>
              <w:t>3</w:t>
            </w:r>
          </w:p>
        </w:tc>
        <w:tc>
          <w:tcPr>
            <w:tcW w:w="1087" w:type="pct"/>
          </w:tcPr>
          <w:p>
            <w:pPr>
              <w:pStyle w:val="96"/>
            </w:pPr>
            <w:r>
              <w:rPr>
                <w:rFonts w:hint="eastAsia"/>
              </w:rPr>
              <w:t>≤1</w:t>
            </w:r>
            <w: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116" w:type="pct"/>
          </w:tcPr>
          <w:p>
            <w:pPr>
              <w:pStyle w:val="96"/>
              <w:rPr>
                <w:rFonts w:ascii="仿宋_GB2312"/>
              </w:rPr>
            </w:pPr>
            <w:r>
              <w:rPr>
                <w:rFonts w:hint="eastAsia"/>
              </w:rPr>
              <w:t>4</w:t>
            </w:r>
            <w:r>
              <w:t>-6</w:t>
            </w:r>
          </w:p>
        </w:tc>
        <w:tc>
          <w:tcPr>
            <w:tcW w:w="720" w:type="pct"/>
          </w:tcPr>
          <w:p>
            <w:pPr>
              <w:pStyle w:val="96"/>
              <w:rPr>
                <w:rFonts w:ascii="仿宋_GB2312"/>
              </w:rPr>
            </w:pPr>
            <w:r>
              <w:rPr>
                <w:rFonts w:hint="eastAsia"/>
              </w:rPr>
              <w:t>≥</w:t>
            </w:r>
            <w:r>
              <w:t>1.2</w:t>
            </w:r>
          </w:p>
        </w:tc>
        <w:tc>
          <w:tcPr>
            <w:tcW w:w="1060" w:type="pct"/>
          </w:tcPr>
          <w:p>
            <w:pPr>
              <w:pStyle w:val="96"/>
              <w:rPr>
                <w:rFonts w:ascii="仿宋_GB2312"/>
              </w:rPr>
            </w:pPr>
            <w:r>
              <w:rPr>
                <w:rFonts w:hint="eastAsia"/>
              </w:rPr>
              <w:t>≤3</w:t>
            </w:r>
            <w:r>
              <w:t>8</w:t>
            </w:r>
          </w:p>
        </w:tc>
        <w:tc>
          <w:tcPr>
            <w:tcW w:w="1017" w:type="pct"/>
          </w:tcPr>
          <w:p>
            <w:pPr>
              <w:pStyle w:val="96"/>
              <w:rPr>
                <w:rFonts w:ascii="仿宋_GB2312"/>
              </w:rPr>
            </w:pPr>
            <w:r>
              <w:rPr>
                <w:rFonts w:hint="eastAsia"/>
              </w:rPr>
              <w:t>≥</w:t>
            </w:r>
            <w:r>
              <w:t>28</w:t>
            </w:r>
          </w:p>
        </w:tc>
        <w:tc>
          <w:tcPr>
            <w:tcW w:w="1087" w:type="pct"/>
          </w:tcPr>
          <w:p>
            <w:pPr>
              <w:pStyle w:val="96"/>
              <w:rPr>
                <w:rFonts w:ascii="仿宋_GB2312"/>
              </w:rPr>
            </w:pPr>
            <w:r>
              <w:rPr>
                <w:rFonts w:hint="eastAsia"/>
              </w:rPr>
              <w:t>≤</w:t>
            </w:r>
            <w:r>
              <w:t>24</w:t>
            </w:r>
          </w:p>
        </w:tc>
      </w:tr>
    </w:tbl>
    <w:p>
      <w:pPr>
        <w:ind w:firstLine="640"/>
      </w:pPr>
      <w:r>
        <w:t>村民集中住宅楼、保障性租赁住房建筑间距、建筑退让及其他配套设施设置可参照城市居住区有关标准执行。</w:t>
      </w:r>
    </w:p>
    <w:p>
      <w:pPr>
        <w:pStyle w:val="4"/>
        <w:spacing w:before="195" w:after="195"/>
      </w:pP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tbl>
      <w:tblPr>
        <w:tblStyle w:val="31"/>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984"/>
        <w:gridCol w:w="1559"/>
        <w:gridCol w:w="170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17" w:type="dxa"/>
            <w:gridSpan w:val="5"/>
            <w:vAlign w:val="center"/>
          </w:tcPr>
          <w:p>
            <w:pPr>
              <w:pStyle w:val="98"/>
              <w:rPr>
                <w:lang w:bidi="ar"/>
              </w:rPr>
            </w:pPr>
            <w:r>
              <w:rPr>
                <w:rFonts w:hint="eastAsia"/>
                <w:lang w:bidi="ar"/>
              </w:rPr>
              <w:t>专栏</w:t>
            </w:r>
            <w:r>
              <w:rPr>
                <w:lang w:bidi="ar"/>
              </w:rPr>
              <w:t xml:space="preserve">16-7 </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类别</w:t>
            </w:r>
          </w:p>
        </w:tc>
        <w:tc>
          <w:tcPr>
            <w:tcW w:w="1984" w:type="dxa"/>
            <w:vMerge w:val="restart"/>
            <w:vAlign w:val="center"/>
          </w:tcPr>
          <w:p>
            <w:pPr>
              <w:pStyle w:val="96"/>
              <w:rPr>
                <w:lang w:bidi="ar"/>
              </w:rPr>
            </w:pPr>
            <w:r>
              <w:rPr>
                <w:rFonts w:hint="eastAsia"/>
                <w:lang w:bidi="ar"/>
              </w:rPr>
              <w:t>项目</w:t>
            </w:r>
          </w:p>
        </w:tc>
        <w:tc>
          <w:tcPr>
            <w:tcW w:w="4678" w:type="dxa"/>
            <w:gridSpan w:val="3"/>
            <w:vAlign w:val="center"/>
          </w:tcPr>
          <w:p>
            <w:pPr>
              <w:pStyle w:val="96"/>
              <w:rPr>
                <w:lang w:bidi="ar"/>
              </w:rPr>
            </w:pPr>
            <w:r>
              <w:rPr>
                <w:rFonts w:hint="eastAsia"/>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tcPr>
          <w:p>
            <w:pPr>
              <w:pStyle w:val="96"/>
              <w:rPr>
                <w:lang w:bidi="ar"/>
              </w:rPr>
            </w:pPr>
          </w:p>
        </w:tc>
        <w:tc>
          <w:tcPr>
            <w:tcW w:w="1984" w:type="dxa"/>
            <w:vMerge w:val="continue"/>
          </w:tcPr>
          <w:p>
            <w:pPr>
              <w:pStyle w:val="96"/>
              <w:rPr>
                <w:lang w:bidi="ar"/>
              </w:rPr>
            </w:pPr>
          </w:p>
        </w:tc>
        <w:tc>
          <w:tcPr>
            <w:tcW w:w="1559" w:type="dxa"/>
          </w:tcPr>
          <w:p>
            <w:pPr>
              <w:pStyle w:val="96"/>
              <w:rPr>
                <w:lang w:bidi="ar"/>
              </w:rPr>
            </w:pPr>
            <w:r>
              <w:rPr>
                <w:rFonts w:hint="eastAsia"/>
                <w:lang w:bidi="ar"/>
              </w:rPr>
              <w:t>集聚提升类</w:t>
            </w:r>
          </w:p>
        </w:tc>
        <w:tc>
          <w:tcPr>
            <w:tcW w:w="1701"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道路交通</w:t>
            </w:r>
          </w:p>
        </w:tc>
        <w:tc>
          <w:tcPr>
            <w:tcW w:w="1984" w:type="dxa"/>
          </w:tcPr>
          <w:p>
            <w:pPr>
              <w:pStyle w:val="96"/>
              <w:rPr>
                <w:lang w:bidi="ar"/>
              </w:rPr>
            </w:pPr>
            <w:r>
              <w:rPr>
                <w:rFonts w:hint="eastAsia"/>
                <w:lang w:bidi="ar"/>
              </w:rPr>
              <w:t>公交站点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停车场</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市政设施</w:t>
            </w:r>
          </w:p>
        </w:tc>
        <w:tc>
          <w:tcPr>
            <w:tcW w:w="1984" w:type="dxa"/>
          </w:tcPr>
          <w:p>
            <w:pPr>
              <w:pStyle w:val="96"/>
              <w:rPr>
                <w:lang w:bidi="ar"/>
              </w:rPr>
            </w:pPr>
            <w:r>
              <w:rPr>
                <w:rFonts w:hint="eastAsia"/>
                <w:lang w:bidi="ar"/>
              </w:rPr>
              <w:t>变压器，配电室</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污水处理设施</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lang w:bidi="ar"/>
              </w:rPr>
            </w:pPr>
          </w:p>
        </w:tc>
        <w:tc>
          <w:tcPr>
            <w:tcW w:w="1984" w:type="dxa"/>
          </w:tcPr>
          <w:p>
            <w:pPr>
              <w:pStyle w:val="96"/>
              <w:rPr>
                <w:lang w:bidi="ar"/>
              </w:rPr>
            </w:pPr>
            <w:r>
              <w:rPr>
                <w:rFonts w:hint="eastAsia"/>
                <w:lang w:bidi="ar"/>
              </w:rPr>
              <w:t>水泵房</w:t>
            </w:r>
          </w:p>
        </w:tc>
        <w:tc>
          <w:tcPr>
            <w:tcW w:w="4678" w:type="dxa"/>
            <w:gridSpan w:val="3"/>
          </w:tcPr>
          <w:p>
            <w:pPr>
              <w:pStyle w:val="96"/>
              <w:rPr>
                <w:lang w:bidi="ar"/>
              </w:rPr>
            </w:pPr>
            <w:r>
              <w:rPr>
                <w:rFonts w:hint="eastAsia"/>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lang w:bidi="ar"/>
              </w:rPr>
            </w:pPr>
            <w:r>
              <w:rPr>
                <w:rFonts w:hint="eastAsia"/>
                <w:lang w:bidi="ar"/>
              </w:rPr>
              <w:t>环境卫生</w:t>
            </w:r>
          </w:p>
        </w:tc>
        <w:tc>
          <w:tcPr>
            <w:tcW w:w="1984" w:type="dxa"/>
          </w:tcPr>
          <w:p>
            <w:pPr>
              <w:pStyle w:val="96"/>
              <w:rPr>
                <w:lang w:bidi="ar"/>
              </w:rPr>
            </w:pPr>
            <w:r>
              <w:rPr>
                <w:rFonts w:hint="eastAsia"/>
                <w:lang w:bidi="ar"/>
              </w:rPr>
              <w:t>垃圾收集点</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5" w:type="dxa"/>
            <w:vMerge w:val="continue"/>
          </w:tcPr>
          <w:p>
            <w:pPr>
              <w:pStyle w:val="96"/>
              <w:rPr>
                <w:lang w:bidi="ar"/>
              </w:rPr>
            </w:pPr>
          </w:p>
        </w:tc>
        <w:tc>
          <w:tcPr>
            <w:tcW w:w="1984" w:type="dxa"/>
          </w:tcPr>
          <w:p>
            <w:pPr>
              <w:pStyle w:val="96"/>
              <w:rPr>
                <w:lang w:bidi="ar"/>
              </w:rPr>
            </w:pPr>
            <w:r>
              <w:rPr>
                <w:rFonts w:hint="eastAsia"/>
                <w:lang w:bidi="ar"/>
              </w:rPr>
              <w:t>公厕</w:t>
            </w:r>
          </w:p>
        </w:tc>
        <w:tc>
          <w:tcPr>
            <w:tcW w:w="1559" w:type="dxa"/>
          </w:tcPr>
          <w:p>
            <w:pPr>
              <w:pStyle w:val="96"/>
              <w:rPr>
                <w:lang w:bidi="ar"/>
              </w:rPr>
            </w:pPr>
            <w:r>
              <w:rPr>
                <w:rFonts w:hint="eastAsia"/>
                <w:lang w:bidi="ar"/>
              </w:rPr>
              <w:t>●</w:t>
            </w:r>
          </w:p>
        </w:tc>
        <w:tc>
          <w:tcPr>
            <w:tcW w:w="1701" w:type="dxa"/>
          </w:tcPr>
          <w:p>
            <w:pPr>
              <w:pStyle w:val="96"/>
              <w:rPr>
                <w:lang w:bidi="ar"/>
              </w:rPr>
            </w:pPr>
            <w:r>
              <w:rPr>
                <w:rFonts w:hint="eastAsia"/>
                <w:lang w:bidi="ar"/>
              </w:rPr>
              <w:t>●</w:t>
            </w:r>
          </w:p>
        </w:tc>
        <w:tc>
          <w:tcPr>
            <w:tcW w:w="1418" w:type="dxa"/>
          </w:tcPr>
          <w:p>
            <w:pPr>
              <w:pStyle w:val="96"/>
              <w:rPr>
                <w:lang w:bidi="ar"/>
              </w:rPr>
            </w:pPr>
            <w:r>
              <w:rPr>
                <w:rFonts w:hint="eastAsia"/>
                <w:lang w:bidi="ar"/>
              </w:rPr>
              <w:t>○</w:t>
            </w:r>
          </w:p>
        </w:tc>
      </w:tr>
    </w:tbl>
    <w:p>
      <w:pPr>
        <w:autoSpaceDE w:val="0"/>
        <w:autoSpaceDN w:val="0"/>
        <w:ind w:firstLine="420"/>
        <w:jc w:val="left"/>
        <w:rPr>
          <w:rFonts w:ascii="楷体" w:hAnsi="楷体" w:eastAsia="楷体" w:cs="楷体"/>
          <w:kern w:val="0"/>
          <w:sz w:val="21"/>
          <w:szCs w:val="21"/>
        </w:rPr>
      </w:pPr>
      <w:r>
        <w:rPr>
          <w:rFonts w:hint="eastAsia" w:ascii="楷体" w:hAnsi="楷体" w:eastAsia="楷体" w:cs="楷体"/>
          <w:kern w:val="0"/>
          <w:sz w:val="21"/>
          <w:szCs w:val="21"/>
        </w:rPr>
        <w:t>注： ●——为应设的内容  ○——为可设的内容</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351"/>
        <w:gridCol w:w="3043"/>
        <w:gridCol w:w="3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gridSpan w:val="4"/>
          </w:tcPr>
          <w:p>
            <w:pPr>
              <w:pStyle w:val="98"/>
              <w:rPr>
                <w:lang w:bidi="ar"/>
              </w:rPr>
            </w:pPr>
            <w:r>
              <w:rPr>
                <w:rFonts w:hint="eastAsia"/>
                <w:lang w:bidi="ar"/>
              </w:rPr>
              <w:t>专栏</w:t>
            </w:r>
            <w:r>
              <w:rPr>
                <w:lang w:bidi="ar"/>
              </w:rPr>
              <w:t xml:space="preserve">16-8 </w:t>
            </w:r>
            <w:r>
              <w:rPr>
                <w:rFonts w:hint="eastAsia"/>
                <w:lang w:bidi="ar"/>
              </w:rPr>
              <w:t>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96"/>
              <w:rPr>
                <w:lang w:bidi="ar"/>
              </w:rPr>
            </w:pPr>
            <w:r>
              <w:rPr>
                <w:rFonts w:hint="eastAsia"/>
                <w:lang w:bidi="ar"/>
              </w:rPr>
              <w:t>类别</w:t>
            </w:r>
          </w:p>
        </w:tc>
        <w:tc>
          <w:tcPr>
            <w:tcW w:w="1351" w:type="dxa"/>
          </w:tcPr>
          <w:p>
            <w:pPr>
              <w:pStyle w:val="96"/>
              <w:rPr>
                <w:lang w:bidi="ar"/>
              </w:rPr>
            </w:pPr>
            <w:r>
              <w:rPr>
                <w:rFonts w:hint="eastAsia"/>
                <w:lang w:bidi="ar"/>
              </w:rPr>
              <w:t>项目</w:t>
            </w:r>
          </w:p>
        </w:tc>
        <w:tc>
          <w:tcPr>
            <w:tcW w:w="3043" w:type="dxa"/>
          </w:tcPr>
          <w:p>
            <w:pPr>
              <w:pStyle w:val="96"/>
              <w:rPr>
                <w:lang w:bidi="ar"/>
              </w:rPr>
            </w:pPr>
            <w:r>
              <w:rPr>
                <w:rFonts w:hint="eastAsia"/>
                <w:lang w:bidi="ar"/>
              </w:rPr>
              <w:t>配置方式</w:t>
            </w:r>
          </w:p>
        </w:tc>
        <w:tc>
          <w:tcPr>
            <w:tcW w:w="3057"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道路交通</w:t>
            </w:r>
          </w:p>
        </w:tc>
        <w:tc>
          <w:tcPr>
            <w:tcW w:w="1351" w:type="dxa"/>
            <w:vAlign w:val="center"/>
          </w:tcPr>
          <w:p>
            <w:pPr>
              <w:pStyle w:val="96"/>
              <w:rPr>
                <w:lang w:bidi="ar"/>
              </w:rPr>
            </w:pPr>
            <w:r>
              <w:rPr>
                <w:rFonts w:hint="eastAsia"/>
                <w:lang w:bidi="ar"/>
              </w:rPr>
              <w:t>公交站点</w:t>
            </w:r>
          </w:p>
        </w:tc>
        <w:tc>
          <w:tcPr>
            <w:tcW w:w="3043" w:type="dxa"/>
            <w:vAlign w:val="center"/>
          </w:tcPr>
          <w:p>
            <w:pPr>
              <w:pStyle w:val="96"/>
              <w:rPr>
                <w:lang w:bidi="ar"/>
              </w:rPr>
            </w:pPr>
            <w:r>
              <w:rPr>
                <w:rFonts w:hint="eastAsia"/>
                <w:lang w:bidi="ar"/>
              </w:rPr>
              <w:t>满足公交车辆运行安全要求，同时尽可能不影响其他交通工具在道路的通行。</w:t>
            </w:r>
          </w:p>
        </w:tc>
        <w:tc>
          <w:tcPr>
            <w:tcW w:w="3057" w:type="dxa"/>
          </w:tcPr>
          <w:p>
            <w:pPr>
              <w:pStyle w:val="96"/>
              <w:rPr>
                <w:lang w:bidi="ar"/>
              </w:rPr>
            </w:pPr>
            <w:r>
              <w:rPr>
                <w:rFonts w:hint="eastAsia"/>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停车场</w:t>
            </w:r>
          </w:p>
        </w:tc>
        <w:tc>
          <w:tcPr>
            <w:tcW w:w="3043" w:type="dxa"/>
            <w:vAlign w:val="center"/>
          </w:tcPr>
          <w:p>
            <w:pPr>
              <w:pStyle w:val="96"/>
              <w:rPr>
                <w:lang w:bidi="ar"/>
              </w:rPr>
            </w:pPr>
            <w:r>
              <w:rPr>
                <w:rFonts w:hint="eastAsia"/>
              </w:rPr>
              <w:t>结合村庄实际，灵活设施</w:t>
            </w:r>
          </w:p>
        </w:tc>
        <w:tc>
          <w:tcPr>
            <w:tcW w:w="3057" w:type="dxa"/>
          </w:tcPr>
          <w:p>
            <w:pPr>
              <w:pStyle w:val="96"/>
              <w:rPr>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restart"/>
            <w:vAlign w:val="center"/>
          </w:tcPr>
          <w:p>
            <w:pPr>
              <w:pStyle w:val="96"/>
              <w:rPr>
                <w:lang w:bidi="ar"/>
              </w:rPr>
            </w:pPr>
            <w:r>
              <w:rPr>
                <w:rFonts w:hint="eastAsia"/>
                <w:lang w:bidi="ar"/>
              </w:rPr>
              <w:t>市政设施</w:t>
            </w:r>
          </w:p>
        </w:tc>
        <w:tc>
          <w:tcPr>
            <w:tcW w:w="1351" w:type="dxa"/>
            <w:vAlign w:val="center"/>
          </w:tcPr>
          <w:p>
            <w:pPr>
              <w:pStyle w:val="96"/>
              <w:rPr>
                <w:lang w:bidi="ar"/>
              </w:rPr>
            </w:pPr>
            <w:r>
              <w:rPr>
                <w:rFonts w:hint="eastAsia"/>
                <w:lang w:bidi="ar"/>
              </w:rPr>
              <w:t>变压器、配电室</w:t>
            </w:r>
          </w:p>
        </w:tc>
        <w:tc>
          <w:tcPr>
            <w:tcW w:w="3043" w:type="dxa"/>
            <w:vAlign w:val="center"/>
          </w:tcPr>
          <w:p>
            <w:pPr>
              <w:pStyle w:val="96"/>
            </w:pPr>
            <w:r>
              <w:rPr>
                <w:rFonts w:hint="eastAsia"/>
              </w:rPr>
              <w:t>供电半径以不超过500m为宜。</w:t>
            </w:r>
          </w:p>
        </w:tc>
        <w:tc>
          <w:tcPr>
            <w:tcW w:w="3057" w:type="dxa"/>
          </w:tcPr>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村庄排水</w:t>
            </w:r>
          </w:p>
        </w:tc>
        <w:tc>
          <w:tcPr>
            <w:tcW w:w="3043" w:type="dxa"/>
            <w:vAlign w:val="center"/>
          </w:tcPr>
          <w:p>
            <w:pPr>
              <w:pStyle w:val="96"/>
            </w:pPr>
            <w:r>
              <w:rPr>
                <w:rFonts w:hint="eastAsia"/>
              </w:rPr>
              <w:t>污水量按生活用水量的75%～90%计算。</w:t>
            </w:r>
          </w:p>
        </w:tc>
        <w:tc>
          <w:tcPr>
            <w:tcW w:w="3057" w:type="dxa"/>
          </w:tcPr>
          <w:p>
            <w:pPr>
              <w:pStyle w:val="96"/>
            </w:pPr>
            <w:r>
              <w:rPr>
                <w:rFonts w:hint="eastAsia"/>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水泵房</w:t>
            </w:r>
          </w:p>
        </w:tc>
        <w:tc>
          <w:tcPr>
            <w:tcW w:w="3043" w:type="dxa"/>
            <w:vAlign w:val="center"/>
          </w:tcPr>
          <w:p>
            <w:pPr>
              <w:pStyle w:val="96"/>
            </w:pPr>
            <w:r>
              <w:rPr>
                <w:rFonts w:hint="eastAsia"/>
              </w:rPr>
              <w:t>泵房的主要通道宽度不应小于1.2米。</w:t>
            </w:r>
          </w:p>
        </w:tc>
        <w:tc>
          <w:tcPr>
            <w:tcW w:w="3057" w:type="dxa"/>
            <w:vAlign w:val="center"/>
          </w:tcPr>
          <w:p>
            <w:pPr>
              <w:pStyle w:val="96"/>
            </w:pPr>
            <w:r>
              <w:rPr>
                <w:rFonts w:hint="eastAsia"/>
              </w:rPr>
              <w:t>非集中供水村庄</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46" w:type="dxa"/>
            <w:vMerge w:val="restart"/>
            <w:vAlign w:val="center"/>
          </w:tcPr>
          <w:p>
            <w:pPr>
              <w:pStyle w:val="96"/>
              <w:rPr>
                <w:lang w:bidi="ar"/>
              </w:rPr>
            </w:pPr>
            <w:r>
              <w:rPr>
                <w:rFonts w:hint="eastAsia"/>
                <w:lang w:bidi="ar"/>
              </w:rPr>
              <w:t>环境卫生</w:t>
            </w:r>
          </w:p>
        </w:tc>
        <w:tc>
          <w:tcPr>
            <w:tcW w:w="1351" w:type="dxa"/>
            <w:vAlign w:val="center"/>
          </w:tcPr>
          <w:p>
            <w:pPr>
              <w:pStyle w:val="96"/>
              <w:rPr>
                <w:lang w:bidi="ar"/>
              </w:rPr>
            </w:pPr>
            <w:r>
              <w:rPr>
                <w:rFonts w:hint="eastAsia"/>
                <w:lang w:bidi="ar"/>
              </w:rPr>
              <w:t>垃圾筒</w:t>
            </w:r>
          </w:p>
        </w:tc>
        <w:tc>
          <w:tcPr>
            <w:tcW w:w="3043" w:type="dxa"/>
            <w:vAlign w:val="center"/>
          </w:tcPr>
          <w:p>
            <w:pPr>
              <w:pStyle w:val="96"/>
            </w:pPr>
            <w:r>
              <w:rPr>
                <w:rFonts w:hint="eastAsia"/>
              </w:rPr>
              <w:t>服务半径一般不超过70m。</w:t>
            </w:r>
          </w:p>
        </w:tc>
        <w:tc>
          <w:tcPr>
            <w:tcW w:w="3057" w:type="dxa"/>
            <w:vAlign w:val="center"/>
          </w:tcPr>
          <w:p>
            <w:pPr>
              <w:pStyle w:val="96"/>
            </w:pPr>
            <w:r>
              <w:rPr>
                <w:rFonts w:hint="eastAsia"/>
              </w:rPr>
              <w:t>五星支部村庄服务半径一般不超过50m。</w:t>
            </w:r>
          </w:p>
          <w:p>
            <w:pPr>
              <w:pStyle w:val="96"/>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46" w:type="dxa"/>
            <w:vMerge w:val="continue"/>
            <w:vAlign w:val="center"/>
          </w:tcPr>
          <w:p>
            <w:pPr>
              <w:pStyle w:val="96"/>
              <w:rPr>
                <w:lang w:bidi="ar"/>
              </w:rPr>
            </w:pPr>
          </w:p>
        </w:tc>
        <w:tc>
          <w:tcPr>
            <w:tcW w:w="1351" w:type="dxa"/>
            <w:vAlign w:val="center"/>
          </w:tcPr>
          <w:p>
            <w:pPr>
              <w:pStyle w:val="96"/>
              <w:rPr>
                <w:lang w:bidi="ar"/>
              </w:rPr>
            </w:pPr>
            <w:r>
              <w:rPr>
                <w:rFonts w:hint="eastAsia"/>
                <w:lang w:bidi="ar"/>
              </w:rPr>
              <w:t>公厕</w:t>
            </w:r>
          </w:p>
        </w:tc>
        <w:tc>
          <w:tcPr>
            <w:tcW w:w="3043" w:type="dxa"/>
            <w:vAlign w:val="center"/>
          </w:tcPr>
          <w:p>
            <w:pPr>
              <w:pStyle w:val="96"/>
            </w:pPr>
            <w:r>
              <w:rPr>
                <w:rFonts w:hint="eastAsia"/>
              </w:rPr>
              <w:t>每村至少设置一个。</w:t>
            </w:r>
          </w:p>
        </w:tc>
        <w:tc>
          <w:tcPr>
            <w:tcW w:w="3057" w:type="dxa"/>
            <w:vAlign w:val="center"/>
          </w:tcPr>
          <w:p>
            <w:pPr>
              <w:pStyle w:val="96"/>
            </w:pPr>
            <w:r>
              <w:rPr>
                <w:rFonts w:hint="eastAsia"/>
              </w:rPr>
              <w:t>建筑面积不大于60平米。</w:t>
            </w:r>
          </w:p>
        </w:tc>
      </w:tr>
    </w:tbl>
    <w:p>
      <w:pPr>
        <w:ind w:firstLine="640"/>
        <w:rPr>
          <w:lang w:bidi="ar"/>
        </w:rPr>
      </w:pPr>
      <w:r>
        <w:rPr>
          <w:rFonts w:hint="eastAsia"/>
          <w:lang w:bidi="ar"/>
        </w:rPr>
        <w:t>在乡村地区建设的机动车停车场，其用地规划控制指标宜符合下表</w:t>
      </w:r>
      <w:r>
        <w:rPr>
          <w:lang w:bidi="ar"/>
        </w:rPr>
        <w:t>的规定。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1701"/>
        <w:gridCol w:w="2126"/>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ind w:firstLine="640"/>
              <w:rPr>
                <w:rFonts w:ascii="仿宋" w:hAnsi="仿宋" w:eastAsia="仿宋" w:cs="仿宋"/>
                <w:sz w:val="21"/>
                <w:szCs w:val="21"/>
              </w:rPr>
            </w:pPr>
            <w:r>
              <w:rPr>
                <w:rFonts w:hint="eastAsia"/>
                <w:lang w:bidi="ar"/>
              </w:rPr>
              <w:t>专栏</w:t>
            </w:r>
            <w:r>
              <w:rPr>
                <w:lang w:bidi="ar"/>
              </w:rPr>
              <w:t xml:space="preserve">16-9 </w:t>
            </w:r>
            <w:r>
              <w:rPr>
                <w:rFonts w:hint="eastAsia"/>
                <w:lang w:bidi="ar"/>
              </w:rPr>
              <w:t>机动车停车场建设用地规划控制指标表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838" w:type="dxa"/>
            <w:vAlign w:val="center"/>
          </w:tcPr>
          <w:p>
            <w:pPr>
              <w:spacing w:line="500" w:lineRule="exact"/>
              <w:ind w:firstLine="0" w:firstLineChars="0"/>
              <w:jc w:val="center"/>
              <w:rPr>
                <w:rFonts w:ascii="仿宋_GB2312" w:hAnsi="仿宋" w:cs="仿宋"/>
                <w:sz w:val="24"/>
                <w:szCs w:val="24"/>
              </w:rPr>
            </w:pP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机动车数量（辆）</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用地标准（平方米/标准停车位）</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用地面积（平方米）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小型停车场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5</w:t>
            </w:r>
            <w:r>
              <w:rPr>
                <w:rFonts w:ascii="仿宋_GB2312" w:hAnsi="仿宋" w:cs="仿宋"/>
                <w:sz w:val="24"/>
                <w:szCs w:val="24"/>
              </w:rPr>
              <w:t>0-300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500-9000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83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大型停车场</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00</w:t>
            </w:r>
          </w:p>
        </w:tc>
        <w:tc>
          <w:tcPr>
            <w:tcW w:w="212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0</w:t>
            </w:r>
          </w:p>
        </w:tc>
        <w:tc>
          <w:tcPr>
            <w:tcW w:w="263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＞9</w:t>
            </w:r>
            <w:r>
              <w:rPr>
                <w:rFonts w:ascii="仿宋_GB2312" w:hAnsi="仿宋" w:cs="仿宋"/>
                <w:sz w:val="24"/>
                <w:szCs w:val="24"/>
              </w:rPr>
              <w:t>000</w:t>
            </w:r>
          </w:p>
        </w:tc>
      </w:tr>
    </w:tbl>
    <w:p>
      <w:pPr>
        <w:pStyle w:val="105"/>
        <w:rPr>
          <w:lang w:bidi="ar"/>
        </w:rPr>
      </w:pPr>
      <w:r>
        <w:rPr>
          <w:rFonts w:hint="eastAsia"/>
          <w:lang w:bidi="ar"/>
        </w:rPr>
        <w:t>注：</w:t>
      </w:r>
      <w:r>
        <w:rPr>
          <w:lang w:bidi="ar"/>
        </w:rPr>
        <w:t>1.标准车停车位以小型汽车为基本单位，其他车型折合为小型汽车车位的换算系数为：微型</w:t>
      </w:r>
      <w:r>
        <w:rPr>
          <w:rFonts w:hint="eastAsia"/>
          <w:lang w:bidi="ar"/>
        </w:rPr>
        <w:t>车</w:t>
      </w:r>
      <w:r>
        <w:rPr>
          <w:lang w:bidi="ar"/>
        </w:rPr>
        <w:t>0.7，小型车1.0，中型车2.0，大型车2.5，铰接车3.5。</w:t>
      </w:r>
    </w:p>
    <w:p>
      <w:pPr>
        <w:pStyle w:val="105"/>
        <w:rPr>
          <w:lang w:bidi="ar"/>
        </w:rPr>
      </w:pPr>
      <w:r>
        <w:rPr>
          <w:lang w:bidi="ar"/>
        </w:rPr>
        <w:t>2.为乡村旅游服务的停车场，可适当提高机动车停车场用地标准，结合地形地貌和游客流量，</w:t>
      </w:r>
      <w:r>
        <w:rPr>
          <w:rFonts w:hint="eastAsia"/>
          <w:lang w:bidi="ar"/>
        </w:rPr>
        <w:t>合理安排用地规模。</w:t>
      </w:r>
    </w:p>
    <w:p>
      <w:pPr>
        <w:pStyle w:val="105"/>
        <w:rPr>
          <w:lang w:bidi="ar"/>
        </w:rPr>
      </w:pPr>
      <w:r>
        <w:rPr>
          <w:lang w:bidi="ar"/>
        </w:rPr>
        <w:t>3.在村庄内部宜建设小型、中型机动车停车场，乡村文旅项目宜结合停车需求建设中型、大</w:t>
      </w:r>
      <w:r>
        <w:rPr>
          <w:rFonts w:hint="eastAsia"/>
          <w:lang w:bidi="ar"/>
        </w:rPr>
        <w:t>型停车场。</w:t>
      </w:r>
    </w:p>
    <w:p>
      <w:pPr>
        <w:pStyle w:val="4"/>
        <w:spacing w:before="195" w:after="195"/>
        <w:rPr>
          <w:lang w:bidi="ar"/>
        </w:rPr>
      </w:pPr>
      <w:r>
        <w:rPr>
          <w:rFonts w:hint="eastAsia"/>
          <w:lang w:bidi="ar"/>
        </w:rPr>
        <w:t>村庄公共服务设施</w:t>
      </w:r>
    </w:p>
    <w:p>
      <w:pPr>
        <w:ind w:firstLine="640"/>
        <w:rPr>
          <w:lang w:bidi="ar"/>
        </w:rPr>
      </w:pPr>
      <w:r>
        <w:rPr>
          <w:rFonts w:hint="eastAsia"/>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w:t>
            </w:r>
            <w:r>
              <w:rPr>
                <w:lang w:bidi="ar"/>
              </w:rPr>
              <w:t xml:space="preserve">16-10 </w:t>
            </w:r>
            <w:r>
              <w:rPr>
                <w:rFonts w:hint="eastAsia"/>
                <w:lang w:bidi="ar"/>
              </w:rPr>
              <w:t>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类别</w:t>
            </w:r>
          </w:p>
        </w:tc>
        <w:tc>
          <w:tcPr>
            <w:tcW w:w="1983" w:type="dxa"/>
            <w:vMerge w:val="restart"/>
            <w:vAlign w:val="center"/>
          </w:tcPr>
          <w:p>
            <w:pPr>
              <w:pStyle w:val="96"/>
              <w:rPr>
                <w:lang w:bidi="ar"/>
              </w:rPr>
            </w:pPr>
            <w:r>
              <w:rPr>
                <w:rFonts w:hint="eastAsia"/>
                <w:lang w:bidi="ar"/>
              </w:rPr>
              <w:t>项目</w:t>
            </w:r>
          </w:p>
        </w:tc>
        <w:tc>
          <w:tcPr>
            <w:tcW w:w="4393" w:type="dxa"/>
            <w:gridSpan w:val="3"/>
          </w:tcPr>
          <w:p>
            <w:pPr>
              <w:pStyle w:val="96"/>
              <w:rPr>
                <w:lang w:bidi="ar"/>
              </w:rPr>
            </w:pPr>
            <w:r>
              <w:rPr>
                <w:rFonts w:hint="eastAsia"/>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rPr>
                <w:lang w:bidi="ar"/>
              </w:rPr>
            </w:pPr>
          </w:p>
        </w:tc>
        <w:tc>
          <w:tcPr>
            <w:tcW w:w="1983" w:type="dxa"/>
            <w:vMerge w:val="continue"/>
          </w:tcPr>
          <w:p>
            <w:pPr>
              <w:pStyle w:val="96"/>
              <w:rPr>
                <w:lang w:bidi="ar"/>
              </w:rPr>
            </w:pPr>
          </w:p>
        </w:tc>
        <w:tc>
          <w:tcPr>
            <w:tcW w:w="1558" w:type="dxa"/>
          </w:tcPr>
          <w:p>
            <w:pPr>
              <w:pStyle w:val="96"/>
              <w:rPr>
                <w:lang w:bidi="ar"/>
              </w:rPr>
            </w:pPr>
            <w:r>
              <w:rPr>
                <w:rFonts w:hint="eastAsia"/>
                <w:lang w:bidi="ar"/>
              </w:rPr>
              <w:t>集聚提升类</w:t>
            </w:r>
          </w:p>
        </w:tc>
        <w:tc>
          <w:tcPr>
            <w:tcW w:w="1417" w:type="dxa"/>
          </w:tcPr>
          <w:p>
            <w:pPr>
              <w:pStyle w:val="96"/>
              <w:rPr>
                <w:lang w:bidi="ar"/>
              </w:rPr>
            </w:pPr>
            <w:r>
              <w:rPr>
                <w:rFonts w:hint="eastAsia"/>
                <w:lang w:bidi="ar"/>
              </w:rPr>
              <w:t>特色保护类</w:t>
            </w:r>
          </w:p>
        </w:tc>
        <w:tc>
          <w:tcPr>
            <w:tcW w:w="1418" w:type="dxa"/>
          </w:tcPr>
          <w:p>
            <w:pPr>
              <w:pStyle w:val="96"/>
              <w:rPr>
                <w:lang w:bidi="ar"/>
              </w:rPr>
            </w:pPr>
            <w:r>
              <w:rPr>
                <w:rFonts w:hint="eastAsia"/>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行政管理</w:t>
            </w:r>
          </w:p>
        </w:tc>
        <w:tc>
          <w:tcPr>
            <w:tcW w:w="1983" w:type="dxa"/>
            <w:vAlign w:val="center"/>
          </w:tcPr>
          <w:p>
            <w:pPr>
              <w:pStyle w:val="96"/>
              <w:rPr>
                <w:lang w:bidi="ar"/>
              </w:rPr>
            </w:pPr>
            <w:r>
              <w:rPr>
                <w:rFonts w:hint="eastAsia"/>
                <w:lang w:bidi="ar"/>
              </w:rPr>
              <w:t>村委会</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教育机构</w:t>
            </w:r>
          </w:p>
        </w:tc>
        <w:tc>
          <w:tcPr>
            <w:tcW w:w="1983" w:type="dxa"/>
            <w:vAlign w:val="center"/>
          </w:tcPr>
          <w:p>
            <w:pPr>
              <w:pStyle w:val="96"/>
              <w:rPr>
                <w:lang w:bidi="ar"/>
              </w:rPr>
            </w:pPr>
            <w:r>
              <w:rPr>
                <w:rFonts w:hint="eastAsia"/>
                <w:lang w:bidi="ar"/>
              </w:rPr>
              <w:t>小学</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幼儿园</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托儿所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文化科技</w:t>
            </w:r>
          </w:p>
        </w:tc>
        <w:tc>
          <w:tcPr>
            <w:tcW w:w="1983" w:type="dxa"/>
            <w:vAlign w:val="center"/>
          </w:tcPr>
          <w:p>
            <w:pPr>
              <w:pStyle w:val="96"/>
              <w:rPr>
                <w:lang w:bidi="ar"/>
              </w:rPr>
            </w:pPr>
            <w:r>
              <w:rPr>
                <w:rFonts w:hint="eastAsia"/>
                <w:lang w:bidi="ar"/>
              </w:rPr>
              <w:t>文化大院</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体育设施</w:t>
            </w:r>
          </w:p>
        </w:tc>
        <w:tc>
          <w:tcPr>
            <w:tcW w:w="1983" w:type="dxa"/>
            <w:vAlign w:val="center"/>
          </w:tcPr>
          <w:p>
            <w:pPr>
              <w:pStyle w:val="96"/>
              <w:rPr>
                <w:lang w:bidi="ar"/>
              </w:rPr>
            </w:pPr>
            <w:r>
              <w:rPr>
                <w:rFonts w:hint="eastAsia"/>
                <w:lang w:bidi="ar"/>
              </w:rPr>
              <w:t>休闲运动广场</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医疗设施</w:t>
            </w:r>
          </w:p>
        </w:tc>
        <w:tc>
          <w:tcPr>
            <w:tcW w:w="1983" w:type="dxa"/>
            <w:vAlign w:val="center"/>
          </w:tcPr>
          <w:p>
            <w:pPr>
              <w:pStyle w:val="96"/>
              <w:rPr>
                <w:lang w:bidi="ar"/>
              </w:rPr>
            </w:pPr>
            <w:r>
              <w:rPr>
                <w:rFonts w:hint="eastAsia"/>
                <w:lang w:bidi="ar"/>
              </w:rPr>
              <w:t>村卫生室</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lang w:bidi="ar"/>
              </w:rPr>
            </w:pPr>
            <w:r>
              <w:rPr>
                <w:rFonts w:hint="eastAsia"/>
                <w:lang w:bidi="ar"/>
              </w:rPr>
              <w:t>社会保障</w:t>
            </w:r>
          </w:p>
        </w:tc>
        <w:tc>
          <w:tcPr>
            <w:tcW w:w="1983" w:type="dxa"/>
            <w:vAlign w:val="center"/>
          </w:tcPr>
          <w:p>
            <w:pPr>
              <w:pStyle w:val="96"/>
              <w:rPr>
                <w:lang w:bidi="ar"/>
              </w:rPr>
            </w:pPr>
            <w:r>
              <w:rPr>
                <w:rFonts w:hint="eastAsia"/>
                <w:lang w:bidi="ar"/>
              </w:rPr>
              <w:t>日间照料中心</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lang w:bidi="ar"/>
              </w:rPr>
            </w:pPr>
            <w:r>
              <w:rPr>
                <w:rFonts w:hint="eastAsia"/>
                <w:lang w:bidi="ar"/>
              </w:rPr>
              <w:t>商业服务</w:t>
            </w:r>
          </w:p>
        </w:tc>
        <w:tc>
          <w:tcPr>
            <w:tcW w:w="1983" w:type="dxa"/>
            <w:vAlign w:val="center"/>
          </w:tcPr>
          <w:p>
            <w:pPr>
              <w:pStyle w:val="96"/>
              <w:rPr>
                <w:lang w:bidi="ar"/>
              </w:rPr>
            </w:pPr>
            <w:r>
              <w:rPr>
                <w:rFonts w:hint="eastAsia"/>
                <w:lang w:bidi="ar"/>
              </w:rPr>
              <w:t>小卖部</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小型超市</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餐饮、特产店</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lang w:bidi="ar"/>
              </w:rPr>
            </w:pPr>
          </w:p>
        </w:tc>
        <w:tc>
          <w:tcPr>
            <w:tcW w:w="1983" w:type="dxa"/>
            <w:vAlign w:val="center"/>
          </w:tcPr>
          <w:p>
            <w:pPr>
              <w:pStyle w:val="96"/>
              <w:rPr>
                <w:lang w:bidi="ar"/>
              </w:rPr>
            </w:pPr>
            <w:r>
              <w:rPr>
                <w:rFonts w:hint="eastAsia"/>
                <w:lang w:bidi="ar"/>
              </w:rPr>
              <w:t>旅馆、招待所</w:t>
            </w:r>
          </w:p>
        </w:tc>
        <w:tc>
          <w:tcPr>
            <w:tcW w:w="1558" w:type="dxa"/>
            <w:vAlign w:val="center"/>
          </w:tcPr>
          <w:p>
            <w:pPr>
              <w:pStyle w:val="96"/>
              <w:rPr>
                <w:lang w:bidi="ar"/>
              </w:rPr>
            </w:pPr>
            <w:r>
              <w:rPr>
                <w:rFonts w:hint="eastAsia"/>
                <w:lang w:bidi="ar"/>
              </w:rPr>
              <w:t>○</w:t>
            </w:r>
          </w:p>
        </w:tc>
        <w:tc>
          <w:tcPr>
            <w:tcW w:w="1417" w:type="dxa"/>
            <w:vAlign w:val="center"/>
          </w:tcPr>
          <w:p>
            <w:pPr>
              <w:pStyle w:val="96"/>
              <w:rPr>
                <w:lang w:bidi="ar"/>
              </w:rPr>
            </w:pPr>
            <w:r>
              <w:rPr>
                <w:rFonts w:hint="eastAsia"/>
                <w:lang w:bidi="ar"/>
              </w:rPr>
              <w:t>○</w:t>
            </w:r>
          </w:p>
        </w:tc>
        <w:tc>
          <w:tcPr>
            <w:tcW w:w="1418" w:type="dxa"/>
            <w:vAlign w:val="center"/>
          </w:tcPr>
          <w:p>
            <w:pPr>
              <w:pStyle w:val="96"/>
              <w:rPr>
                <w:lang w:bidi="ar"/>
              </w:rPr>
            </w:pPr>
            <w:r>
              <w:rPr>
                <w:rFonts w:hint="eastAsia"/>
                <w:lang w:bidi="ar"/>
              </w:rPr>
              <w:t>○</w:t>
            </w:r>
          </w:p>
        </w:tc>
      </w:tr>
    </w:tbl>
    <w:p>
      <w:pPr>
        <w:ind w:firstLine="420"/>
        <w:jc w:val="left"/>
        <w:rPr>
          <w:rFonts w:ascii="楷体" w:hAnsi="楷体" w:eastAsia="楷体" w:cs="楷体"/>
          <w:sz w:val="21"/>
          <w:szCs w:val="21"/>
        </w:rPr>
      </w:pPr>
      <w:r>
        <w:rPr>
          <w:rFonts w:hint="eastAsia" w:ascii="楷体" w:hAnsi="楷体" w:eastAsia="楷体" w:cs="楷体"/>
          <w:kern w:val="0"/>
          <w:sz w:val="21"/>
          <w:szCs w:val="21"/>
          <w:lang w:bidi="ar"/>
        </w:rPr>
        <w:t>注： ●—为应设的内容○—为可设的内容</w:t>
      </w:r>
    </w:p>
    <w:p>
      <w:pPr>
        <w:ind w:firstLine="640"/>
        <w:rPr>
          <w:lang w:bidi="ar"/>
        </w:rPr>
      </w:pPr>
      <w:r>
        <w:rPr>
          <w:rFonts w:hint="eastAsia"/>
          <w:lang w:bidi="ar"/>
        </w:rPr>
        <w:t>配置标准应根据村庄类别配置村庄公共设施，村庄主要公共设施的单项设施用地面积可参考下表规定。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276"/>
        <w:gridCol w:w="1701"/>
        <w:gridCol w:w="4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w:t>
            </w:r>
            <w:r>
              <w:rPr>
                <w:lang w:bidi="ar"/>
              </w:rPr>
              <w:t xml:space="preserve">16-11 </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46" w:type="dxa"/>
          </w:tcPr>
          <w:p>
            <w:pPr>
              <w:pStyle w:val="96"/>
              <w:rPr>
                <w:lang w:bidi="ar"/>
              </w:rPr>
            </w:pPr>
            <w:r>
              <w:rPr>
                <w:rFonts w:hint="eastAsia"/>
                <w:lang w:bidi="ar"/>
              </w:rPr>
              <w:t>类别</w:t>
            </w:r>
          </w:p>
        </w:tc>
        <w:tc>
          <w:tcPr>
            <w:tcW w:w="1276" w:type="dxa"/>
          </w:tcPr>
          <w:p>
            <w:pPr>
              <w:pStyle w:val="96"/>
              <w:rPr>
                <w:lang w:bidi="ar"/>
              </w:rPr>
            </w:pPr>
            <w:r>
              <w:rPr>
                <w:rFonts w:hint="eastAsia"/>
                <w:lang w:bidi="ar"/>
              </w:rPr>
              <w:t>设施名称</w:t>
            </w:r>
          </w:p>
        </w:tc>
        <w:tc>
          <w:tcPr>
            <w:tcW w:w="1701" w:type="dxa"/>
          </w:tcPr>
          <w:p>
            <w:pPr>
              <w:pStyle w:val="96"/>
              <w:rPr>
                <w:lang w:bidi="ar"/>
              </w:rPr>
            </w:pPr>
            <w:r>
              <w:rPr>
                <w:rFonts w:hint="eastAsia"/>
                <w:lang w:bidi="ar"/>
              </w:rPr>
              <w:t>建筑面积</w:t>
            </w:r>
          </w:p>
        </w:tc>
        <w:tc>
          <w:tcPr>
            <w:tcW w:w="4474" w:type="dxa"/>
          </w:tcPr>
          <w:p>
            <w:pPr>
              <w:pStyle w:val="96"/>
              <w:rPr>
                <w:lang w:bidi="ar"/>
              </w:rPr>
            </w:pPr>
            <w:r>
              <w:rPr>
                <w:rFonts w:hint="eastAsia"/>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行政管理</w:t>
            </w:r>
          </w:p>
        </w:tc>
        <w:tc>
          <w:tcPr>
            <w:tcW w:w="1276" w:type="dxa"/>
            <w:vAlign w:val="center"/>
          </w:tcPr>
          <w:p>
            <w:pPr>
              <w:pStyle w:val="96"/>
              <w:rPr>
                <w:lang w:bidi="ar"/>
              </w:rPr>
            </w:pPr>
            <w:r>
              <w:rPr>
                <w:rFonts w:hint="eastAsia"/>
                <w:lang w:bidi="ar"/>
              </w:rPr>
              <w:t>村委会</w:t>
            </w:r>
          </w:p>
        </w:tc>
        <w:tc>
          <w:tcPr>
            <w:tcW w:w="1701" w:type="dxa"/>
            <w:vAlign w:val="center"/>
          </w:tcPr>
          <w:p>
            <w:pPr>
              <w:pStyle w:val="96"/>
              <w:rPr>
                <w:lang w:bidi="ar"/>
              </w:rPr>
            </w:pPr>
            <w:r>
              <w:rPr>
                <w:rFonts w:hint="eastAsia"/>
                <w:lang w:bidi="ar"/>
              </w:rPr>
              <w:t>200-500</w:t>
            </w:r>
          </w:p>
        </w:tc>
        <w:tc>
          <w:tcPr>
            <w:tcW w:w="4474" w:type="dxa"/>
          </w:tcPr>
          <w:p>
            <w:pPr>
              <w:pStyle w:val="96"/>
              <w:rPr>
                <w:lang w:bidi="ar"/>
              </w:rPr>
            </w:pPr>
            <w:r>
              <w:rPr>
                <w:rFonts w:hint="eastAsia"/>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lang w:bidi="ar"/>
              </w:rPr>
            </w:pPr>
            <w:r>
              <w:rPr>
                <w:rFonts w:hint="eastAsia"/>
                <w:lang w:bidi="ar"/>
              </w:rPr>
              <w:t>教育机构</w:t>
            </w:r>
          </w:p>
        </w:tc>
        <w:tc>
          <w:tcPr>
            <w:tcW w:w="1276" w:type="dxa"/>
            <w:vAlign w:val="center"/>
          </w:tcPr>
          <w:p>
            <w:pPr>
              <w:pStyle w:val="96"/>
              <w:rPr>
                <w:lang w:bidi="ar"/>
              </w:rPr>
            </w:pPr>
            <w:r>
              <w:rPr>
                <w:rFonts w:hint="eastAsia"/>
                <w:lang w:bidi="ar"/>
              </w:rPr>
              <w:t>小学</w:t>
            </w:r>
          </w:p>
        </w:tc>
        <w:tc>
          <w:tcPr>
            <w:tcW w:w="1701" w:type="dxa"/>
            <w:vAlign w:val="center"/>
          </w:tcPr>
          <w:p>
            <w:pPr>
              <w:pStyle w:val="96"/>
              <w:rPr>
                <w:lang w:bidi="ar"/>
              </w:rPr>
            </w:pPr>
            <w:r>
              <w:rPr>
                <w:rFonts w:hint="eastAsia"/>
                <w:lang w:bidi="ar"/>
              </w:rPr>
              <w:t>4000-8000</w:t>
            </w:r>
          </w:p>
        </w:tc>
        <w:tc>
          <w:tcPr>
            <w:tcW w:w="4474" w:type="dxa"/>
          </w:tcPr>
          <w:p>
            <w:pPr>
              <w:pStyle w:val="96"/>
            </w:pPr>
            <w:r>
              <w:rPr>
                <w:rFonts w:hint="eastAsia"/>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幼儿园</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托儿所</w:t>
            </w:r>
          </w:p>
        </w:tc>
        <w:tc>
          <w:tcPr>
            <w:tcW w:w="1701" w:type="dxa"/>
            <w:vAlign w:val="center"/>
          </w:tcPr>
          <w:p>
            <w:pPr>
              <w:pStyle w:val="96"/>
              <w:rPr>
                <w:lang w:bidi="ar"/>
              </w:rPr>
            </w:pPr>
            <w:r>
              <w:rPr>
                <w:rFonts w:hint="eastAsia"/>
                <w:lang w:bidi="ar"/>
              </w:rPr>
              <w:t>600-1800</w:t>
            </w:r>
          </w:p>
        </w:tc>
        <w:tc>
          <w:tcPr>
            <w:tcW w:w="4474" w:type="dxa"/>
          </w:tcPr>
          <w:p>
            <w:pPr>
              <w:pStyle w:val="96"/>
            </w:pPr>
            <w:r>
              <w:rPr>
                <w:rFonts w:hint="eastAsia"/>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文化科技</w:t>
            </w:r>
          </w:p>
        </w:tc>
        <w:tc>
          <w:tcPr>
            <w:tcW w:w="1276" w:type="dxa"/>
            <w:vAlign w:val="center"/>
          </w:tcPr>
          <w:p>
            <w:pPr>
              <w:pStyle w:val="96"/>
              <w:rPr>
                <w:lang w:bidi="ar"/>
              </w:rPr>
            </w:pPr>
            <w:r>
              <w:rPr>
                <w:rFonts w:hint="eastAsia"/>
                <w:lang w:bidi="ar"/>
              </w:rPr>
              <w:t>文化大院</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pPr>
              <w:pStyle w:val="96"/>
              <w:rPr>
                <w:lang w:bidi="ar"/>
              </w:rPr>
            </w:pPr>
            <w:r>
              <w:rPr>
                <w:rFonts w:hint="eastAsia"/>
                <w:lang w:bidi="ar"/>
              </w:rPr>
              <w:t>体育设施</w:t>
            </w:r>
          </w:p>
        </w:tc>
        <w:tc>
          <w:tcPr>
            <w:tcW w:w="1276" w:type="dxa"/>
            <w:vAlign w:val="center"/>
          </w:tcPr>
          <w:p>
            <w:pPr>
              <w:pStyle w:val="96"/>
              <w:rPr>
                <w:lang w:bidi="ar"/>
              </w:rPr>
            </w:pPr>
            <w:r>
              <w:rPr>
                <w:rFonts w:hint="eastAsia"/>
                <w:lang w:bidi="ar"/>
              </w:rPr>
              <w:t>休闲运动广场</w:t>
            </w:r>
          </w:p>
        </w:tc>
        <w:tc>
          <w:tcPr>
            <w:tcW w:w="1701" w:type="dxa"/>
            <w:vAlign w:val="center"/>
          </w:tcPr>
          <w:p>
            <w:pPr>
              <w:pStyle w:val="96"/>
              <w:rPr>
                <w:lang w:bidi="ar"/>
              </w:rPr>
            </w:pPr>
            <w:r>
              <w:rPr>
                <w:rFonts w:hint="eastAsia"/>
                <w:lang w:bidi="ar"/>
              </w:rPr>
              <w:t>600-2000</w:t>
            </w:r>
          </w:p>
          <w:p>
            <w:pPr>
              <w:pStyle w:val="96"/>
              <w:rPr>
                <w:lang w:bidi="ar"/>
              </w:rPr>
            </w:pPr>
            <w:r>
              <w:rPr>
                <w:rFonts w:hint="eastAsia"/>
                <w:lang w:bidi="ar"/>
              </w:rPr>
              <w:t>（用地面积）</w:t>
            </w:r>
          </w:p>
        </w:tc>
        <w:tc>
          <w:tcPr>
            <w:tcW w:w="4474" w:type="dxa"/>
          </w:tcPr>
          <w:p>
            <w:pPr>
              <w:pStyle w:val="96"/>
            </w:pPr>
            <w:r>
              <w:rPr>
                <w:rFonts w:hint="eastAsia"/>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医疗设施</w:t>
            </w:r>
          </w:p>
        </w:tc>
        <w:tc>
          <w:tcPr>
            <w:tcW w:w="1276" w:type="dxa"/>
            <w:vAlign w:val="center"/>
          </w:tcPr>
          <w:p>
            <w:pPr>
              <w:pStyle w:val="96"/>
              <w:rPr>
                <w:lang w:bidi="ar"/>
              </w:rPr>
            </w:pPr>
            <w:r>
              <w:rPr>
                <w:rFonts w:hint="eastAsia"/>
                <w:lang w:bidi="ar"/>
              </w:rPr>
              <w:t>村卫生室</w:t>
            </w:r>
          </w:p>
        </w:tc>
        <w:tc>
          <w:tcPr>
            <w:tcW w:w="1701" w:type="dxa"/>
            <w:vAlign w:val="center"/>
          </w:tcPr>
          <w:p>
            <w:pPr>
              <w:pStyle w:val="96"/>
              <w:rPr>
                <w:lang w:bidi="ar"/>
              </w:rPr>
            </w:pPr>
            <w:r>
              <w:rPr>
                <w:rFonts w:hint="eastAsia"/>
                <w:lang w:bidi="ar"/>
              </w:rPr>
              <w:t>50-100</w:t>
            </w:r>
          </w:p>
        </w:tc>
        <w:tc>
          <w:tcPr>
            <w:tcW w:w="4474" w:type="dxa"/>
          </w:tcPr>
          <w:p>
            <w:pPr>
              <w:pStyle w:val="96"/>
            </w:pPr>
            <w:r>
              <w:rPr>
                <w:rFonts w:hint="eastAsia"/>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Align w:val="center"/>
          </w:tcPr>
          <w:p>
            <w:pPr>
              <w:pStyle w:val="96"/>
              <w:rPr>
                <w:lang w:bidi="ar"/>
              </w:rPr>
            </w:pPr>
            <w:r>
              <w:rPr>
                <w:rFonts w:hint="eastAsia"/>
                <w:lang w:bidi="ar"/>
              </w:rPr>
              <w:t>社会保障</w:t>
            </w:r>
          </w:p>
        </w:tc>
        <w:tc>
          <w:tcPr>
            <w:tcW w:w="1276" w:type="dxa"/>
            <w:vAlign w:val="center"/>
          </w:tcPr>
          <w:p>
            <w:pPr>
              <w:pStyle w:val="96"/>
              <w:rPr>
                <w:lang w:bidi="ar"/>
              </w:rPr>
            </w:pPr>
            <w:r>
              <w:rPr>
                <w:rFonts w:hint="eastAsia"/>
                <w:lang w:bidi="ar"/>
              </w:rPr>
              <w:t>日间照料中心</w:t>
            </w:r>
          </w:p>
        </w:tc>
        <w:tc>
          <w:tcPr>
            <w:tcW w:w="1701" w:type="dxa"/>
            <w:vAlign w:val="center"/>
          </w:tcPr>
          <w:p>
            <w:pPr>
              <w:pStyle w:val="96"/>
              <w:rPr>
                <w:lang w:bidi="ar"/>
              </w:rPr>
            </w:pPr>
            <w:r>
              <w:rPr>
                <w:rFonts w:hint="eastAsia"/>
                <w:lang w:bidi="ar"/>
              </w:rPr>
              <w:t>200-800</w:t>
            </w:r>
          </w:p>
        </w:tc>
        <w:tc>
          <w:tcPr>
            <w:tcW w:w="4474" w:type="dxa"/>
          </w:tcPr>
          <w:p>
            <w:pPr>
              <w:pStyle w:val="96"/>
            </w:pPr>
            <w:r>
              <w:rPr>
                <w:rFonts w:hint="eastAsia"/>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restart"/>
            <w:vAlign w:val="center"/>
          </w:tcPr>
          <w:p>
            <w:pPr>
              <w:pStyle w:val="96"/>
              <w:rPr>
                <w:lang w:bidi="ar"/>
              </w:rPr>
            </w:pPr>
            <w:r>
              <w:rPr>
                <w:rFonts w:hint="eastAsia"/>
                <w:lang w:bidi="ar"/>
              </w:rPr>
              <w:t>商业服务</w:t>
            </w:r>
          </w:p>
        </w:tc>
        <w:tc>
          <w:tcPr>
            <w:tcW w:w="1276" w:type="dxa"/>
            <w:vAlign w:val="center"/>
          </w:tcPr>
          <w:p>
            <w:pPr>
              <w:pStyle w:val="96"/>
              <w:rPr>
                <w:lang w:bidi="ar"/>
              </w:rPr>
            </w:pPr>
            <w:r>
              <w:rPr>
                <w:rFonts w:hint="eastAsia"/>
                <w:lang w:bidi="ar"/>
              </w:rPr>
              <w:t>小卖部</w:t>
            </w:r>
          </w:p>
        </w:tc>
        <w:tc>
          <w:tcPr>
            <w:tcW w:w="1701" w:type="dxa"/>
            <w:vAlign w:val="center"/>
          </w:tcPr>
          <w:p>
            <w:pPr>
              <w:pStyle w:val="96"/>
              <w:rPr>
                <w:lang w:bidi="ar"/>
              </w:rPr>
            </w:pPr>
            <w:r>
              <w:rPr>
                <w:rFonts w:hint="eastAsia"/>
                <w:lang w:bidi="ar"/>
              </w:rPr>
              <w:t>300-1000</w:t>
            </w:r>
          </w:p>
        </w:tc>
        <w:tc>
          <w:tcPr>
            <w:tcW w:w="4474" w:type="dxa"/>
          </w:tcPr>
          <w:p>
            <w:pPr>
              <w:pStyle w:val="96"/>
            </w:pPr>
            <w:r>
              <w:rPr>
                <w:rFonts w:hint="eastAsia"/>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小型超市</w:t>
            </w:r>
          </w:p>
        </w:tc>
        <w:tc>
          <w:tcPr>
            <w:tcW w:w="1701" w:type="dxa"/>
            <w:vAlign w:val="center"/>
          </w:tcPr>
          <w:p>
            <w:pPr>
              <w:pStyle w:val="96"/>
              <w:rPr>
                <w:lang w:bidi="ar"/>
              </w:rPr>
            </w:pPr>
            <w:r>
              <w:rPr>
                <w:rFonts w:hint="eastAsia"/>
                <w:lang w:bidi="ar"/>
              </w:rPr>
              <w:t>500-800</w:t>
            </w:r>
          </w:p>
        </w:tc>
        <w:tc>
          <w:tcPr>
            <w:tcW w:w="4474" w:type="dxa"/>
          </w:tcPr>
          <w:p>
            <w:pPr>
              <w:pStyle w:val="96"/>
            </w:pPr>
            <w:r>
              <w:rPr>
                <w:rFonts w:hint="eastAsia"/>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餐饮、特产店</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846" w:type="dxa"/>
            <w:vMerge w:val="continue"/>
            <w:vAlign w:val="center"/>
          </w:tcPr>
          <w:p>
            <w:pPr>
              <w:pStyle w:val="96"/>
              <w:rPr>
                <w:lang w:bidi="ar"/>
              </w:rPr>
            </w:pPr>
          </w:p>
        </w:tc>
        <w:tc>
          <w:tcPr>
            <w:tcW w:w="1276" w:type="dxa"/>
            <w:vAlign w:val="center"/>
          </w:tcPr>
          <w:p>
            <w:pPr>
              <w:pStyle w:val="96"/>
              <w:rPr>
                <w:lang w:bidi="ar"/>
              </w:rPr>
            </w:pPr>
            <w:r>
              <w:rPr>
                <w:rFonts w:hint="eastAsia"/>
                <w:lang w:bidi="ar"/>
              </w:rPr>
              <w:t>旅馆、招待所</w:t>
            </w:r>
          </w:p>
        </w:tc>
        <w:tc>
          <w:tcPr>
            <w:tcW w:w="1701" w:type="dxa"/>
            <w:vAlign w:val="center"/>
          </w:tcPr>
          <w:p>
            <w:pPr>
              <w:pStyle w:val="96"/>
              <w:rPr>
                <w:lang w:bidi="ar"/>
              </w:rPr>
            </w:pPr>
            <w:r>
              <w:rPr>
                <w:rFonts w:hint="eastAsia"/>
                <w:lang w:bidi="ar"/>
              </w:rPr>
              <w:t>——</w:t>
            </w:r>
          </w:p>
        </w:tc>
        <w:tc>
          <w:tcPr>
            <w:tcW w:w="4474" w:type="dxa"/>
          </w:tcPr>
          <w:p>
            <w:pPr>
              <w:pStyle w:val="96"/>
            </w:pPr>
            <w:r>
              <w:rPr>
                <w:rFonts w:hint="eastAsia"/>
              </w:rPr>
              <w:t>根据需求设置</w:t>
            </w:r>
          </w:p>
        </w:tc>
      </w:tr>
    </w:tbl>
    <w:p>
      <w:pPr>
        <w:ind w:firstLine="640"/>
      </w:pPr>
      <w:r>
        <w:rPr>
          <w:rFonts w:hint="eastAsia"/>
        </w:rPr>
        <w:t>村委会办公建筑规划控制指标可参照下表执行。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3119"/>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16-12 </w:t>
            </w:r>
            <w:r>
              <w:rPr>
                <w:rFonts w:hint="eastAsia"/>
              </w:rPr>
              <w:t>村委会办公</w:t>
            </w:r>
            <w:r>
              <w:rPr>
                <w:rFonts w:hint="eastAsia"/>
                <w:lang w:bidi="ar"/>
              </w:rPr>
              <w:t>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297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村委会办公建筑</w:t>
            </w:r>
          </w:p>
        </w:tc>
        <w:tc>
          <w:tcPr>
            <w:tcW w:w="311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.8</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r>
    </w:tbl>
    <w:p>
      <w:pPr>
        <w:ind w:firstLine="640"/>
      </w:pPr>
      <w:r>
        <w:rPr>
          <w:rFonts w:hint="eastAsia"/>
        </w:rPr>
        <w:t>幼儿园建筑规划控制指标可参照下表执行。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56"/>
        <w:gridCol w:w="2268"/>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3"/>
          </w:tcPr>
          <w:p>
            <w:pPr>
              <w:pStyle w:val="98"/>
              <w:rPr>
                <w:rFonts w:ascii="仿宋" w:hAnsi="仿宋" w:eastAsia="仿宋" w:cs="仿宋"/>
                <w:sz w:val="21"/>
                <w:szCs w:val="21"/>
              </w:rPr>
            </w:pPr>
            <w:r>
              <w:rPr>
                <w:rFonts w:hint="eastAsia"/>
                <w:lang w:bidi="ar"/>
              </w:rPr>
              <w:t>专栏</w:t>
            </w:r>
            <w:r>
              <w:rPr>
                <w:lang w:bidi="ar"/>
              </w:rPr>
              <w:t xml:space="preserve">16-13 </w:t>
            </w:r>
            <w:r>
              <w:rPr>
                <w:rFonts w:hint="eastAsia"/>
              </w:rPr>
              <w:t>幼儿园建筑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325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3</w:t>
            </w:r>
          </w:p>
        </w:tc>
        <w:tc>
          <w:tcPr>
            <w:tcW w:w="226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.7</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小学建筑规划控制指标可参照下表执行。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984"/>
        <w:gridCol w:w="2127"/>
        <w:gridCol w:w="2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tcPr>
          <w:p>
            <w:pPr>
              <w:pStyle w:val="98"/>
              <w:rPr>
                <w:rFonts w:ascii="仿宋" w:hAnsi="仿宋" w:eastAsia="仿宋" w:cs="仿宋"/>
                <w:sz w:val="21"/>
                <w:szCs w:val="21"/>
              </w:rPr>
            </w:pPr>
            <w:r>
              <w:rPr>
                <w:rFonts w:hint="eastAsia"/>
                <w:lang w:bidi="ar"/>
              </w:rPr>
              <w:t>专栏</w:t>
            </w:r>
            <w:r>
              <w:rPr>
                <w:lang w:bidi="ar"/>
              </w:rPr>
              <w:t xml:space="preserve">16-14 </w:t>
            </w:r>
            <w:r>
              <w:rPr>
                <w:rFonts w:hint="eastAsia"/>
              </w:rPr>
              <w:t>小学建筑</w:t>
            </w:r>
            <w:r>
              <w:rPr>
                <w:rFonts w:hint="eastAsia"/>
                <w:lang w:bidi="ar"/>
              </w:rPr>
              <w:t>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3397" w:type="dxa"/>
            <w:gridSpan w:val="2"/>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生均建设用地（平方米/人）</w:t>
            </w:r>
          </w:p>
        </w:tc>
        <w:tc>
          <w:tcPr>
            <w:tcW w:w="2127"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77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8</w:t>
            </w:r>
          </w:p>
        </w:tc>
        <w:tc>
          <w:tcPr>
            <w:tcW w:w="2127"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≤0</w:t>
            </w:r>
            <w:r>
              <w:rPr>
                <w:rFonts w:ascii="仿宋_GB2312" w:hAnsi="仿宋" w:cs="仿宋"/>
                <w:sz w:val="24"/>
                <w:szCs w:val="24"/>
              </w:rPr>
              <w:t>.9</w:t>
            </w:r>
          </w:p>
        </w:tc>
        <w:tc>
          <w:tcPr>
            <w:tcW w:w="2773" w:type="dxa"/>
            <w:vMerge w:val="restart"/>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w:t>
            </w:r>
            <w:r>
              <w:rPr>
                <w:rFonts w:ascii="仿宋_GB2312" w:hAnsi="仿宋" w:cs="仿宋"/>
                <w:sz w:val="24"/>
                <w:szCs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r>
              <w:rPr>
                <w:rFonts w:hint="eastAsia" w:ascii="仿宋_GB2312" w:hAnsi="仿宋" w:cs="仿宋"/>
                <w:sz w:val="24"/>
                <w:szCs w:val="24"/>
              </w:rPr>
              <w:t>班</w:t>
            </w:r>
          </w:p>
        </w:tc>
        <w:tc>
          <w:tcPr>
            <w:tcW w:w="198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7</w:t>
            </w:r>
          </w:p>
        </w:tc>
        <w:tc>
          <w:tcPr>
            <w:tcW w:w="2127" w:type="dxa"/>
            <w:vMerge w:val="continue"/>
            <w:vAlign w:val="center"/>
          </w:tcPr>
          <w:p>
            <w:pPr>
              <w:spacing w:line="500" w:lineRule="exact"/>
              <w:ind w:firstLine="0" w:firstLineChars="0"/>
              <w:jc w:val="center"/>
              <w:rPr>
                <w:rFonts w:ascii="仿宋_GB2312" w:hAnsi="仿宋" w:cs="仿宋"/>
                <w:sz w:val="24"/>
                <w:szCs w:val="24"/>
              </w:rPr>
            </w:pPr>
          </w:p>
        </w:tc>
        <w:tc>
          <w:tcPr>
            <w:tcW w:w="2773" w:type="dxa"/>
            <w:vMerge w:val="continue"/>
            <w:vAlign w:val="center"/>
          </w:tcPr>
          <w:p>
            <w:pPr>
              <w:spacing w:line="500" w:lineRule="exact"/>
              <w:ind w:firstLine="0" w:firstLineChars="0"/>
              <w:jc w:val="center"/>
              <w:rPr>
                <w:rFonts w:ascii="仿宋_GB2312" w:hAnsi="仿宋" w:cs="仿宋"/>
                <w:sz w:val="24"/>
                <w:szCs w:val="24"/>
              </w:rPr>
            </w:pPr>
          </w:p>
        </w:tc>
      </w:tr>
    </w:tbl>
    <w:p>
      <w:pPr>
        <w:ind w:firstLine="640"/>
      </w:pPr>
      <w:r>
        <w:rPr>
          <w:rFonts w:hint="eastAsia"/>
        </w:rPr>
        <w:t>医疗卫生建筑规划控制指标可参照下表执行。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559"/>
        <w:gridCol w:w="1418"/>
        <w:gridCol w:w="1701"/>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w:t>
            </w:r>
            <w:r>
              <w:rPr>
                <w:lang w:bidi="ar"/>
              </w:rPr>
              <w:t xml:space="preserve">16-15 </w:t>
            </w:r>
            <w:r>
              <w:rPr>
                <w:rFonts w:hint="eastAsia"/>
                <w:lang w:bidi="ar"/>
              </w:rPr>
              <w:t>医疗卫生建筑建设控制指标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床位数（床）</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村卫生室</w:t>
            </w:r>
          </w:p>
        </w:tc>
        <w:tc>
          <w:tcPr>
            <w:tcW w:w="155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2</w:t>
            </w:r>
            <w:r>
              <w:rPr>
                <w:rFonts w:ascii="仿宋_GB2312" w:hAnsi="仿宋" w:cs="仿宋"/>
                <w:sz w:val="24"/>
                <w:szCs w:val="24"/>
              </w:rPr>
              <w:t>-4</w:t>
            </w:r>
          </w:p>
        </w:tc>
        <w:tc>
          <w:tcPr>
            <w:tcW w:w="141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70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2</w:t>
            </w:r>
          </w:p>
        </w:tc>
        <w:tc>
          <w:tcPr>
            <w:tcW w:w="2206"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p>
        </w:tc>
      </w:tr>
    </w:tbl>
    <w:p>
      <w:pPr>
        <w:ind w:firstLine="640"/>
      </w:pPr>
      <w:r>
        <w:rPr>
          <w:rFonts w:hint="eastAsia"/>
        </w:rPr>
        <w:t>社会福利建筑规划控制指标可参照下表执行。</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279"/>
        <w:gridCol w:w="1145"/>
        <w:gridCol w:w="1453"/>
        <w:gridCol w:w="1755"/>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6"/>
          </w:tcPr>
          <w:p>
            <w:pPr>
              <w:pStyle w:val="98"/>
              <w:rPr>
                <w:lang w:bidi="ar"/>
              </w:rPr>
            </w:pPr>
            <w:r>
              <w:rPr>
                <w:rFonts w:hint="eastAsia"/>
                <w:lang w:bidi="ar"/>
              </w:rPr>
              <w:t>专栏</w:t>
            </w:r>
            <w:r>
              <w:rPr>
                <w:lang w:bidi="ar"/>
              </w:rPr>
              <w:t xml:space="preserve">16-16 </w:t>
            </w:r>
            <w:r>
              <w:rPr>
                <w:rFonts w:hint="eastAsia"/>
                <w:lang w:bidi="ar"/>
              </w:rPr>
              <w:t>社会福利建筑建设控制指标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建筑类型</w:t>
            </w:r>
          </w:p>
        </w:tc>
        <w:tc>
          <w:tcPr>
            <w:tcW w:w="12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床均用地面积（平方米/床）</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建筑密度（%）</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10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养老院</w:t>
            </w:r>
          </w:p>
        </w:tc>
        <w:tc>
          <w:tcPr>
            <w:tcW w:w="1279"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35-50</w:t>
            </w:r>
          </w:p>
        </w:tc>
        <w:tc>
          <w:tcPr>
            <w:tcW w:w="114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45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24</w:t>
            </w:r>
          </w:p>
        </w:tc>
        <w:tc>
          <w:tcPr>
            <w:tcW w:w="1755"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30</w:t>
            </w:r>
          </w:p>
        </w:tc>
        <w:tc>
          <w:tcPr>
            <w:tcW w:w="156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≥30</w:t>
            </w:r>
          </w:p>
        </w:tc>
      </w:tr>
    </w:tbl>
    <w:p>
      <w:pPr>
        <w:ind w:firstLine="640"/>
      </w:pPr>
      <w:r>
        <w:rPr>
          <w:rFonts w:hint="eastAsia"/>
        </w:rPr>
        <w:t>公共服务建筑</w:t>
      </w:r>
      <w:r>
        <w:rPr>
          <w:rFonts w:hint="eastAsia"/>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村庄健身广场宜与绿地结合设置，可根据村庄人口数量和人口分布情况设置多处，单个健身广场用地面积不宜大于</w:t>
      </w:r>
      <w:r>
        <w:t>400平方米，每村健身广场的总面积人均不宜大于3平方米。</w:t>
      </w:r>
      <w:r>
        <w:rPr>
          <w:rFonts w:hint="eastAsia"/>
        </w:rPr>
        <w:t>位于旅游景区或特色保护类游客较多的村庄，面积可适当增加。</w:t>
      </w:r>
    </w:p>
    <w:p>
      <w:pPr>
        <w:pStyle w:val="4"/>
        <w:spacing w:before="195" w:after="195"/>
      </w:pP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城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本着节约集约用地的原则，在乡村地区建设的商业服务业设施用地规划控制指标一般符合以下规定：</w:t>
      </w:r>
    </w:p>
    <w:tbl>
      <w:tblPr>
        <w:tblStyle w:val="30"/>
        <w:tblW w:w="5000" w:type="pct"/>
        <w:tblInd w:w="0" w:type="dxa"/>
        <w:tblLayout w:type="autofit"/>
        <w:tblCellMar>
          <w:top w:w="0" w:type="dxa"/>
          <w:left w:w="108" w:type="dxa"/>
          <w:bottom w:w="0" w:type="dxa"/>
          <w:right w:w="108" w:type="dxa"/>
        </w:tblCellMar>
      </w:tblPr>
      <w:tblGrid>
        <w:gridCol w:w="3053"/>
        <w:gridCol w:w="2184"/>
        <w:gridCol w:w="3286"/>
      </w:tblGrid>
      <w:tr>
        <w:tblPrEx>
          <w:tblCellMar>
            <w:top w:w="0" w:type="dxa"/>
            <w:left w:w="108" w:type="dxa"/>
            <w:bottom w:w="0" w:type="dxa"/>
            <w:right w:w="108" w:type="dxa"/>
          </w:tblCellMar>
        </w:tblPrEx>
        <w:trPr>
          <w:trHeight w:val="373" w:hRule="atLeast"/>
        </w:trPr>
        <w:tc>
          <w:tcPr>
            <w:tcW w:w="5000"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pPr>
              <w:pStyle w:val="98"/>
            </w:pPr>
            <w:r>
              <w:rPr>
                <w:rFonts w:hint="eastAsia"/>
              </w:rPr>
              <w:t>专栏</w:t>
            </w:r>
            <w:r>
              <w:t xml:space="preserve">16-17 </w:t>
            </w:r>
            <w:r>
              <w:rPr>
                <w:rFonts w:hint="eastAsia"/>
              </w:rPr>
              <w:t>商业服务业设施建设用地规划控制指标表</w:t>
            </w:r>
          </w:p>
        </w:tc>
      </w:tr>
      <w:tr>
        <w:tblPrEx>
          <w:tblCellMar>
            <w:top w:w="0" w:type="dxa"/>
            <w:left w:w="108" w:type="dxa"/>
            <w:bottom w:w="0" w:type="dxa"/>
            <w:right w:w="108" w:type="dxa"/>
          </w:tblCellMar>
        </w:tblPrEx>
        <w:trPr>
          <w:trHeight w:val="706" w:hRule="atLeast"/>
        </w:trPr>
        <w:tc>
          <w:tcPr>
            <w:tcW w:w="1791" w:type="pct"/>
            <w:tcBorders>
              <w:top w:val="single" w:color="auto" w:sz="4" w:space="0"/>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用地分类</w:t>
            </w:r>
          </w:p>
        </w:tc>
        <w:tc>
          <w:tcPr>
            <w:tcW w:w="1281"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容积率</w:t>
            </w:r>
          </w:p>
        </w:tc>
        <w:tc>
          <w:tcPr>
            <w:tcW w:w="1928" w:type="pct"/>
            <w:tcBorders>
              <w:top w:val="single" w:color="auto" w:sz="4" w:space="0"/>
              <w:left w:val="nil"/>
              <w:bottom w:val="single" w:color="auto" w:sz="4" w:space="0"/>
              <w:right w:val="single" w:color="auto" w:sz="4" w:space="0"/>
            </w:tcBorders>
            <w:shd w:val="clear" w:color="auto" w:fill="auto"/>
            <w:vAlign w:val="center"/>
          </w:tcPr>
          <w:p>
            <w:pPr>
              <w:pStyle w:val="96"/>
              <w:rPr>
                <w:szCs w:val="24"/>
              </w:rPr>
            </w:pPr>
            <w:r>
              <w:rPr>
                <w:rFonts w:hint="eastAsia"/>
                <w:szCs w:val="24"/>
              </w:rPr>
              <w:t>建筑高度（米）</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商业用地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≤1</w:t>
            </w:r>
            <w:r>
              <w:rPr>
                <w:szCs w:val="24"/>
              </w:rPr>
              <w:t>.5</w:t>
            </w:r>
          </w:p>
        </w:tc>
        <w:tc>
          <w:tcPr>
            <w:tcW w:w="1928" w:type="pct"/>
            <w:vMerge w:val="restart"/>
            <w:tcBorders>
              <w:top w:val="nil"/>
              <w:left w:val="nil"/>
              <w:right w:val="single" w:color="auto" w:sz="4" w:space="0"/>
            </w:tcBorders>
            <w:shd w:val="clear" w:color="auto" w:fill="auto"/>
            <w:vAlign w:val="center"/>
          </w:tcPr>
          <w:p>
            <w:pPr>
              <w:pStyle w:val="96"/>
              <w:rPr>
                <w:szCs w:val="24"/>
              </w:rPr>
            </w:pPr>
            <w:r>
              <w:rPr>
                <w:rFonts w:hint="eastAsia"/>
                <w:szCs w:val="24"/>
              </w:rPr>
              <w:t>≤1</w:t>
            </w:r>
            <w:r>
              <w:rPr>
                <w:szCs w:val="24"/>
              </w:rPr>
              <w:t>2</w:t>
            </w: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jc w:val="both"/>
              <w:rPr>
                <w:szCs w:val="24"/>
              </w:rPr>
            </w:pPr>
            <w:r>
              <w:rPr>
                <w:rFonts w:hint="eastAsia"/>
                <w:szCs w:val="24"/>
              </w:rPr>
              <w:t>商务金融用地</w:t>
            </w:r>
          </w:p>
        </w:tc>
        <w:tc>
          <w:tcPr>
            <w:tcW w:w="1281" w:type="pct"/>
            <w:tcBorders>
              <w:top w:val="nil"/>
              <w:left w:val="nil"/>
              <w:bottom w:val="single" w:color="auto" w:sz="4" w:space="0"/>
              <w:right w:val="single" w:color="auto" w:sz="4" w:space="0"/>
            </w:tcBorders>
            <w:shd w:val="clear" w:color="auto" w:fill="auto"/>
            <w:vAlign w:val="center"/>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娱乐用地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w:t>
            </w:r>
            <w:r>
              <w:rPr>
                <w:szCs w:val="24"/>
              </w:rPr>
              <w:t>2.5</w:t>
            </w:r>
          </w:p>
        </w:tc>
        <w:tc>
          <w:tcPr>
            <w:tcW w:w="1928" w:type="pct"/>
            <w:vMerge w:val="continue"/>
            <w:tcBorders>
              <w:left w:val="nil"/>
              <w:right w:val="single" w:color="auto" w:sz="4" w:space="0"/>
            </w:tcBorders>
            <w:shd w:val="clear" w:color="auto" w:fill="auto"/>
            <w:vAlign w:val="center"/>
          </w:tcPr>
          <w:p>
            <w:pPr>
              <w:pStyle w:val="96"/>
              <w:rPr>
                <w:szCs w:val="24"/>
              </w:rPr>
            </w:pPr>
          </w:p>
        </w:tc>
      </w:tr>
      <w:tr>
        <w:tblPrEx>
          <w:tblCellMar>
            <w:top w:w="0" w:type="dxa"/>
            <w:left w:w="108" w:type="dxa"/>
            <w:bottom w:w="0" w:type="dxa"/>
            <w:right w:w="108" w:type="dxa"/>
          </w:tblCellMar>
        </w:tblPrEx>
        <w:trPr>
          <w:trHeight w:val="288" w:hRule="atLeast"/>
        </w:trPr>
        <w:tc>
          <w:tcPr>
            <w:tcW w:w="1791" w:type="pct"/>
            <w:tcBorders>
              <w:top w:val="nil"/>
              <w:left w:val="single" w:color="auto" w:sz="4" w:space="0"/>
              <w:bottom w:val="single" w:color="auto" w:sz="4" w:space="0"/>
              <w:right w:val="single" w:color="auto" w:sz="4" w:space="0"/>
            </w:tcBorders>
            <w:shd w:val="clear" w:color="auto" w:fill="auto"/>
            <w:noWrap/>
            <w:vAlign w:val="center"/>
          </w:tcPr>
          <w:p>
            <w:pPr>
              <w:pStyle w:val="96"/>
              <w:rPr>
                <w:szCs w:val="24"/>
              </w:rPr>
            </w:pPr>
            <w:r>
              <w:rPr>
                <w:rFonts w:hint="eastAsia"/>
                <w:szCs w:val="24"/>
              </w:rPr>
              <w:t>其他商业服务业用地</w:t>
            </w:r>
          </w:p>
        </w:tc>
        <w:tc>
          <w:tcPr>
            <w:tcW w:w="1281" w:type="pct"/>
            <w:tcBorders>
              <w:top w:val="nil"/>
              <w:left w:val="nil"/>
              <w:bottom w:val="single" w:color="auto" w:sz="4" w:space="0"/>
              <w:right w:val="single" w:color="auto" w:sz="4" w:space="0"/>
            </w:tcBorders>
            <w:shd w:val="clear" w:color="auto" w:fill="auto"/>
          </w:tcPr>
          <w:p>
            <w:pPr>
              <w:pStyle w:val="96"/>
              <w:rPr>
                <w:szCs w:val="24"/>
              </w:rPr>
            </w:pPr>
            <w:r>
              <w:rPr>
                <w:rFonts w:hint="eastAsia"/>
                <w:szCs w:val="24"/>
              </w:rPr>
              <w:t>≤1</w:t>
            </w:r>
            <w:r>
              <w:rPr>
                <w:szCs w:val="24"/>
              </w:rPr>
              <w:t>.2</w:t>
            </w:r>
          </w:p>
        </w:tc>
        <w:tc>
          <w:tcPr>
            <w:tcW w:w="1928" w:type="pct"/>
            <w:vMerge w:val="continue"/>
            <w:tcBorders>
              <w:left w:val="nil"/>
              <w:bottom w:val="single" w:color="auto" w:sz="4" w:space="0"/>
              <w:right w:val="single" w:color="auto" w:sz="4" w:space="0"/>
            </w:tcBorders>
            <w:shd w:val="clear" w:color="auto" w:fill="auto"/>
            <w:vAlign w:val="center"/>
          </w:tcPr>
          <w:p>
            <w:pPr>
              <w:pStyle w:val="96"/>
              <w:rPr>
                <w:szCs w:val="24"/>
              </w:rPr>
            </w:pPr>
          </w:p>
        </w:tc>
      </w:tr>
    </w:tbl>
    <w:p>
      <w:pPr>
        <w:ind w:firstLine="640"/>
      </w:pPr>
      <w:r>
        <w:rPr>
          <w:rFonts w:hint="eastAsia"/>
        </w:rPr>
        <w:t>在乡村地区建设的物流仓储设施，其用地规划控制指标宜符合以下规定：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096"/>
        <w:gridCol w:w="1296"/>
        <w:gridCol w:w="1287"/>
        <w:gridCol w:w="1453"/>
        <w:gridCol w:w="1332"/>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7"/>
            <w:vAlign w:val="center"/>
          </w:tcPr>
          <w:p>
            <w:pPr>
              <w:pStyle w:val="98"/>
              <w:rPr>
                <w:lang w:bidi="ar"/>
              </w:rPr>
            </w:pPr>
            <w:r>
              <w:rPr>
                <w:rFonts w:hint="eastAsia"/>
                <w:lang w:bidi="ar"/>
              </w:rPr>
              <w:t>专栏</w:t>
            </w:r>
            <w:r>
              <w:rPr>
                <w:lang w:bidi="ar"/>
              </w:rPr>
              <w:t xml:space="preserve">16-18 </w:t>
            </w:r>
            <w:r>
              <w:rPr>
                <w:rFonts w:hint="eastAsia"/>
                <w:lang w:bidi="ar"/>
              </w:rPr>
              <w:t>物流仓储设施建设用地规划控制指标表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分级</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用地规模（公顷）</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日流通量（吨</w:t>
            </w:r>
            <w:r>
              <w:rPr>
                <w:rFonts w:ascii="仿宋_GB2312" w:hAnsi="仿宋" w:cs="仿宋"/>
                <w:sz w:val="24"/>
                <w:szCs w:val="24"/>
              </w:rPr>
              <w:t>/</w:t>
            </w:r>
            <w:r>
              <w:rPr>
                <w:rFonts w:hint="eastAsia" w:ascii="仿宋_GB2312" w:hAnsi="仿宋" w:cs="仿宋"/>
                <w:sz w:val="24"/>
                <w:szCs w:val="24"/>
              </w:rPr>
              <w:t>天）</w:t>
            </w:r>
          </w:p>
        </w:tc>
        <w:tc>
          <w:tcPr>
            <w:tcW w:w="1302"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单位用地指标（平方米</w:t>
            </w:r>
            <w:r>
              <w:rPr>
                <w:rFonts w:ascii="仿宋_GB2312" w:hAnsi="仿宋" w:cs="仿宋"/>
                <w:sz w:val="24"/>
                <w:szCs w:val="24"/>
              </w:rPr>
              <w:t>/</w:t>
            </w:r>
            <w:r>
              <w:rPr>
                <w:rFonts w:hint="eastAsia" w:ascii="仿宋_GB2312" w:hAnsi="仿宋" w:cs="仿宋"/>
                <w:sz w:val="24"/>
                <w:szCs w:val="24"/>
              </w:rPr>
              <w:t>吨）</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绿地率（%）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4-6</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000-3000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28-35</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91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中型</w:t>
            </w:r>
          </w:p>
        </w:tc>
        <w:tc>
          <w:tcPr>
            <w:tcW w:w="1108"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w:t>
            </w:r>
          </w:p>
        </w:tc>
        <w:tc>
          <w:tcPr>
            <w:tcW w:w="97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≤1</w:t>
            </w:r>
            <w:r>
              <w:rPr>
                <w:rFonts w:ascii="仿宋_GB2312" w:hAnsi="仿宋" w:cs="仿宋"/>
                <w:sz w:val="24"/>
                <w:szCs w:val="24"/>
              </w:rPr>
              <w:t>000</w:t>
            </w:r>
          </w:p>
        </w:tc>
        <w:tc>
          <w:tcPr>
            <w:tcW w:w="1302" w:type="dxa"/>
            <w:vAlign w:val="center"/>
          </w:tcPr>
          <w:p>
            <w:pPr>
              <w:spacing w:line="500" w:lineRule="exact"/>
              <w:ind w:firstLine="0" w:firstLineChars="0"/>
              <w:jc w:val="center"/>
              <w:rPr>
                <w:rFonts w:ascii="仿宋_GB2312" w:hAnsi="仿宋" w:cs="仿宋"/>
                <w:sz w:val="24"/>
                <w:szCs w:val="24"/>
              </w:rPr>
            </w:pPr>
            <w:r>
              <w:rPr>
                <w:rFonts w:ascii="仿宋_GB2312" w:hAnsi="仿宋" w:cs="仿宋"/>
                <w:sz w:val="24"/>
                <w:szCs w:val="24"/>
              </w:rPr>
              <w:t>41-50</w:t>
            </w:r>
          </w:p>
        </w:tc>
        <w:tc>
          <w:tcPr>
            <w:tcW w:w="148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134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c>
          <w:tcPr>
            <w:tcW w:w="1170"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20</w:t>
            </w:r>
          </w:p>
        </w:tc>
      </w:tr>
    </w:tbl>
    <w:p>
      <w:pPr>
        <w:pStyle w:val="105"/>
      </w:pPr>
      <w:r>
        <w:rPr>
          <w:rFonts w:hint="eastAsia"/>
        </w:rPr>
        <w:t>注：</w:t>
      </w:r>
      <w:r>
        <w:t>1.如有特殊建筑要求的物流仓储设施可结合实际需求适当提高建筑高度，但建筑层数不宜超过6层、建筑高度不宜超过24米。</w:t>
      </w:r>
    </w:p>
    <w:p>
      <w:pPr>
        <w:pStyle w:val="105"/>
      </w:pPr>
      <w:r>
        <w:t>2.需要单独选址的易燃易爆类危险品仓储用地，建设用地规模参考相关行业标准，容积率不应</w:t>
      </w:r>
      <w:r>
        <w:rPr>
          <w:rFonts w:hint="eastAsia"/>
        </w:rPr>
        <w:t>小于</w:t>
      </w:r>
      <w:r>
        <w:t>0.5。</w:t>
      </w:r>
    </w:p>
    <w:p>
      <w:pPr>
        <w:pStyle w:val="105"/>
      </w:pPr>
      <w:r>
        <w:t>3.物流仓储建筑层高超过8米时，该层建筑面积加倍计算。</w:t>
      </w:r>
    </w:p>
    <w:p>
      <w:pPr>
        <w:ind w:firstLine="640"/>
      </w:pPr>
      <w:r>
        <w:rPr>
          <w:rFonts w:hint="eastAsia"/>
        </w:rPr>
        <w:t>在乡村地区建设的工业项目，其用地规划控制指标宜符合以下规定：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134"/>
        <w:gridCol w:w="2551"/>
        <w:gridCol w:w="3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4"/>
            <w:vAlign w:val="center"/>
          </w:tcPr>
          <w:p>
            <w:pPr>
              <w:pStyle w:val="98"/>
              <w:rPr>
                <w:lang w:bidi="ar"/>
              </w:rPr>
            </w:pPr>
            <w:r>
              <w:rPr>
                <w:rFonts w:hint="eastAsia"/>
                <w:lang w:bidi="ar"/>
              </w:rPr>
              <w:t>专栏</w:t>
            </w:r>
            <w:r>
              <w:rPr>
                <w:lang w:bidi="ar"/>
              </w:rPr>
              <w:t xml:space="preserve">16-19 </w:t>
            </w:r>
            <w:r>
              <w:rPr>
                <w:rFonts w:hint="eastAsia"/>
                <w:lang w:bidi="ar"/>
              </w:rPr>
              <w:t>工业设施建设用地规划控制指标表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类型</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容积率</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建筑系数（%）</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建筑高度（米）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413"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工业用地</w:t>
            </w:r>
          </w:p>
        </w:tc>
        <w:tc>
          <w:tcPr>
            <w:tcW w:w="1134"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0.8</w:t>
            </w:r>
          </w:p>
        </w:tc>
        <w:tc>
          <w:tcPr>
            <w:tcW w:w="2551"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40</w:t>
            </w:r>
          </w:p>
        </w:tc>
        <w:tc>
          <w:tcPr>
            <w:tcW w:w="3199" w:type="dxa"/>
            <w:vAlign w:val="center"/>
          </w:tcPr>
          <w:p>
            <w:pPr>
              <w:spacing w:line="500" w:lineRule="exact"/>
              <w:ind w:firstLine="0" w:firstLineChars="0"/>
              <w:jc w:val="center"/>
              <w:rPr>
                <w:rFonts w:ascii="仿宋_GB2312" w:hAnsi="仿宋" w:cs="仿宋"/>
                <w:sz w:val="24"/>
                <w:szCs w:val="24"/>
              </w:rPr>
            </w:pPr>
            <w:r>
              <w:rPr>
                <w:rFonts w:hint="eastAsia" w:ascii="仿宋_GB2312" w:hAnsi="仿宋" w:cs="仿宋"/>
                <w:sz w:val="24"/>
                <w:szCs w:val="24"/>
              </w:rPr>
              <w:t>≤</w:t>
            </w:r>
            <w:r>
              <w:rPr>
                <w:rFonts w:ascii="仿宋_GB2312" w:hAnsi="仿宋" w:cs="仿宋"/>
                <w:sz w:val="24"/>
                <w:szCs w:val="24"/>
              </w:rPr>
              <w:t>12</w:t>
            </w:r>
          </w:p>
        </w:tc>
      </w:tr>
    </w:tbl>
    <w:p>
      <w:pPr>
        <w:pStyle w:val="105"/>
      </w:pPr>
      <w:r>
        <w:rPr>
          <w:rFonts w:hint="eastAsia"/>
        </w:rPr>
        <w:t>注：如有特殊建设要求的工业项目可结合实际需求适当提高建筑高度，但建筑层数不宜超过</w:t>
      </w:r>
      <w:r>
        <w:t>6层、</w:t>
      </w:r>
      <w:r>
        <w:rPr>
          <w:rFonts w:hint="eastAsia"/>
        </w:rPr>
        <w:t>建筑高度不宜超过</w:t>
      </w:r>
      <w:r>
        <w:t>24米。</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村庄规划确定的“留白”用地，经村民委会员讨论、镇乡村规划委员会审议通过，报规划主管部门同意后，可按程序报建相应项目。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spacing w:before="195" w:after="195"/>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spacing w:before="195" w:after="195"/>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w:t>
      </w:r>
      <w:r>
        <w:rPr>
          <w:rFonts w:hint="eastAsia"/>
        </w:rPr>
        <w:t>县处理</w:t>
      </w:r>
      <w:r>
        <w:t>”。</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p>
      <w:pPr>
        <w:spacing w:before="65" w:line="240" w:lineRule="auto"/>
        <w:ind w:firstLine="640"/>
        <w:rPr>
          <w:rFonts w:hint="default"/>
          <w:lang w:val="en" w:bidi="ar"/>
        </w:rPr>
      </w:pPr>
      <w:r>
        <w:rPr>
          <w:lang w:bidi="ar"/>
        </w:rPr>
        <w:br w:type="page"/>
      </w:r>
      <w:bookmarkEnd w:id="2"/>
      <w:bookmarkEnd w:id="3"/>
      <w:bookmarkEnd w:id="166"/>
      <w:r>
        <w:rPr>
          <w:rFonts w:hint="default"/>
          <w:lang w:val="en" w:bidi="ar"/>
        </w:rPr>
        <w:drawing>
          <wp:inline distT="0" distB="0" distL="114300" distR="114300">
            <wp:extent cx="5273040" cy="7451725"/>
            <wp:effectExtent l="0" t="0" r="3810" b="15875"/>
            <wp:docPr id="6" name="图片 6" descr="07-灌涨镇-01-镇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07-灌涨镇-01-镇域国土空间用地现状图"/>
                    <pic:cNvPicPr>
                      <a:picLocks noChangeAspect="true"/>
                    </pic:cNvPicPr>
                  </pic:nvPicPr>
                  <pic:blipFill>
                    <a:blip r:embed="rId14"/>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4310" cy="7452995"/>
            <wp:effectExtent l="0" t="0" r="2540" b="14605"/>
            <wp:docPr id="5" name="图片 5" descr="07-灌涨镇-02-镇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07-灌涨镇-02-镇域国土空间总体格局规划图"/>
                    <pic:cNvPicPr>
                      <a:picLocks noChangeAspect="true"/>
                    </pic:cNvPicPr>
                  </pic:nvPicPr>
                  <pic:blipFill>
                    <a:blip r:embed="rId15"/>
                    <a:stretch>
                      <a:fillRect/>
                    </a:stretch>
                  </pic:blipFill>
                  <pic:spPr>
                    <a:xfrm>
                      <a:off x="0" y="0"/>
                      <a:ext cx="5274310" cy="745299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4" name="图片 4" descr="07-灌涨镇-03-镇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07-灌涨镇-03-镇域国土空间控制线规划图"/>
                    <pic:cNvPicPr>
                      <a:picLocks noChangeAspect="true"/>
                    </pic:cNvPicPr>
                  </pic:nvPicPr>
                  <pic:blipFill>
                    <a:blip r:embed="rId16"/>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3" name="图片 3" descr="07-灌涨镇-04-镇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07-灌涨镇-04-镇域村庄布点规划图"/>
                    <pic:cNvPicPr>
                      <a:picLocks noChangeAspect="true"/>
                    </pic:cNvPicPr>
                  </pic:nvPicPr>
                  <pic:blipFill>
                    <a:blip r:embed="rId17"/>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2" name="图片 2" descr="07-灌涨镇-05-镇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07-灌涨镇-05-镇域综合交通规划图"/>
                    <pic:cNvPicPr>
                      <a:picLocks noChangeAspect="true"/>
                    </pic:cNvPicPr>
                  </pic:nvPicPr>
                  <pic:blipFill>
                    <a:blip r:embed="rId18"/>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59705" cy="3721735"/>
            <wp:effectExtent l="0" t="0" r="17145" b="12065"/>
            <wp:docPr id="1" name="图片 1" descr="07-灌涨镇-06-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07-灌涨镇-06-镇区国土空间用地规划图"/>
                    <pic:cNvPicPr>
                      <a:picLocks noChangeAspect="true"/>
                    </pic:cNvPicPr>
                  </pic:nvPicPr>
                  <pic:blipFill>
                    <a:blip r:embed="rId19"/>
                    <a:stretch>
                      <a:fillRect/>
                    </a:stretch>
                  </pic:blipFill>
                  <pic:spPr>
                    <a:xfrm>
                      <a:off x="0" y="0"/>
                      <a:ext cx="5259705" cy="3721735"/>
                    </a:xfrm>
                    <a:prstGeom prst="rect">
                      <a:avLst/>
                    </a:prstGeom>
                  </pic:spPr>
                </pic:pic>
              </a:graphicData>
            </a:graphic>
          </wp:inline>
        </w:drawing>
      </w:r>
    </w:p>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8EF3348"/>
    <w:multiLevelType w:val="multilevel"/>
    <w:tmpl w:val="78EF3348"/>
    <w:lvl w:ilvl="0" w:tentative="0">
      <w:start w:val="1"/>
      <w:numFmt w:val="chineseCountingThousand"/>
      <w:pStyle w:val="2"/>
      <w:suff w:val="space"/>
      <w:lvlText w:val="第%1章 "/>
      <w:lvlJc w:val="left"/>
      <w:pPr>
        <w:ind w:left="1135" w:firstLine="0"/>
      </w:pPr>
    </w:lvl>
    <w:lvl w:ilvl="1" w:tentative="0">
      <w:start w:val="1"/>
      <w:numFmt w:val="chineseCountingThousand"/>
      <w:pStyle w:val="3"/>
      <w:suff w:val="space"/>
      <w:lvlText w:val="第%2节 "/>
      <w:lvlJc w:val="left"/>
      <w:pPr>
        <w:ind w:left="1702" w:firstLine="0"/>
      </w:pPr>
    </w:lvl>
    <w:lvl w:ilvl="2" w:tentative="0">
      <w:start w:val="1"/>
      <w:numFmt w:val="decimal"/>
      <w:lvlRestart w:val="0"/>
      <w:pStyle w:val="4"/>
      <w:isLgl/>
      <w:suff w:val="space"/>
      <w:lvlText w:val="第%3条 "/>
      <w:lvlJc w:val="left"/>
      <w:pPr>
        <w:ind w:left="568" w:firstLine="0"/>
      </w:pPr>
    </w:lvl>
    <w:lvl w:ilvl="3" w:tentative="0">
      <w:start w:val="1"/>
      <w:numFmt w:val="decimal"/>
      <w:pStyle w:val="5"/>
      <w:isLgl/>
      <w:suff w:val="nothing"/>
      <w:lvlText w:val="%4."/>
      <w:lvlJc w:val="left"/>
      <w:pPr>
        <w:ind w:left="-141" w:firstLine="425"/>
      </w:pPr>
    </w:lvl>
    <w:lvl w:ilvl="4" w:tentative="0">
      <w:start w:val="1"/>
      <w:numFmt w:val="decimal"/>
      <w:pStyle w:val="6"/>
      <w:isLgl/>
      <w:suff w:val="nothing"/>
      <w:lvlText w:val="（%5）"/>
      <w:lvlJc w:val="left"/>
      <w:pPr>
        <w:ind w:left="0" w:firstLine="340"/>
      </w:pPr>
    </w:lvl>
    <w:lvl w:ilvl="5" w:tentative="0">
      <w:start w:val="1"/>
      <w:numFmt w:val="decimal"/>
      <w:lvlRestart w:val="1"/>
      <w:isLgl/>
      <w:suff w:val="nothing"/>
      <w:lvlText w:val="附表%6："/>
      <w:lvlJc w:val="left"/>
      <w:pPr>
        <w:ind w:left="0" w:firstLine="0"/>
      </w:pPr>
    </w:lvl>
    <w:lvl w:ilvl="6" w:tentative="0">
      <w:start w:val="1"/>
      <w:numFmt w:val="decimal"/>
      <w:lvlRestart w:val="4"/>
      <w:isLgl/>
      <w:suff w:val="nothing"/>
      <w:lvlText w:val="（%7）"/>
      <w:lvlJc w:val="left"/>
      <w:pPr>
        <w:ind w:left="0" w:firstLine="340"/>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621"/>
    <w:rsid w:val="00004538"/>
    <w:rsid w:val="000045B8"/>
    <w:rsid w:val="000046C4"/>
    <w:rsid w:val="00005598"/>
    <w:rsid w:val="00007CD2"/>
    <w:rsid w:val="00014FFC"/>
    <w:rsid w:val="00015277"/>
    <w:rsid w:val="00015C2E"/>
    <w:rsid w:val="0001672B"/>
    <w:rsid w:val="000173D5"/>
    <w:rsid w:val="000228A2"/>
    <w:rsid w:val="00022C14"/>
    <w:rsid w:val="00023887"/>
    <w:rsid w:val="00024593"/>
    <w:rsid w:val="00024C74"/>
    <w:rsid w:val="00025921"/>
    <w:rsid w:val="00025FB7"/>
    <w:rsid w:val="000263B1"/>
    <w:rsid w:val="00026494"/>
    <w:rsid w:val="00026ED4"/>
    <w:rsid w:val="00027C74"/>
    <w:rsid w:val="00027CDC"/>
    <w:rsid w:val="000300ED"/>
    <w:rsid w:val="000312F7"/>
    <w:rsid w:val="00033FEA"/>
    <w:rsid w:val="0003547A"/>
    <w:rsid w:val="0003614B"/>
    <w:rsid w:val="000401C8"/>
    <w:rsid w:val="00042AF6"/>
    <w:rsid w:val="00042E60"/>
    <w:rsid w:val="00043914"/>
    <w:rsid w:val="00043D07"/>
    <w:rsid w:val="00044269"/>
    <w:rsid w:val="00044A6C"/>
    <w:rsid w:val="00044E71"/>
    <w:rsid w:val="00046257"/>
    <w:rsid w:val="00046BBF"/>
    <w:rsid w:val="00046E46"/>
    <w:rsid w:val="0004772B"/>
    <w:rsid w:val="0005003D"/>
    <w:rsid w:val="00051283"/>
    <w:rsid w:val="0005170E"/>
    <w:rsid w:val="000522AA"/>
    <w:rsid w:val="00053B04"/>
    <w:rsid w:val="00056EF1"/>
    <w:rsid w:val="0005723A"/>
    <w:rsid w:val="0005724D"/>
    <w:rsid w:val="00062C5F"/>
    <w:rsid w:val="00063F69"/>
    <w:rsid w:val="000649D6"/>
    <w:rsid w:val="00065C66"/>
    <w:rsid w:val="0006602B"/>
    <w:rsid w:val="00066343"/>
    <w:rsid w:val="000672D0"/>
    <w:rsid w:val="00067F9B"/>
    <w:rsid w:val="000708D8"/>
    <w:rsid w:val="0007111B"/>
    <w:rsid w:val="00071B6F"/>
    <w:rsid w:val="00072F6E"/>
    <w:rsid w:val="00073CFB"/>
    <w:rsid w:val="000743DC"/>
    <w:rsid w:val="000744A6"/>
    <w:rsid w:val="0007497D"/>
    <w:rsid w:val="00074C23"/>
    <w:rsid w:val="00075670"/>
    <w:rsid w:val="00075AC8"/>
    <w:rsid w:val="00075E93"/>
    <w:rsid w:val="00076004"/>
    <w:rsid w:val="00080705"/>
    <w:rsid w:val="00080CA3"/>
    <w:rsid w:val="00080F04"/>
    <w:rsid w:val="00082E8A"/>
    <w:rsid w:val="00083B0D"/>
    <w:rsid w:val="00085C91"/>
    <w:rsid w:val="00085E68"/>
    <w:rsid w:val="00085F2C"/>
    <w:rsid w:val="000868E7"/>
    <w:rsid w:val="00087434"/>
    <w:rsid w:val="00087F2A"/>
    <w:rsid w:val="000905F0"/>
    <w:rsid w:val="00091ADE"/>
    <w:rsid w:val="000921DD"/>
    <w:rsid w:val="000945D7"/>
    <w:rsid w:val="00094975"/>
    <w:rsid w:val="000951DD"/>
    <w:rsid w:val="00095B0E"/>
    <w:rsid w:val="00097133"/>
    <w:rsid w:val="00097FB2"/>
    <w:rsid w:val="000A0590"/>
    <w:rsid w:val="000A2C0B"/>
    <w:rsid w:val="000A3B02"/>
    <w:rsid w:val="000A4529"/>
    <w:rsid w:val="000A5030"/>
    <w:rsid w:val="000A50E0"/>
    <w:rsid w:val="000A52E7"/>
    <w:rsid w:val="000A534F"/>
    <w:rsid w:val="000A5430"/>
    <w:rsid w:val="000A5485"/>
    <w:rsid w:val="000A6201"/>
    <w:rsid w:val="000A6E7D"/>
    <w:rsid w:val="000A74E3"/>
    <w:rsid w:val="000B1B6C"/>
    <w:rsid w:val="000B257F"/>
    <w:rsid w:val="000B2770"/>
    <w:rsid w:val="000B27FF"/>
    <w:rsid w:val="000B3238"/>
    <w:rsid w:val="000B46A4"/>
    <w:rsid w:val="000B53B7"/>
    <w:rsid w:val="000B591B"/>
    <w:rsid w:val="000B5C66"/>
    <w:rsid w:val="000B64A5"/>
    <w:rsid w:val="000B7014"/>
    <w:rsid w:val="000B72AE"/>
    <w:rsid w:val="000C0616"/>
    <w:rsid w:val="000C0C7A"/>
    <w:rsid w:val="000C2A41"/>
    <w:rsid w:val="000C3573"/>
    <w:rsid w:val="000C3D14"/>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E0444"/>
    <w:rsid w:val="000E0F8D"/>
    <w:rsid w:val="000E1E0F"/>
    <w:rsid w:val="000E2A07"/>
    <w:rsid w:val="000E2A20"/>
    <w:rsid w:val="000E324F"/>
    <w:rsid w:val="000E35FD"/>
    <w:rsid w:val="000E410B"/>
    <w:rsid w:val="000E498F"/>
    <w:rsid w:val="000E5601"/>
    <w:rsid w:val="000E5D6D"/>
    <w:rsid w:val="000E6D24"/>
    <w:rsid w:val="000E783A"/>
    <w:rsid w:val="000E7FEF"/>
    <w:rsid w:val="000F011D"/>
    <w:rsid w:val="000F04B5"/>
    <w:rsid w:val="000F0809"/>
    <w:rsid w:val="000F1ED6"/>
    <w:rsid w:val="000F2221"/>
    <w:rsid w:val="000F2547"/>
    <w:rsid w:val="000F2B37"/>
    <w:rsid w:val="000F2E81"/>
    <w:rsid w:val="000F302E"/>
    <w:rsid w:val="000F3B1E"/>
    <w:rsid w:val="000F5DA8"/>
    <w:rsid w:val="000F659E"/>
    <w:rsid w:val="000F6939"/>
    <w:rsid w:val="000F6CCC"/>
    <w:rsid w:val="000F7E30"/>
    <w:rsid w:val="001004B9"/>
    <w:rsid w:val="00100A59"/>
    <w:rsid w:val="00101788"/>
    <w:rsid w:val="001022DD"/>
    <w:rsid w:val="00102D32"/>
    <w:rsid w:val="00103A77"/>
    <w:rsid w:val="00104C7B"/>
    <w:rsid w:val="00105261"/>
    <w:rsid w:val="001053A7"/>
    <w:rsid w:val="00105DBB"/>
    <w:rsid w:val="001067CF"/>
    <w:rsid w:val="00106AE3"/>
    <w:rsid w:val="00107FC3"/>
    <w:rsid w:val="00110059"/>
    <w:rsid w:val="001105F1"/>
    <w:rsid w:val="00110ED6"/>
    <w:rsid w:val="00111100"/>
    <w:rsid w:val="001129D8"/>
    <w:rsid w:val="00113B52"/>
    <w:rsid w:val="00113C92"/>
    <w:rsid w:val="00114E92"/>
    <w:rsid w:val="00116D01"/>
    <w:rsid w:val="00120488"/>
    <w:rsid w:val="001204CF"/>
    <w:rsid w:val="00120A43"/>
    <w:rsid w:val="001212B2"/>
    <w:rsid w:val="0012136A"/>
    <w:rsid w:val="001216CE"/>
    <w:rsid w:val="00121CDA"/>
    <w:rsid w:val="00122DC8"/>
    <w:rsid w:val="00125070"/>
    <w:rsid w:val="00125577"/>
    <w:rsid w:val="001255B3"/>
    <w:rsid w:val="001265A8"/>
    <w:rsid w:val="0012676D"/>
    <w:rsid w:val="00127388"/>
    <w:rsid w:val="001276D2"/>
    <w:rsid w:val="00130C20"/>
    <w:rsid w:val="00130F68"/>
    <w:rsid w:val="001317CE"/>
    <w:rsid w:val="0013180C"/>
    <w:rsid w:val="00131983"/>
    <w:rsid w:val="00131CE1"/>
    <w:rsid w:val="00132D8A"/>
    <w:rsid w:val="0013381F"/>
    <w:rsid w:val="00134387"/>
    <w:rsid w:val="00136B98"/>
    <w:rsid w:val="001371F4"/>
    <w:rsid w:val="00140D28"/>
    <w:rsid w:val="00141074"/>
    <w:rsid w:val="001419C1"/>
    <w:rsid w:val="00142730"/>
    <w:rsid w:val="00143B0C"/>
    <w:rsid w:val="00143E65"/>
    <w:rsid w:val="0014413C"/>
    <w:rsid w:val="00144466"/>
    <w:rsid w:val="001451AB"/>
    <w:rsid w:val="001469C5"/>
    <w:rsid w:val="00147AEC"/>
    <w:rsid w:val="00150074"/>
    <w:rsid w:val="00150232"/>
    <w:rsid w:val="00152322"/>
    <w:rsid w:val="00152930"/>
    <w:rsid w:val="001548F2"/>
    <w:rsid w:val="00156A88"/>
    <w:rsid w:val="0015738E"/>
    <w:rsid w:val="00157548"/>
    <w:rsid w:val="0016018D"/>
    <w:rsid w:val="0016071B"/>
    <w:rsid w:val="00160847"/>
    <w:rsid w:val="00160A7E"/>
    <w:rsid w:val="001617AD"/>
    <w:rsid w:val="00161CCC"/>
    <w:rsid w:val="001674E7"/>
    <w:rsid w:val="00167698"/>
    <w:rsid w:val="00170A73"/>
    <w:rsid w:val="00170F66"/>
    <w:rsid w:val="0017172C"/>
    <w:rsid w:val="00172637"/>
    <w:rsid w:val="001737F0"/>
    <w:rsid w:val="00173B83"/>
    <w:rsid w:val="001756E1"/>
    <w:rsid w:val="001807AA"/>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EB3"/>
    <w:rsid w:val="001A0300"/>
    <w:rsid w:val="001A074B"/>
    <w:rsid w:val="001A1369"/>
    <w:rsid w:val="001A1B39"/>
    <w:rsid w:val="001A1F69"/>
    <w:rsid w:val="001A4ECF"/>
    <w:rsid w:val="001A5251"/>
    <w:rsid w:val="001A5315"/>
    <w:rsid w:val="001B01F9"/>
    <w:rsid w:val="001B0309"/>
    <w:rsid w:val="001B1BF6"/>
    <w:rsid w:val="001B2023"/>
    <w:rsid w:val="001B337A"/>
    <w:rsid w:val="001B5251"/>
    <w:rsid w:val="001B6117"/>
    <w:rsid w:val="001B621A"/>
    <w:rsid w:val="001B73C7"/>
    <w:rsid w:val="001C0BB2"/>
    <w:rsid w:val="001C0F1D"/>
    <w:rsid w:val="001C1416"/>
    <w:rsid w:val="001C1AAB"/>
    <w:rsid w:val="001C216E"/>
    <w:rsid w:val="001C28BC"/>
    <w:rsid w:val="001C3C18"/>
    <w:rsid w:val="001C4927"/>
    <w:rsid w:val="001C68A6"/>
    <w:rsid w:val="001C7E81"/>
    <w:rsid w:val="001D0529"/>
    <w:rsid w:val="001D0D58"/>
    <w:rsid w:val="001D0EEF"/>
    <w:rsid w:val="001D208F"/>
    <w:rsid w:val="001D3525"/>
    <w:rsid w:val="001D35C4"/>
    <w:rsid w:val="001D385D"/>
    <w:rsid w:val="001D4B6D"/>
    <w:rsid w:val="001D5261"/>
    <w:rsid w:val="001D6832"/>
    <w:rsid w:val="001D7F34"/>
    <w:rsid w:val="001E14DD"/>
    <w:rsid w:val="001E186A"/>
    <w:rsid w:val="001E3503"/>
    <w:rsid w:val="001E359F"/>
    <w:rsid w:val="001E3A75"/>
    <w:rsid w:val="001E436F"/>
    <w:rsid w:val="001E44D5"/>
    <w:rsid w:val="001E54F2"/>
    <w:rsid w:val="001E71D9"/>
    <w:rsid w:val="001E7955"/>
    <w:rsid w:val="001E7D07"/>
    <w:rsid w:val="001F03E4"/>
    <w:rsid w:val="001F0DB9"/>
    <w:rsid w:val="001F111E"/>
    <w:rsid w:val="001F189C"/>
    <w:rsid w:val="001F2214"/>
    <w:rsid w:val="001F2E42"/>
    <w:rsid w:val="001F5C6A"/>
    <w:rsid w:val="001F5D26"/>
    <w:rsid w:val="001F614A"/>
    <w:rsid w:val="001F749F"/>
    <w:rsid w:val="001F7A86"/>
    <w:rsid w:val="00200FBD"/>
    <w:rsid w:val="00201631"/>
    <w:rsid w:val="00201F70"/>
    <w:rsid w:val="002023C0"/>
    <w:rsid w:val="0020243D"/>
    <w:rsid w:val="00202D2C"/>
    <w:rsid w:val="002040CD"/>
    <w:rsid w:val="00204C4D"/>
    <w:rsid w:val="00206376"/>
    <w:rsid w:val="0020668E"/>
    <w:rsid w:val="002078F2"/>
    <w:rsid w:val="00210701"/>
    <w:rsid w:val="00210B2B"/>
    <w:rsid w:val="0021225F"/>
    <w:rsid w:val="00212ECA"/>
    <w:rsid w:val="0021329A"/>
    <w:rsid w:val="00213AA9"/>
    <w:rsid w:val="002143B3"/>
    <w:rsid w:val="00215079"/>
    <w:rsid w:val="002153F1"/>
    <w:rsid w:val="00215A9A"/>
    <w:rsid w:val="00215F98"/>
    <w:rsid w:val="002174F4"/>
    <w:rsid w:val="0022036E"/>
    <w:rsid w:val="002208D0"/>
    <w:rsid w:val="0022120E"/>
    <w:rsid w:val="00221961"/>
    <w:rsid w:val="00221BC5"/>
    <w:rsid w:val="00221E4E"/>
    <w:rsid w:val="00224EF3"/>
    <w:rsid w:val="0022590C"/>
    <w:rsid w:val="00225B9A"/>
    <w:rsid w:val="00226AA9"/>
    <w:rsid w:val="00226B3C"/>
    <w:rsid w:val="00226B4A"/>
    <w:rsid w:val="00227032"/>
    <w:rsid w:val="0022722C"/>
    <w:rsid w:val="0022746F"/>
    <w:rsid w:val="00227754"/>
    <w:rsid w:val="00227F15"/>
    <w:rsid w:val="002318CC"/>
    <w:rsid w:val="00232B35"/>
    <w:rsid w:val="0023322C"/>
    <w:rsid w:val="00234BF6"/>
    <w:rsid w:val="002357AA"/>
    <w:rsid w:val="00235B3B"/>
    <w:rsid w:val="00235EFC"/>
    <w:rsid w:val="00237CD9"/>
    <w:rsid w:val="0024154E"/>
    <w:rsid w:val="00241DCC"/>
    <w:rsid w:val="00242391"/>
    <w:rsid w:val="002466B6"/>
    <w:rsid w:val="002519E5"/>
    <w:rsid w:val="002522BE"/>
    <w:rsid w:val="0025290E"/>
    <w:rsid w:val="00253CAE"/>
    <w:rsid w:val="0025432E"/>
    <w:rsid w:val="00256485"/>
    <w:rsid w:val="00260EA9"/>
    <w:rsid w:val="00261A81"/>
    <w:rsid w:val="0026390F"/>
    <w:rsid w:val="00263D89"/>
    <w:rsid w:val="002649E9"/>
    <w:rsid w:val="00266A10"/>
    <w:rsid w:val="0026767C"/>
    <w:rsid w:val="00267805"/>
    <w:rsid w:val="00271E06"/>
    <w:rsid w:val="002730E2"/>
    <w:rsid w:val="0027483B"/>
    <w:rsid w:val="00274AB8"/>
    <w:rsid w:val="00275466"/>
    <w:rsid w:val="002809B3"/>
    <w:rsid w:val="00280A41"/>
    <w:rsid w:val="00282556"/>
    <w:rsid w:val="00282A78"/>
    <w:rsid w:val="00285171"/>
    <w:rsid w:val="002858A9"/>
    <w:rsid w:val="00287750"/>
    <w:rsid w:val="002909DB"/>
    <w:rsid w:val="002927A2"/>
    <w:rsid w:val="00293283"/>
    <w:rsid w:val="00293304"/>
    <w:rsid w:val="0029353D"/>
    <w:rsid w:val="0029563F"/>
    <w:rsid w:val="0029594D"/>
    <w:rsid w:val="00295CF8"/>
    <w:rsid w:val="00296C9A"/>
    <w:rsid w:val="00296F9B"/>
    <w:rsid w:val="002971CF"/>
    <w:rsid w:val="00297F42"/>
    <w:rsid w:val="002A0B80"/>
    <w:rsid w:val="002A0C66"/>
    <w:rsid w:val="002A0F24"/>
    <w:rsid w:val="002A1DB3"/>
    <w:rsid w:val="002A34BA"/>
    <w:rsid w:val="002A7C4B"/>
    <w:rsid w:val="002B077C"/>
    <w:rsid w:val="002B0B71"/>
    <w:rsid w:val="002B1F62"/>
    <w:rsid w:val="002B2015"/>
    <w:rsid w:val="002B3BBA"/>
    <w:rsid w:val="002B44B7"/>
    <w:rsid w:val="002B50D5"/>
    <w:rsid w:val="002B5A99"/>
    <w:rsid w:val="002B5C8C"/>
    <w:rsid w:val="002B5FF8"/>
    <w:rsid w:val="002B6573"/>
    <w:rsid w:val="002B6DBA"/>
    <w:rsid w:val="002B6F86"/>
    <w:rsid w:val="002B7AA6"/>
    <w:rsid w:val="002B7E47"/>
    <w:rsid w:val="002C11EE"/>
    <w:rsid w:val="002C2A13"/>
    <w:rsid w:val="002C2E92"/>
    <w:rsid w:val="002C3825"/>
    <w:rsid w:val="002C398A"/>
    <w:rsid w:val="002C3FB6"/>
    <w:rsid w:val="002C42F2"/>
    <w:rsid w:val="002C46E9"/>
    <w:rsid w:val="002C51F4"/>
    <w:rsid w:val="002C6201"/>
    <w:rsid w:val="002C6673"/>
    <w:rsid w:val="002C719A"/>
    <w:rsid w:val="002C7774"/>
    <w:rsid w:val="002C786B"/>
    <w:rsid w:val="002C7CBE"/>
    <w:rsid w:val="002D05EF"/>
    <w:rsid w:val="002D157C"/>
    <w:rsid w:val="002D1C3F"/>
    <w:rsid w:val="002D36AE"/>
    <w:rsid w:val="002D3839"/>
    <w:rsid w:val="002D3FFB"/>
    <w:rsid w:val="002D5611"/>
    <w:rsid w:val="002D6047"/>
    <w:rsid w:val="002D6E59"/>
    <w:rsid w:val="002D7CD8"/>
    <w:rsid w:val="002D7FB1"/>
    <w:rsid w:val="002E0B3B"/>
    <w:rsid w:val="002E0F64"/>
    <w:rsid w:val="002E109B"/>
    <w:rsid w:val="002E2692"/>
    <w:rsid w:val="002E3241"/>
    <w:rsid w:val="002E3399"/>
    <w:rsid w:val="002E38BB"/>
    <w:rsid w:val="002E612C"/>
    <w:rsid w:val="002E649B"/>
    <w:rsid w:val="002E6677"/>
    <w:rsid w:val="002E7314"/>
    <w:rsid w:val="002E7F35"/>
    <w:rsid w:val="002F1618"/>
    <w:rsid w:val="002F1D37"/>
    <w:rsid w:val="002F36E8"/>
    <w:rsid w:val="002F529A"/>
    <w:rsid w:val="002F5BB5"/>
    <w:rsid w:val="002F6661"/>
    <w:rsid w:val="002F6D93"/>
    <w:rsid w:val="002F7EE7"/>
    <w:rsid w:val="0030002A"/>
    <w:rsid w:val="003008FB"/>
    <w:rsid w:val="00300F45"/>
    <w:rsid w:val="003014F3"/>
    <w:rsid w:val="00301643"/>
    <w:rsid w:val="00301649"/>
    <w:rsid w:val="0030170C"/>
    <w:rsid w:val="00301A91"/>
    <w:rsid w:val="0030248B"/>
    <w:rsid w:val="003045A0"/>
    <w:rsid w:val="00305B38"/>
    <w:rsid w:val="00306DA5"/>
    <w:rsid w:val="003074D3"/>
    <w:rsid w:val="003104F2"/>
    <w:rsid w:val="00311CA9"/>
    <w:rsid w:val="0031292D"/>
    <w:rsid w:val="0031367A"/>
    <w:rsid w:val="003137CF"/>
    <w:rsid w:val="00313A14"/>
    <w:rsid w:val="00313AE2"/>
    <w:rsid w:val="00313B2E"/>
    <w:rsid w:val="003146D1"/>
    <w:rsid w:val="0031528B"/>
    <w:rsid w:val="0031556D"/>
    <w:rsid w:val="00315DB0"/>
    <w:rsid w:val="0031620E"/>
    <w:rsid w:val="003172BE"/>
    <w:rsid w:val="00320E3F"/>
    <w:rsid w:val="003219EA"/>
    <w:rsid w:val="00322AAC"/>
    <w:rsid w:val="00322C47"/>
    <w:rsid w:val="00322E71"/>
    <w:rsid w:val="003230B5"/>
    <w:rsid w:val="00323FE4"/>
    <w:rsid w:val="003240BE"/>
    <w:rsid w:val="003243A5"/>
    <w:rsid w:val="00324F0C"/>
    <w:rsid w:val="003257DB"/>
    <w:rsid w:val="00325EDE"/>
    <w:rsid w:val="00326DBA"/>
    <w:rsid w:val="0033096C"/>
    <w:rsid w:val="00330AEE"/>
    <w:rsid w:val="00331549"/>
    <w:rsid w:val="00331604"/>
    <w:rsid w:val="00333450"/>
    <w:rsid w:val="003335ED"/>
    <w:rsid w:val="00333E51"/>
    <w:rsid w:val="00333EC9"/>
    <w:rsid w:val="00334478"/>
    <w:rsid w:val="003344E5"/>
    <w:rsid w:val="00341862"/>
    <w:rsid w:val="0034203C"/>
    <w:rsid w:val="00342ED0"/>
    <w:rsid w:val="00343111"/>
    <w:rsid w:val="003446F2"/>
    <w:rsid w:val="00344BB4"/>
    <w:rsid w:val="003457C2"/>
    <w:rsid w:val="00345BAA"/>
    <w:rsid w:val="00346168"/>
    <w:rsid w:val="003479E8"/>
    <w:rsid w:val="00347BFE"/>
    <w:rsid w:val="003533FF"/>
    <w:rsid w:val="00353EB6"/>
    <w:rsid w:val="0035508E"/>
    <w:rsid w:val="00355BA4"/>
    <w:rsid w:val="00355DE7"/>
    <w:rsid w:val="003605D5"/>
    <w:rsid w:val="0036078C"/>
    <w:rsid w:val="00361606"/>
    <w:rsid w:val="0036180A"/>
    <w:rsid w:val="00361890"/>
    <w:rsid w:val="00361EC8"/>
    <w:rsid w:val="00363503"/>
    <w:rsid w:val="00364050"/>
    <w:rsid w:val="0036413A"/>
    <w:rsid w:val="0036493E"/>
    <w:rsid w:val="00364EA4"/>
    <w:rsid w:val="003650A7"/>
    <w:rsid w:val="00365411"/>
    <w:rsid w:val="00365625"/>
    <w:rsid w:val="00370B52"/>
    <w:rsid w:val="003715FA"/>
    <w:rsid w:val="00371710"/>
    <w:rsid w:val="00371F8A"/>
    <w:rsid w:val="00372354"/>
    <w:rsid w:val="003723B0"/>
    <w:rsid w:val="00372E59"/>
    <w:rsid w:val="00373691"/>
    <w:rsid w:val="00373AFF"/>
    <w:rsid w:val="00373D30"/>
    <w:rsid w:val="00375CB6"/>
    <w:rsid w:val="003777F2"/>
    <w:rsid w:val="003819CB"/>
    <w:rsid w:val="00381A96"/>
    <w:rsid w:val="00383792"/>
    <w:rsid w:val="00383ED6"/>
    <w:rsid w:val="00385823"/>
    <w:rsid w:val="0038737D"/>
    <w:rsid w:val="00390487"/>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B0168"/>
    <w:rsid w:val="003B04E8"/>
    <w:rsid w:val="003B079D"/>
    <w:rsid w:val="003B0873"/>
    <w:rsid w:val="003B0E02"/>
    <w:rsid w:val="003B2BD1"/>
    <w:rsid w:val="003B2DED"/>
    <w:rsid w:val="003B52B9"/>
    <w:rsid w:val="003B5635"/>
    <w:rsid w:val="003B60A1"/>
    <w:rsid w:val="003B6113"/>
    <w:rsid w:val="003B64C7"/>
    <w:rsid w:val="003B6FE0"/>
    <w:rsid w:val="003B7790"/>
    <w:rsid w:val="003B78BD"/>
    <w:rsid w:val="003C0206"/>
    <w:rsid w:val="003C1846"/>
    <w:rsid w:val="003C1D78"/>
    <w:rsid w:val="003C2CDB"/>
    <w:rsid w:val="003C38B5"/>
    <w:rsid w:val="003C3E17"/>
    <w:rsid w:val="003C3E5B"/>
    <w:rsid w:val="003C545E"/>
    <w:rsid w:val="003C54EF"/>
    <w:rsid w:val="003C55CE"/>
    <w:rsid w:val="003C5616"/>
    <w:rsid w:val="003C6394"/>
    <w:rsid w:val="003C6B26"/>
    <w:rsid w:val="003C72FC"/>
    <w:rsid w:val="003C7A10"/>
    <w:rsid w:val="003D00C7"/>
    <w:rsid w:val="003D058C"/>
    <w:rsid w:val="003D0AD5"/>
    <w:rsid w:val="003D157E"/>
    <w:rsid w:val="003D2089"/>
    <w:rsid w:val="003D256E"/>
    <w:rsid w:val="003D35DA"/>
    <w:rsid w:val="003D3613"/>
    <w:rsid w:val="003D3EE8"/>
    <w:rsid w:val="003D4863"/>
    <w:rsid w:val="003D4BF0"/>
    <w:rsid w:val="003D6C0D"/>
    <w:rsid w:val="003D7D09"/>
    <w:rsid w:val="003D7F97"/>
    <w:rsid w:val="003E1257"/>
    <w:rsid w:val="003E1A59"/>
    <w:rsid w:val="003E261A"/>
    <w:rsid w:val="003E2CD9"/>
    <w:rsid w:val="003E31CE"/>
    <w:rsid w:val="003E3A2B"/>
    <w:rsid w:val="003E4235"/>
    <w:rsid w:val="003E46EF"/>
    <w:rsid w:val="003E51C3"/>
    <w:rsid w:val="003E5E33"/>
    <w:rsid w:val="003E61FC"/>
    <w:rsid w:val="003F00D2"/>
    <w:rsid w:val="003F0397"/>
    <w:rsid w:val="003F0869"/>
    <w:rsid w:val="003F177F"/>
    <w:rsid w:val="003F22B0"/>
    <w:rsid w:val="003F24C5"/>
    <w:rsid w:val="003F2713"/>
    <w:rsid w:val="003F2FCF"/>
    <w:rsid w:val="003F30F5"/>
    <w:rsid w:val="003F329A"/>
    <w:rsid w:val="003F353C"/>
    <w:rsid w:val="003F3815"/>
    <w:rsid w:val="003F3CDE"/>
    <w:rsid w:val="003F5AFF"/>
    <w:rsid w:val="003F67FF"/>
    <w:rsid w:val="003F6B11"/>
    <w:rsid w:val="003F705A"/>
    <w:rsid w:val="003F7648"/>
    <w:rsid w:val="00400878"/>
    <w:rsid w:val="00401497"/>
    <w:rsid w:val="00402217"/>
    <w:rsid w:val="00402A62"/>
    <w:rsid w:val="00403BB6"/>
    <w:rsid w:val="00404B16"/>
    <w:rsid w:val="004052DE"/>
    <w:rsid w:val="0040535C"/>
    <w:rsid w:val="00405CE5"/>
    <w:rsid w:val="00405DEB"/>
    <w:rsid w:val="00406085"/>
    <w:rsid w:val="00406E3A"/>
    <w:rsid w:val="00410E74"/>
    <w:rsid w:val="00411589"/>
    <w:rsid w:val="00411D37"/>
    <w:rsid w:val="00411DDD"/>
    <w:rsid w:val="00413292"/>
    <w:rsid w:val="00413E45"/>
    <w:rsid w:val="0041436E"/>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03B5"/>
    <w:rsid w:val="00431F22"/>
    <w:rsid w:val="00433217"/>
    <w:rsid w:val="004353C1"/>
    <w:rsid w:val="00436763"/>
    <w:rsid w:val="00436D72"/>
    <w:rsid w:val="00437936"/>
    <w:rsid w:val="004406DF"/>
    <w:rsid w:val="0044075D"/>
    <w:rsid w:val="004428C6"/>
    <w:rsid w:val="004429D3"/>
    <w:rsid w:val="004429FC"/>
    <w:rsid w:val="00442CAA"/>
    <w:rsid w:val="00443C3A"/>
    <w:rsid w:val="00444C58"/>
    <w:rsid w:val="00445125"/>
    <w:rsid w:val="00446B13"/>
    <w:rsid w:val="00450F69"/>
    <w:rsid w:val="00451163"/>
    <w:rsid w:val="00453CB9"/>
    <w:rsid w:val="00453D17"/>
    <w:rsid w:val="00454BB3"/>
    <w:rsid w:val="00455B41"/>
    <w:rsid w:val="00455B7B"/>
    <w:rsid w:val="00457530"/>
    <w:rsid w:val="00457668"/>
    <w:rsid w:val="004576AC"/>
    <w:rsid w:val="00460E75"/>
    <w:rsid w:val="00461586"/>
    <w:rsid w:val="00463148"/>
    <w:rsid w:val="00463153"/>
    <w:rsid w:val="00463983"/>
    <w:rsid w:val="00463D68"/>
    <w:rsid w:val="004640C5"/>
    <w:rsid w:val="00465924"/>
    <w:rsid w:val="00466189"/>
    <w:rsid w:val="00466F2F"/>
    <w:rsid w:val="00467D06"/>
    <w:rsid w:val="00472422"/>
    <w:rsid w:val="004729FE"/>
    <w:rsid w:val="00473711"/>
    <w:rsid w:val="00474027"/>
    <w:rsid w:val="00474445"/>
    <w:rsid w:val="00474F0B"/>
    <w:rsid w:val="004752DD"/>
    <w:rsid w:val="00475B27"/>
    <w:rsid w:val="00476A7E"/>
    <w:rsid w:val="00476D75"/>
    <w:rsid w:val="00476F5B"/>
    <w:rsid w:val="00477649"/>
    <w:rsid w:val="00480090"/>
    <w:rsid w:val="004811C8"/>
    <w:rsid w:val="00481207"/>
    <w:rsid w:val="0048136F"/>
    <w:rsid w:val="00481B2F"/>
    <w:rsid w:val="00482721"/>
    <w:rsid w:val="00482BB8"/>
    <w:rsid w:val="00484529"/>
    <w:rsid w:val="00484C57"/>
    <w:rsid w:val="00485AFD"/>
    <w:rsid w:val="004863C5"/>
    <w:rsid w:val="00491D05"/>
    <w:rsid w:val="0049319B"/>
    <w:rsid w:val="0049478D"/>
    <w:rsid w:val="00495008"/>
    <w:rsid w:val="0049507C"/>
    <w:rsid w:val="004971C9"/>
    <w:rsid w:val="004974D0"/>
    <w:rsid w:val="004A111B"/>
    <w:rsid w:val="004A1477"/>
    <w:rsid w:val="004A2F7B"/>
    <w:rsid w:val="004A3B63"/>
    <w:rsid w:val="004A4DDE"/>
    <w:rsid w:val="004A4EFE"/>
    <w:rsid w:val="004A5FC1"/>
    <w:rsid w:val="004A6049"/>
    <w:rsid w:val="004A7ED5"/>
    <w:rsid w:val="004B45EC"/>
    <w:rsid w:val="004B5146"/>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8B8"/>
    <w:rsid w:val="004C5A67"/>
    <w:rsid w:val="004C5DD9"/>
    <w:rsid w:val="004C5F88"/>
    <w:rsid w:val="004C7888"/>
    <w:rsid w:val="004C7967"/>
    <w:rsid w:val="004C7EAF"/>
    <w:rsid w:val="004C7F19"/>
    <w:rsid w:val="004D0140"/>
    <w:rsid w:val="004D11F1"/>
    <w:rsid w:val="004D347D"/>
    <w:rsid w:val="004D3BF9"/>
    <w:rsid w:val="004D4A9D"/>
    <w:rsid w:val="004D509D"/>
    <w:rsid w:val="004D61AC"/>
    <w:rsid w:val="004D6376"/>
    <w:rsid w:val="004D78C7"/>
    <w:rsid w:val="004E1BA7"/>
    <w:rsid w:val="004E25C8"/>
    <w:rsid w:val="004E2B64"/>
    <w:rsid w:val="004E302D"/>
    <w:rsid w:val="004E3B23"/>
    <w:rsid w:val="004E3C56"/>
    <w:rsid w:val="004E41D6"/>
    <w:rsid w:val="004E4AB2"/>
    <w:rsid w:val="004E54C8"/>
    <w:rsid w:val="004E72BD"/>
    <w:rsid w:val="004F1E54"/>
    <w:rsid w:val="004F2393"/>
    <w:rsid w:val="004F3B6F"/>
    <w:rsid w:val="004F3E94"/>
    <w:rsid w:val="004F62AF"/>
    <w:rsid w:val="004F6E8B"/>
    <w:rsid w:val="004F6F2D"/>
    <w:rsid w:val="004F75C3"/>
    <w:rsid w:val="004F7E67"/>
    <w:rsid w:val="0050023A"/>
    <w:rsid w:val="0050097C"/>
    <w:rsid w:val="00502176"/>
    <w:rsid w:val="00502391"/>
    <w:rsid w:val="005034A0"/>
    <w:rsid w:val="00503AFF"/>
    <w:rsid w:val="00503D38"/>
    <w:rsid w:val="00504503"/>
    <w:rsid w:val="0050508B"/>
    <w:rsid w:val="005050FF"/>
    <w:rsid w:val="005058C3"/>
    <w:rsid w:val="00507218"/>
    <w:rsid w:val="0051006C"/>
    <w:rsid w:val="00510C53"/>
    <w:rsid w:val="00511B6B"/>
    <w:rsid w:val="00512741"/>
    <w:rsid w:val="0051403E"/>
    <w:rsid w:val="005147BF"/>
    <w:rsid w:val="00514B22"/>
    <w:rsid w:val="00515618"/>
    <w:rsid w:val="00515724"/>
    <w:rsid w:val="005167F9"/>
    <w:rsid w:val="00516E9C"/>
    <w:rsid w:val="005172CD"/>
    <w:rsid w:val="0051741E"/>
    <w:rsid w:val="0051775A"/>
    <w:rsid w:val="005201CF"/>
    <w:rsid w:val="00520600"/>
    <w:rsid w:val="005209A4"/>
    <w:rsid w:val="005213BD"/>
    <w:rsid w:val="00522D82"/>
    <w:rsid w:val="00522F8F"/>
    <w:rsid w:val="005241C8"/>
    <w:rsid w:val="00524E04"/>
    <w:rsid w:val="00524F14"/>
    <w:rsid w:val="005255D1"/>
    <w:rsid w:val="00526A0E"/>
    <w:rsid w:val="005277D0"/>
    <w:rsid w:val="0053248E"/>
    <w:rsid w:val="00532606"/>
    <w:rsid w:val="00533BB0"/>
    <w:rsid w:val="005343C2"/>
    <w:rsid w:val="00534E60"/>
    <w:rsid w:val="00535191"/>
    <w:rsid w:val="005371A1"/>
    <w:rsid w:val="0053757A"/>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50039"/>
    <w:rsid w:val="00552D05"/>
    <w:rsid w:val="00552E13"/>
    <w:rsid w:val="00553081"/>
    <w:rsid w:val="00553C22"/>
    <w:rsid w:val="0055431A"/>
    <w:rsid w:val="00554715"/>
    <w:rsid w:val="00554D99"/>
    <w:rsid w:val="005550EF"/>
    <w:rsid w:val="00555582"/>
    <w:rsid w:val="005557D4"/>
    <w:rsid w:val="00555965"/>
    <w:rsid w:val="00557720"/>
    <w:rsid w:val="005578BF"/>
    <w:rsid w:val="00560AC0"/>
    <w:rsid w:val="0056297F"/>
    <w:rsid w:val="0056325C"/>
    <w:rsid w:val="00564BFA"/>
    <w:rsid w:val="005709D7"/>
    <w:rsid w:val="005716D5"/>
    <w:rsid w:val="00571B3A"/>
    <w:rsid w:val="00573B30"/>
    <w:rsid w:val="00575112"/>
    <w:rsid w:val="00575472"/>
    <w:rsid w:val="005764F4"/>
    <w:rsid w:val="00576EA4"/>
    <w:rsid w:val="00576EBA"/>
    <w:rsid w:val="00576F28"/>
    <w:rsid w:val="00577799"/>
    <w:rsid w:val="005777D0"/>
    <w:rsid w:val="0057792C"/>
    <w:rsid w:val="00580229"/>
    <w:rsid w:val="00581158"/>
    <w:rsid w:val="005814FF"/>
    <w:rsid w:val="005836E2"/>
    <w:rsid w:val="00584180"/>
    <w:rsid w:val="005848EE"/>
    <w:rsid w:val="00584C64"/>
    <w:rsid w:val="00584CBA"/>
    <w:rsid w:val="005859E8"/>
    <w:rsid w:val="00585ACC"/>
    <w:rsid w:val="00586505"/>
    <w:rsid w:val="0058655C"/>
    <w:rsid w:val="005876B0"/>
    <w:rsid w:val="00587C23"/>
    <w:rsid w:val="00591E7A"/>
    <w:rsid w:val="00592701"/>
    <w:rsid w:val="00592F21"/>
    <w:rsid w:val="00595212"/>
    <w:rsid w:val="00595DED"/>
    <w:rsid w:val="00597DD2"/>
    <w:rsid w:val="005A0136"/>
    <w:rsid w:val="005A0A61"/>
    <w:rsid w:val="005A1658"/>
    <w:rsid w:val="005A197F"/>
    <w:rsid w:val="005A2FE7"/>
    <w:rsid w:val="005A4A80"/>
    <w:rsid w:val="005A5224"/>
    <w:rsid w:val="005A64CA"/>
    <w:rsid w:val="005A65C2"/>
    <w:rsid w:val="005A6626"/>
    <w:rsid w:val="005A6C71"/>
    <w:rsid w:val="005A7665"/>
    <w:rsid w:val="005B10BC"/>
    <w:rsid w:val="005B12A7"/>
    <w:rsid w:val="005B12C7"/>
    <w:rsid w:val="005B263D"/>
    <w:rsid w:val="005B3C3C"/>
    <w:rsid w:val="005B4DDD"/>
    <w:rsid w:val="005B7E59"/>
    <w:rsid w:val="005C0047"/>
    <w:rsid w:val="005C057E"/>
    <w:rsid w:val="005C087B"/>
    <w:rsid w:val="005C163A"/>
    <w:rsid w:val="005C1B91"/>
    <w:rsid w:val="005C1F7C"/>
    <w:rsid w:val="005C2275"/>
    <w:rsid w:val="005C515D"/>
    <w:rsid w:val="005C5674"/>
    <w:rsid w:val="005C5D32"/>
    <w:rsid w:val="005C6C00"/>
    <w:rsid w:val="005C749F"/>
    <w:rsid w:val="005D0DF8"/>
    <w:rsid w:val="005D0E56"/>
    <w:rsid w:val="005D2BD0"/>
    <w:rsid w:val="005D4064"/>
    <w:rsid w:val="005D4876"/>
    <w:rsid w:val="005D4A74"/>
    <w:rsid w:val="005D5D9F"/>
    <w:rsid w:val="005D5EE6"/>
    <w:rsid w:val="005D6E9E"/>
    <w:rsid w:val="005D6F67"/>
    <w:rsid w:val="005D70B1"/>
    <w:rsid w:val="005E05B5"/>
    <w:rsid w:val="005E0A61"/>
    <w:rsid w:val="005E13DC"/>
    <w:rsid w:val="005E1F3E"/>
    <w:rsid w:val="005E2FEA"/>
    <w:rsid w:val="005E33C8"/>
    <w:rsid w:val="005E34D2"/>
    <w:rsid w:val="005E5B5F"/>
    <w:rsid w:val="005E5E96"/>
    <w:rsid w:val="005E644F"/>
    <w:rsid w:val="005E6BD7"/>
    <w:rsid w:val="005E6DCF"/>
    <w:rsid w:val="005E77FC"/>
    <w:rsid w:val="005E7FB0"/>
    <w:rsid w:val="005F1DF6"/>
    <w:rsid w:val="005F203B"/>
    <w:rsid w:val="005F2611"/>
    <w:rsid w:val="005F284F"/>
    <w:rsid w:val="005F2DDE"/>
    <w:rsid w:val="005F37F9"/>
    <w:rsid w:val="005F42FA"/>
    <w:rsid w:val="005F57E3"/>
    <w:rsid w:val="005F7C5A"/>
    <w:rsid w:val="00601800"/>
    <w:rsid w:val="00601AAC"/>
    <w:rsid w:val="006051F1"/>
    <w:rsid w:val="0060554F"/>
    <w:rsid w:val="00606851"/>
    <w:rsid w:val="0060685D"/>
    <w:rsid w:val="00606EE5"/>
    <w:rsid w:val="006070D6"/>
    <w:rsid w:val="006075D6"/>
    <w:rsid w:val="00607B21"/>
    <w:rsid w:val="00613DAD"/>
    <w:rsid w:val="00616611"/>
    <w:rsid w:val="006223E9"/>
    <w:rsid w:val="00622533"/>
    <w:rsid w:val="00622F96"/>
    <w:rsid w:val="00623889"/>
    <w:rsid w:val="00624DCA"/>
    <w:rsid w:val="00625EDC"/>
    <w:rsid w:val="0063013C"/>
    <w:rsid w:val="00630619"/>
    <w:rsid w:val="00630E51"/>
    <w:rsid w:val="00630EB1"/>
    <w:rsid w:val="00631A11"/>
    <w:rsid w:val="00631E41"/>
    <w:rsid w:val="00632A92"/>
    <w:rsid w:val="0063379A"/>
    <w:rsid w:val="00634EF4"/>
    <w:rsid w:val="00634F07"/>
    <w:rsid w:val="00636152"/>
    <w:rsid w:val="0063695E"/>
    <w:rsid w:val="0063753E"/>
    <w:rsid w:val="00637C40"/>
    <w:rsid w:val="00637F49"/>
    <w:rsid w:val="006424EB"/>
    <w:rsid w:val="00642B3C"/>
    <w:rsid w:val="00643239"/>
    <w:rsid w:val="006432DB"/>
    <w:rsid w:val="00643638"/>
    <w:rsid w:val="006446B5"/>
    <w:rsid w:val="006449AB"/>
    <w:rsid w:val="0064527A"/>
    <w:rsid w:val="006461BF"/>
    <w:rsid w:val="00647FBE"/>
    <w:rsid w:val="00651E14"/>
    <w:rsid w:val="00652EB5"/>
    <w:rsid w:val="006553F7"/>
    <w:rsid w:val="00655728"/>
    <w:rsid w:val="00655ECE"/>
    <w:rsid w:val="006600ED"/>
    <w:rsid w:val="00660981"/>
    <w:rsid w:val="00660BC2"/>
    <w:rsid w:val="0066156D"/>
    <w:rsid w:val="00661646"/>
    <w:rsid w:val="00663B38"/>
    <w:rsid w:val="00664D9F"/>
    <w:rsid w:val="00665520"/>
    <w:rsid w:val="0067219B"/>
    <w:rsid w:val="00672D34"/>
    <w:rsid w:val="0067411B"/>
    <w:rsid w:val="00674625"/>
    <w:rsid w:val="00675405"/>
    <w:rsid w:val="0067551B"/>
    <w:rsid w:val="00675CF5"/>
    <w:rsid w:val="00676001"/>
    <w:rsid w:val="00676340"/>
    <w:rsid w:val="006777A4"/>
    <w:rsid w:val="00677E64"/>
    <w:rsid w:val="00680F95"/>
    <w:rsid w:val="00682354"/>
    <w:rsid w:val="006849F5"/>
    <w:rsid w:val="00685FA9"/>
    <w:rsid w:val="006862D4"/>
    <w:rsid w:val="00686658"/>
    <w:rsid w:val="006877BE"/>
    <w:rsid w:val="00687980"/>
    <w:rsid w:val="00690AC5"/>
    <w:rsid w:val="00690FD4"/>
    <w:rsid w:val="00691B31"/>
    <w:rsid w:val="0069234E"/>
    <w:rsid w:val="0069266B"/>
    <w:rsid w:val="00692867"/>
    <w:rsid w:val="00692D3C"/>
    <w:rsid w:val="00693193"/>
    <w:rsid w:val="00693368"/>
    <w:rsid w:val="00693C1D"/>
    <w:rsid w:val="00693F11"/>
    <w:rsid w:val="00694073"/>
    <w:rsid w:val="00694A0B"/>
    <w:rsid w:val="00694BA3"/>
    <w:rsid w:val="0069529C"/>
    <w:rsid w:val="00695339"/>
    <w:rsid w:val="0069600C"/>
    <w:rsid w:val="00697103"/>
    <w:rsid w:val="006A18A3"/>
    <w:rsid w:val="006A193E"/>
    <w:rsid w:val="006A1B4F"/>
    <w:rsid w:val="006A2244"/>
    <w:rsid w:val="006A3716"/>
    <w:rsid w:val="006A3C57"/>
    <w:rsid w:val="006A3E77"/>
    <w:rsid w:val="006A3F51"/>
    <w:rsid w:val="006A5A43"/>
    <w:rsid w:val="006A5EF7"/>
    <w:rsid w:val="006A7E34"/>
    <w:rsid w:val="006B0019"/>
    <w:rsid w:val="006B1A2B"/>
    <w:rsid w:val="006B2597"/>
    <w:rsid w:val="006B2714"/>
    <w:rsid w:val="006B28C6"/>
    <w:rsid w:val="006B298F"/>
    <w:rsid w:val="006B341D"/>
    <w:rsid w:val="006B4141"/>
    <w:rsid w:val="006B4A50"/>
    <w:rsid w:val="006B5C40"/>
    <w:rsid w:val="006B6C98"/>
    <w:rsid w:val="006C3D59"/>
    <w:rsid w:val="006C436C"/>
    <w:rsid w:val="006C478D"/>
    <w:rsid w:val="006C60C1"/>
    <w:rsid w:val="006C6F17"/>
    <w:rsid w:val="006C7543"/>
    <w:rsid w:val="006C7F21"/>
    <w:rsid w:val="006D03CA"/>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25C3"/>
    <w:rsid w:val="006E66D9"/>
    <w:rsid w:val="006E6DF5"/>
    <w:rsid w:val="006E7269"/>
    <w:rsid w:val="006E739C"/>
    <w:rsid w:val="006E7BDE"/>
    <w:rsid w:val="006F0848"/>
    <w:rsid w:val="006F1F97"/>
    <w:rsid w:val="006F2A7B"/>
    <w:rsid w:val="006F359D"/>
    <w:rsid w:val="006F4171"/>
    <w:rsid w:val="006F4350"/>
    <w:rsid w:val="006F460A"/>
    <w:rsid w:val="006F472F"/>
    <w:rsid w:val="006F51D4"/>
    <w:rsid w:val="006F540A"/>
    <w:rsid w:val="006F6393"/>
    <w:rsid w:val="00700632"/>
    <w:rsid w:val="00700E49"/>
    <w:rsid w:val="0070152D"/>
    <w:rsid w:val="00701895"/>
    <w:rsid w:val="00701D64"/>
    <w:rsid w:val="0070241A"/>
    <w:rsid w:val="007027C9"/>
    <w:rsid w:val="00704D0E"/>
    <w:rsid w:val="00707D52"/>
    <w:rsid w:val="00707E95"/>
    <w:rsid w:val="00710F34"/>
    <w:rsid w:val="0071126F"/>
    <w:rsid w:val="00711402"/>
    <w:rsid w:val="00711FDF"/>
    <w:rsid w:val="00712426"/>
    <w:rsid w:val="007127F3"/>
    <w:rsid w:val="00712B49"/>
    <w:rsid w:val="0071309E"/>
    <w:rsid w:val="007132D6"/>
    <w:rsid w:val="007155C2"/>
    <w:rsid w:val="0071596D"/>
    <w:rsid w:val="00715D7E"/>
    <w:rsid w:val="00716BF7"/>
    <w:rsid w:val="00720A2C"/>
    <w:rsid w:val="00720A30"/>
    <w:rsid w:val="00720C1F"/>
    <w:rsid w:val="00720D25"/>
    <w:rsid w:val="007211F9"/>
    <w:rsid w:val="0072160E"/>
    <w:rsid w:val="007217EA"/>
    <w:rsid w:val="00722825"/>
    <w:rsid w:val="0072305D"/>
    <w:rsid w:val="0072329E"/>
    <w:rsid w:val="007251B8"/>
    <w:rsid w:val="0072624D"/>
    <w:rsid w:val="00726260"/>
    <w:rsid w:val="00726B92"/>
    <w:rsid w:val="007275B9"/>
    <w:rsid w:val="0073050B"/>
    <w:rsid w:val="007307C0"/>
    <w:rsid w:val="0073173D"/>
    <w:rsid w:val="00731AF6"/>
    <w:rsid w:val="00731F7E"/>
    <w:rsid w:val="007323F5"/>
    <w:rsid w:val="007331BE"/>
    <w:rsid w:val="007333AE"/>
    <w:rsid w:val="0073453F"/>
    <w:rsid w:val="007345DF"/>
    <w:rsid w:val="00735048"/>
    <w:rsid w:val="0073506F"/>
    <w:rsid w:val="00736B22"/>
    <w:rsid w:val="00741C23"/>
    <w:rsid w:val="00741D46"/>
    <w:rsid w:val="0074357D"/>
    <w:rsid w:val="00743590"/>
    <w:rsid w:val="0074439F"/>
    <w:rsid w:val="00746D0C"/>
    <w:rsid w:val="007471E0"/>
    <w:rsid w:val="007479D2"/>
    <w:rsid w:val="00750C6E"/>
    <w:rsid w:val="00750D12"/>
    <w:rsid w:val="007528CC"/>
    <w:rsid w:val="00752F65"/>
    <w:rsid w:val="00753BFD"/>
    <w:rsid w:val="00753DBD"/>
    <w:rsid w:val="00753F3B"/>
    <w:rsid w:val="0075505B"/>
    <w:rsid w:val="00755851"/>
    <w:rsid w:val="00755D8E"/>
    <w:rsid w:val="00756225"/>
    <w:rsid w:val="00756804"/>
    <w:rsid w:val="00757037"/>
    <w:rsid w:val="00760282"/>
    <w:rsid w:val="00760455"/>
    <w:rsid w:val="007604D4"/>
    <w:rsid w:val="00761035"/>
    <w:rsid w:val="007614F2"/>
    <w:rsid w:val="00762B27"/>
    <w:rsid w:val="007637A0"/>
    <w:rsid w:val="00765356"/>
    <w:rsid w:val="00765DDB"/>
    <w:rsid w:val="00766B5A"/>
    <w:rsid w:val="00766B9F"/>
    <w:rsid w:val="0076713C"/>
    <w:rsid w:val="00770489"/>
    <w:rsid w:val="00770578"/>
    <w:rsid w:val="00771B12"/>
    <w:rsid w:val="00771C5F"/>
    <w:rsid w:val="00773F83"/>
    <w:rsid w:val="00775CB3"/>
    <w:rsid w:val="007772C0"/>
    <w:rsid w:val="007772DF"/>
    <w:rsid w:val="00782030"/>
    <w:rsid w:val="007823B3"/>
    <w:rsid w:val="00782750"/>
    <w:rsid w:val="0078287F"/>
    <w:rsid w:val="0078388C"/>
    <w:rsid w:val="007846E9"/>
    <w:rsid w:val="00784E73"/>
    <w:rsid w:val="00785217"/>
    <w:rsid w:val="007864F0"/>
    <w:rsid w:val="00786711"/>
    <w:rsid w:val="00787142"/>
    <w:rsid w:val="00790BB7"/>
    <w:rsid w:val="007928E9"/>
    <w:rsid w:val="00792DAF"/>
    <w:rsid w:val="00792ECF"/>
    <w:rsid w:val="00793BD1"/>
    <w:rsid w:val="0079436D"/>
    <w:rsid w:val="00795A93"/>
    <w:rsid w:val="00797415"/>
    <w:rsid w:val="0079793A"/>
    <w:rsid w:val="007A0B4B"/>
    <w:rsid w:val="007A0D65"/>
    <w:rsid w:val="007A2608"/>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967"/>
    <w:rsid w:val="007B5C94"/>
    <w:rsid w:val="007B65C2"/>
    <w:rsid w:val="007B75F9"/>
    <w:rsid w:val="007B7F3A"/>
    <w:rsid w:val="007C00D8"/>
    <w:rsid w:val="007C0E92"/>
    <w:rsid w:val="007C1697"/>
    <w:rsid w:val="007C181D"/>
    <w:rsid w:val="007C2E6F"/>
    <w:rsid w:val="007C30F7"/>
    <w:rsid w:val="007C38A5"/>
    <w:rsid w:val="007C40BD"/>
    <w:rsid w:val="007C46FC"/>
    <w:rsid w:val="007C5F76"/>
    <w:rsid w:val="007C6717"/>
    <w:rsid w:val="007C7D70"/>
    <w:rsid w:val="007D21FA"/>
    <w:rsid w:val="007D2B25"/>
    <w:rsid w:val="007D3B78"/>
    <w:rsid w:val="007D431F"/>
    <w:rsid w:val="007D5793"/>
    <w:rsid w:val="007D582A"/>
    <w:rsid w:val="007D5E08"/>
    <w:rsid w:val="007D6CDD"/>
    <w:rsid w:val="007D6D2E"/>
    <w:rsid w:val="007D7072"/>
    <w:rsid w:val="007E091D"/>
    <w:rsid w:val="007E167A"/>
    <w:rsid w:val="007E2928"/>
    <w:rsid w:val="007E5B56"/>
    <w:rsid w:val="007E5E69"/>
    <w:rsid w:val="007E5F65"/>
    <w:rsid w:val="007E69A0"/>
    <w:rsid w:val="007E6FAA"/>
    <w:rsid w:val="007E7519"/>
    <w:rsid w:val="007F0AB5"/>
    <w:rsid w:val="007F22AE"/>
    <w:rsid w:val="007F2FD5"/>
    <w:rsid w:val="007F3A4D"/>
    <w:rsid w:val="007F3B1E"/>
    <w:rsid w:val="007F3B8D"/>
    <w:rsid w:val="007F3CAA"/>
    <w:rsid w:val="007F4B08"/>
    <w:rsid w:val="007F4D9B"/>
    <w:rsid w:val="007F5803"/>
    <w:rsid w:val="007F5A81"/>
    <w:rsid w:val="007F63D9"/>
    <w:rsid w:val="007F65F6"/>
    <w:rsid w:val="007F6D86"/>
    <w:rsid w:val="007F6E25"/>
    <w:rsid w:val="0080254A"/>
    <w:rsid w:val="0080270E"/>
    <w:rsid w:val="00802740"/>
    <w:rsid w:val="00802B77"/>
    <w:rsid w:val="00802C36"/>
    <w:rsid w:val="008031FA"/>
    <w:rsid w:val="008031FF"/>
    <w:rsid w:val="00803821"/>
    <w:rsid w:val="008039E1"/>
    <w:rsid w:val="008039EE"/>
    <w:rsid w:val="00803FD1"/>
    <w:rsid w:val="00804709"/>
    <w:rsid w:val="00804917"/>
    <w:rsid w:val="008049E8"/>
    <w:rsid w:val="00805B8F"/>
    <w:rsid w:val="00810588"/>
    <w:rsid w:val="00811EAE"/>
    <w:rsid w:val="008124C8"/>
    <w:rsid w:val="00813B9C"/>
    <w:rsid w:val="008144E4"/>
    <w:rsid w:val="008147E9"/>
    <w:rsid w:val="00816D91"/>
    <w:rsid w:val="00816E35"/>
    <w:rsid w:val="00817438"/>
    <w:rsid w:val="008174BC"/>
    <w:rsid w:val="00817809"/>
    <w:rsid w:val="00820932"/>
    <w:rsid w:val="00821683"/>
    <w:rsid w:val="00821907"/>
    <w:rsid w:val="008228E0"/>
    <w:rsid w:val="00823CF1"/>
    <w:rsid w:val="00823E8D"/>
    <w:rsid w:val="008244D2"/>
    <w:rsid w:val="008270C4"/>
    <w:rsid w:val="00827522"/>
    <w:rsid w:val="00827A00"/>
    <w:rsid w:val="00830586"/>
    <w:rsid w:val="0083209B"/>
    <w:rsid w:val="008321E8"/>
    <w:rsid w:val="00832AD2"/>
    <w:rsid w:val="00835613"/>
    <w:rsid w:val="00836279"/>
    <w:rsid w:val="00836658"/>
    <w:rsid w:val="00837D9C"/>
    <w:rsid w:val="0084053D"/>
    <w:rsid w:val="00842F76"/>
    <w:rsid w:val="00845884"/>
    <w:rsid w:val="008476A4"/>
    <w:rsid w:val="00847D37"/>
    <w:rsid w:val="008514A8"/>
    <w:rsid w:val="00851704"/>
    <w:rsid w:val="008519A8"/>
    <w:rsid w:val="00851B3D"/>
    <w:rsid w:val="00852BB3"/>
    <w:rsid w:val="0085309F"/>
    <w:rsid w:val="00853513"/>
    <w:rsid w:val="008537BC"/>
    <w:rsid w:val="00853C11"/>
    <w:rsid w:val="00853E70"/>
    <w:rsid w:val="008545C9"/>
    <w:rsid w:val="008556CA"/>
    <w:rsid w:val="00856D97"/>
    <w:rsid w:val="00857152"/>
    <w:rsid w:val="00857F71"/>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81339"/>
    <w:rsid w:val="00881550"/>
    <w:rsid w:val="00882305"/>
    <w:rsid w:val="00882A4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1B4"/>
    <w:rsid w:val="008964DC"/>
    <w:rsid w:val="0089796F"/>
    <w:rsid w:val="008A0DC7"/>
    <w:rsid w:val="008A18EF"/>
    <w:rsid w:val="008A2EB0"/>
    <w:rsid w:val="008A3D64"/>
    <w:rsid w:val="008A620D"/>
    <w:rsid w:val="008A6BDD"/>
    <w:rsid w:val="008B0056"/>
    <w:rsid w:val="008B0383"/>
    <w:rsid w:val="008B1963"/>
    <w:rsid w:val="008B1AD7"/>
    <w:rsid w:val="008B4730"/>
    <w:rsid w:val="008B47E8"/>
    <w:rsid w:val="008B49B9"/>
    <w:rsid w:val="008B4FB6"/>
    <w:rsid w:val="008B5D61"/>
    <w:rsid w:val="008B6FA2"/>
    <w:rsid w:val="008B7131"/>
    <w:rsid w:val="008C0651"/>
    <w:rsid w:val="008C1BCB"/>
    <w:rsid w:val="008C3817"/>
    <w:rsid w:val="008C4408"/>
    <w:rsid w:val="008C46E3"/>
    <w:rsid w:val="008C59C7"/>
    <w:rsid w:val="008C652B"/>
    <w:rsid w:val="008C71A1"/>
    <w:rsid w:val="008C7885"/>
    <w:rsid w:val="008C7993"/>
    <w:rsid w:val="008D24D5"/>
    <w:rsid w:val="008D2E13"/>
    <w:rsid w:val="008D31D8"/>
    <w:rsid w:val="008D5C91"/>
    <w:rsid w:val="008D689A"/>
    <w:rsid w:val="008D777A"/>
    <w:rsid w:val="008E169C"/>
    <w:rsid w:val="008E1B2D"/>
    <w:rsid w:val="008E1C3A"/>
    <w:rsid w:val="008E3CEF"/>
    <w:rsid w:val="008E3D4F"/>
    <w:rsid w:val="008E4ADE"/>
    <w:rsid w:val="008E71B8"/>
    <w:rsid w:val="008E71DF"/>
    <w:rsid w:val="008E7454"/>
    <w:rsid w:val="008E787A"/>
    <w:rsid w:val="008F094C"/>
    <w:rsid w:val="008F2649"/>
    <w:rsid w:val="008F3FDE"/>
    <w:rsid w:val="008F4385"/>
    <w:rsid w:val="008F5616"/>
    <w:rsid w:val="008F56C8"/>
    <w:rsid w:val="008F6081"/>
    <w:rsid w:val="008F6348"/>
    <w:rsid w:val="008F7255"/>
    <w:rsid w:val="008F74DF"/>
    <w:rsid w:val="008F77CC"/>
    <w:rsid w:val="008F7FA3"/>
    <w:rsid w:val="009006F9"/>
    <w:rsid w:val="00901EF0"/>
    <w:rsid w:val="00902720"/>
    <w:rsid w:val="00902B5F"/>
    <w:rsid w:val="00903965"/>
    <w:rsid w:val="00904197"/>
    <w:rsid w:val="009078F5"/>
    <w:rsid w:val="00907AA2"/>
    <w:rsid w:val="00907DFA"/>
    <w:rsid w:val="009112A9"/>
    <w:rsid w:val="00912A4E"/>
    <w:rsid w:val="00912B35"/>
    <w:rsid w:val="00912E65"/>
    <w:rsid w:val="00913011"/>
    <w:rsid w:val="0091357E"/>
    <w:rsid w:val="009135DD"/>
    <w:rsid w:val="009136B8"/>
    <w:rsid w:val="009143AB"/>
    <w:rsid w:val="00914A77"/>
    <w:rsid w:val="00916746"/>
    <w:rsid w:val="00917020"/>
    <w:rsid w:val="00917040"/>
    <w:rsid w:val="009176E7"/>
    <w:rsid w:val="0092167D"/>
    <w:rsid w:val="009224B9"/>
    <w:rsid w:val="009234ED"/>
    <w:rsid w:val="00923723"/>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370"/>
    <w:rsid w:val="009554FA"/>
    <w:rsid w:val="00955802"/>
    <w:rsid w:val="00955B0B"/>
    <w:rsid w:val="00955F8D"/>
    <w:rsid w:val="009567A9"/>
    <w:rsid w:val="00957728"/>
    <w:rsid w:val="00957FC9"/>
    <w:rsid w:val="0096096B"/>
    <w:rsid w:val="00960C61"/>
    <w:rsid w:val="0096121F"/>
    <w:rsid w:val="00961946"/>
    <w:rsid w:val="0096221B"/>
    <w:rsid w:val="009622C6"/>
    <w:rsid w:val="0096287C"/>
    <w:rsid w:val="00962BE0"/>
    <w:rsid w:val="009634EC"/>
    <w:rsid w:val="009642F3"/>
    <w:rsid w:val="009644BD"/>
    <w:rsid w:val="009646A6"/>
    <w:rsid w:val="00965DFA"/>
    <w:rsid w:val="00966762"/>
    <w:rsid w:val="009667B5"/>
    <w:rsid w:val="00967096"/>
    <w:rsid w:val="00967324"/>
    <w:rsid w:val="00970CDB"/>
    <w:rsid w:val="009712D2"/>
    <w:rsid w:val="00972719"/>
    <w:rsid w:val="00973203"/>
    <w:rsid w:val="009734DB"/>
    <w:rsid w:val="0097370F"/>
    <w:rsid w:val="00973BAA"/>
    <w:rsid w:val="00974205"/>
    <w:rsid w:val="00975213"/>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371B"/>
    <w:rsid w:val="00994A3D"/>
    <w:rsid w:val="00996342"/>
    <w:rsid w:val="00996BA3"/>
    <w:rsid w:val="009A0580"/>
    <w:rsid w:val="009A230A"/>
    <w:rsid w:val="009A26C0"/>
    <w:rsid w:val="009A2F1F"/>
    <w:rsid w:val="009A39B9"/>
    <w:rsid w:val="009A40C8"/>
    <w:rsid w:val="009A4C01"/>
    <w:rsid w:val="009A4CDF"/>
    <w:rsid w:val="009A5A70"/>
    <w:rsid w:val="009A685E"/>
    <w:rsid w:val="009A6C97"/>
    <w:rsid w:val="009A7659"/>
    <w:rsid w:val="009A7726"/>
    <w:rsid w:val="009B080E"/>
    <w:rsid w:val="009B19DC"/>
    <w:rsid w:val="009B3610"/>
    <w:rsid w:val="009B42C8"/>
    <w:rsid w:val="009B4DE3"/>
    <w:rsid w:val="009B6797"/>
    <w:rsid w:val="009B6CEE"/>
    <w:rsid w:val="009B6D95"/>
    <w:rsid w:val="009C1B00"/>
    <w:rsid w:val="009C1D48"/>
    <w:rsid w:val="009C287A"/>
    <w:rsid w:val="009C3BE9"/>
    <w:rsid w:val="009C44C6"/>
    <w:rsid w:val="009C451B"/>
    <w:rsid w:val="009C69B3"/>
    <w:rsid w:val="009C6CB6"/>
    <w:rsid w:val="009C7CB2"/>
    <w:rsid w:val="009D0601"/>
    <w:rsid w:val="009D342B"/>
    <w:rsid w:val="009D5E5A"/>
    <w:rsid w:val="009D6089"/>
    <w:rsid w:val="009D618B"/>
    <w:rsid w:val="009D671B"/>
    <w:rsid w:val="009D6D26"/>
    <w:rsid w:val="009D74FD"/>
    <w:rsid w:val="009E1187"/>
    <w:rsid w:val="009E1F26"/>
    <w:rsid w:val="009E23DD"/>
    <w:rsid w:val="009E465A"/>
    <w:rsid w:val="009E4A03"/>
    <w:rsid w:val="009E4A42"/>
    <w:rsid w:val="009E5FA3"/>
    <w:rsid w:val="009F04E8"/>
    <w:rsid w:val="009F0A1C"/>
    <w:rsid w:val="009F0CA7"/>
    <w:rsid w:val="009F10CB"/>
    <w:rsid w:val="009F116F"/>
    <w:rsid w:val="009F18D7"/>
    <w:rsid w:val="009F3A1F"/>
    <w:rsid w:val="009F3BF2"/>
    <w:rsid w:val="009F5F8F"/>
    <w:rsid w:val="009F6E40"/>
    <w:rsid w:val="009F7795"/>
    <w:rsid w:val="009F77F9"/>
    <w:rsid w:val="00A00483"/>
    <w:rsid w:val="00A01618"/>
    <w:rsid w:val="00A018C6"/>
    <w:rsid w:val="00A01B97"/>
    <w:rsid w:val="00A0292F"/>
    <w:rsid w:val="00A03292"/>
    <w:rsid w:val="00A03352"/>
    <w:rsid w:val="00A03C1C"/>
    <w:rsid w:val="00A05BF0"/>
    <w:rsid w:val="00A06672"/>
    <w:rsid w:val="00A06995"/>
    <w:rsid w:val="00A10C45"/>
    <w:rsid w:val="00A10D24"/>
    <w:rsid w:val="00A114BE"/>
    <w:rsid w:val="00A11C25"/>
    <w:rsid w:val="00A12287"/>
    <w:rsid w:val="00A12307"/>
    <w:rsid w:val="00A12722"/>
    <w:rsid w:val="00A131E6"/>
    <w:rsid w:val="00A13E5E"/>
    <w:rsid w:val="00A14FD5"/>
    <w:rsid w:val="00A15549"/>
    <w:rsid w:val="00A15E6B"/>
    <w:rsid w:val="00A1638F"/>
    <w:rsid w:val="00A20003"/>
    <w:rsid w:val="00A203BB"/>
    <w:rsid w:val="00A23538"/>
    <w:rsid w:val="00A262EC"/>
    <w:rsid w:val="00A27675"/>
    <w:rsid w:val="00A30679"/>
    <w:rsid w:val="00A306AF"/>
    <w:rsid w:val="00A30DF0"/>
    <w:rsid w:val="00A31377"/>
    <w:rsid w:val="00A321FB"/>
    <w:rsid w:val="00A32897"/>
    <w:rsid w:val="00A33021"/>
    <w:rsid w:val="00A3384A"/>
    <w:rsid w:val="00A35A49"/>
    <w:rsid w:val="00A367AB"/>
    <w:rsid w:val="00A375ED"/>
    <w:rsid w:val="00A3783F"/>
    <w:rsid w:val="00A4098B"/>
    <w:rsid w:val="00A41473"/>
    <w:rsid w:val="00A4184A"/>
    <w:rsid w:val="00A41AD7"/>
    <w:rsid w:val="00A434FF"/>
    <w:rsid w:val="00A45453"/>
    <w:rsid w:val="00A46443"/>
    <w:rsid w:val="00A47517"/>
    <w:rsid w:val="00A5075E"/>
    <w:rsid w:val="00A51429"/>
    <w:rsid w:val="00A51D40"/>
    <w:rsid w:val="00A52E98"/>
    <w:rsid w:val="00A538D5"/>
    <w:rsid w:val="00A5457C"/>
    <w:rsid w:val="00A554A0"/>
    <w:rsid w:val="00A55EB8"/>
    <w:rsid w:val="00A56900"/>
    <w:rsid w:val="00A5764C"/>
    <w:rsid w:val="00A60006"/>
    <w:rsid w:val="00A6129B"/>
    <w:rsid w:val="00A61794"/>
    <w:rsid w:val="00A6261C"/>
    <w:rsid w:val="00A62A9C"/>
    <w:rsid w:val="00A62DBE"/>
    <w:rsid w:val="00A62EFC"/>
    <w:rsid w:val="00A65A02"/>
    <w:rsid w:val="00A66C1D"/>
    <w:rsid w:val="00A678CD"/>
    <w:rsid w:val="00A67F34"/>
    <w:rsid w:val="00A70B08"/>
    <w:rsid w:val="00A71250"/>
    <w:rsid w:val="00A713A7"/>
    <w:rsid w:val="00A72C4D"/>
    <w:rsid w:val="00A72FFC"/>
    <w:rsid w:val="00A73729"/>
    <w:rsid w:val="00A73E05"/>
    <w:rsid w:val="00A751FE"/>
    <w:rsid w:val="00A753C0"/>
    <w:rsid w:val="00A75B67"/>
    <w:rsid w:val="00A75C4E"/>
    <w:rsid w:val="00A76FBF"/>
    <w:rsid w:val="00A771B8"/>
    <w:rsid w:val="00A774E7"/>
    <w:rsid w:val="00A77A54"/>
    <w:rsid w:val="00A77BF6"/>
    <w:rsid w:val="00A8042B"/>
    <w:rsid w:val="00A8108F"/>
    <w:rsid w:val="00A8119F"/>
    <w:rsid w:val="00A8138C"/>
    <w:rsid w:val="00A81511"/>
    <w:rsid w:val="00A817DF"/>
    <w:rsid w:val="00A81843"/>
    <w:rsid w:val="00A83FAA"/>
    <w:rsid w:val="00A85EF2"/>
    <w:rsid w:val="00A8601B"/>
    <w:rsid w:val="00A87C0A"/>
    <w:rsid w:val="00A87DA4"/>
    <w:rsid w:val="00A9055C"/>
    <w:rsid w:val="00A90A5F"/>
    <w:rsid w:val="00A912EC"/>
    <w:rsid w:val="00A916C9"/>
    <w:rsid w:val="00A932E7"/>
    <w:rsid w:val="00A9372E"/>
    <w:rsid w:val="00A9425E"/>
    <w:rsid w:val="00A95C8E"/>
    <w:rsid w:val="00A966DD"/>
    <w:rsid w:val="00A9754A"/>
    <w:rsid w:val="00A97D6D"/>
    <w:rsid w:val="00AA0FB9"/>
    <w:rsid w:val="00AA108E"/>
    <w:rsid w:val="00AA1D1C"/>
    <w:rsid w:val="00AA2666"/>
    <w:rsid w:val="00AA30CD"/>
    <w:rsid w:val="00AA3D21"/>
    <w:rsid w:val="00AA4592"/>
    <w:rsid w:val="00AA4B7A"/>
    <w:rsid w:val="00AA5427"/>
    <w:rsid w:val="00AA7433"/>
    <w:rsid w:val="00AB00B9"/>
    <w:rsid w:val="00AB2E6B"/>
    <w:rsid w:val="00AB402A"/>
    <w:rsid w:val="00AB5064"/>
    <w:rsid w:val="00AB534C"/>
    <w:rsid w:val="00AB53EB"/>
    <w:rsid w:val="00AB63F6"/>
    <w:rsid w:val="00AB6FE4"/>
    <w:rsid w:val="00AB7704"/>
    <w:rsid w:val="00AB7D1C"/>
    <w:rsid w:val="00AC2285"/>
    <w:rsid w:val="00AC2854"/>
    <w:rsid w:val="00AC2967"/>
    <w:rsid w:val="00AC2C80"/>
    <w:rsid w:val="00AC3B34"/>
    <w:rsid w:val="00AC40BD"/>
    <w:rsid w:val="00AC610B"/>
    <w:rsid w:val="00AC6C80"/>
    <w:rsid w:val="00AC798A"/>
    <w:rsid w:val="00AD0B6A"/>
    <w:rsid w:val="00AD118C"/>
    <w:rsid w:val="00AD2146"/>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F0481"/>
    <w:rsid w:val="00AF060F"/>
    <w:rsid w:val="00AF0891"/>
    <w:rsid w:val="00AF0A29"/>
    <w:rsid w:val="00AF152B"/>
    <w:rsid w:val="00AF268B"/>
    <w:rsid w:val="00AF28A1"/>
    <w:rsid w:val="00AF3521"/>
    <w:rsid w:val="00AF3900"/>
    <w:rsid w:val="00AF5B81"/>
    <w:rsid w:val="00B0017A"/>
    <w:rsid w:val="00B01138"/>
    <w:rsid w:val="00B01218"/>
    <w:rsid w:val="00B01676"/>
    <w:rsid w:val="00B03599"/>
    <w:rsid w:val="00B04DC3"/>
    <w:rsid w:val="00B05981"/>
    <w:rsid w:val="00B05FF9"/>
    <w:rsid w:val="00B061B9"/>
    <w:rsid w:val="00B10153"/>
    <w:rsid w:val="00B105A7"/>
    <w:rsid w:val="00B1179F"/>
    <w:rsid w:val="00B13121"/>
    <w:rsid w:val="00B134C6"/>
    <w:rsid w:val="00B13C16"/>
    <w:rsid w:val="00B14D3B"/>
    <w:rsid w:val="00B155AF"/>
    <w:rsid w:val="00B1632B"/>
    <w:rsid w:val="00B16559"/>
    <w:rsid w:val="00B16D30"/>
    <w:rsid w:val="00B17E60"/>
    <w:rsid w:val="00B211C6"/>
    <w:rsid w:val="00B21979"/>
    <w:rsid w:val="00B22230"/>
    <w:rsid w:val="00B2273F"/>
    <w:rsid w:val="00B22A14"/>
    <w:rsid w:val="00B236EE"/>
    <w:rsid w:val="00B24A9A"/>
    <w:rsid w:val="00B24CFB"/>
    <w:rsid w:val="00B25220"/>
    <w:rsid w:val="00B26D5A"/>
    <w:rsid w:val="00B309DE"/>
    <w:rsid w:val="00B30EEB"/>
    <w:rsid w:val="00B31C5D"/>
    <w:rsid w:val="00B33473"/>
    <w:rsid w:val="00B334BA"/>
    <w:rsid w:val="00B36DE2"/>
    <w:rsid w:val="00B3793D"/>
    <w:rsid w:val="00B37B6D"/>
    <w:rsid w:val="00B40815"/>
    <w:rsid w:val="00B41FA1"/>
    <w:rsid w:val="00B42970"/>
    <w:rsid w:val="00B45625"/>
    <w:rsid w:val="00B45AE8"/>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41CF"/>
    <w:rsid w:val="00B65A68"/>
    <w:rsid w:val="00B66A91"/>
    <w:rsid w:val="00B6795C"/>
    <w:rsid w:val="00B70523"/>
    <w:rsid w:val="00B7123F"/>
    <w:rsid w:val="00B71328"/>
    <w:rsid w:val="00B735EE"/>
    <w:rsid w:val="00B7387D"/>
    <w:rsid w:val="00B750E1"/>
    <w:rsid w:val="00B751CA"/>
    <w:rsid w:val="00B76215"/>
    <w:rsid w:val="00B804BD"/>
    <w:rsid w:val="00B811A4"/>
    <w:rsid w:val="00B814D0"/>
    <w:rsid w:val="00B81768"/>
    <w:rsid w:val="00B8348B"/>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A1F77"/>
    <w:rsid w:val="00BA260C"/>
    <w:rsid w:val="00BA2D9E"/>
    <w:rsid w:val="00BA3090"/>
    <w:rsid w:val="00BA38BB"/>
    <w:rsid w:val="00BA3BF9"/>
    <w:rsid w:val="00BA5313"/>
    <w:rsid w:val="00BA770C"/>
    <w:rsid w:val="00BA77D9"/>
    <w:rsid w:val="00BA7FE1"/>
    <w:rsid w:val="00BB049D"/>
    <w:rsid w:val="00BB0DE7"/>
    <w:rsid w:val="00BB1A15"/>
    <w:rsid w:val="00BB2B2E"/>
    <w:rsid w:val="00BB37BF"/>
    <w:rsid w:val="00BB3DFB"/>
    <w:rsid w:val="00BB41DC"/>
    <w:rsid w:val="00BB4CA8"/>
    <w:rsid w:val="00BB5D41"/>
    <w:rsid w:val="00BB68A4"/>
    <w:rsid w:val="00BB745E"/>
    <w:rsid w:val="00BB7CC0"/>
    <w:rsid w:val="00BC0D1D"/>
    <w:rsid w:val="00BC0E30"/>
    <w:rsid w:val="00BC240A"/>
    <w:rsid w:val="00BC275C"/>
    <w:rsid w:val="00BC285A"/>
    <w:rsid w:val="00BC2EE4"/>
    <w:rsid w:val="00BC709C"/>
    <w:rsid w:val="00BC70EA"/>
    <w:rsid w:val="00BC71BC"/>
    <w:rsid w:val="00BC73DE"/>
    <w:rsid w:val="00BC7B74"/>
    <w:rsid w:val="00BD02FE"/>
    <w:rsid w:val="00BD0875"/>
    <w:rsid w:val="00BD091B"/>
    <w:rsid w:val="00BD120C"/>
    <w:rsid w:val="00BD1D4B"/>
    <w:rsid w:val="00BD202B"/>
    <w:rsid w:val="00BD370B"/>
    <w:rsid w:val="00BD3A47"/>
    <w:rsid w:val="00BD3A7B"/>
    <w:rsid w:val="00BD4D8B"/>
    <w:rsid w:val="00BD50DB"/>
    <w:rsid w:val="00BD61C7"/>
    <w:rsid w:val="00BD70C7"/>
    <w:rsid w:val="00BD7506"/>
    <w:rsid w:val="00BE0593"/>
    <w:rsid w:val="00BE1774"/>
    <w:rsid w:val="00BE24AD"/>
    <w:rsid w:val="00BE284E"/>
    <w:rsid w:val="00BE3BAA"/>
    <w:rsid w:val="00BE493F"/>
    <w:rsid w:val="00BE54CC"/>
    <w:rsid w:val="00BE781F"/>
    <w:rsid w:val="00BF06BD"/>
    <w:rsid w:val="00BF08BA"/>
    <w:rsid w:val="00BF09F8"/>
    <w:rsid w:val="00BF12CB"/>
    <w:rsid w:val="00BF17EA"/>
    <w:rsid w:val="00BF1B2A"/>
    <w:rsid w:val="00BF1DB0"/>
    <w:rsid w:val="00BF2E31"/>
    <w:rsid w:val="00BF3AAB"/>
    <w:rsid w:val="00BF4EE8"/>
    <w:rsid w:val="00BF590C"/>
    <w:rsid w:val="00BF6E9D"/>
    <w:rsid w:val="00BF7841"/>
    <w:rsid w:val="00C0094B"/>
    <w:rsid w:val="00C014F6"/>
    <w:rsid w:val="00C02073"/>
    <w:rsid w:val="00C022E8"/>
    <w:rsid w:val="00C03060"/>
    <w:rsid w:val="00C03A78"/>
    <w:rsid w:val="00C03C7C"/>
    <w:rsid w:val="00C04657"/>
    <w:rsid w:val="00C0647E"/>
    <w:rsid w:val="00C06BFD"/>
    <w:rsid w:val="00C10CD3"/>
    <w:rsid w:val="00C11D84"/>
    <w:rsid w:val="00C139DD"/>
    <w:rsid w:val="00C14984"/>
    <w:rsid w:val="00C15515"/>
    <w:rsid w:val="00C159D4"/>
    <w:rsid w:val="00C15F27"/>
    <w:rsid w:val="00C1775C"/>
    <w:rsid w:val="00C20467"/>
    <w:rsid w:val="00C21A87"/>
    <w:rsid w:val="00C21E60"/>
    <w:rsid w:val="00C237FE"/>
    <w:rsid w:val="00C23952"/>
    <w:rsid w:val="00C23B94"/>
    <w:rsid w:val="00C252BF"/>
    <w:rsid w:val="00C25664"/>
    <w:rsid w:val="00C26623"/>
    <w:rsid w:val="00C26BCA"/>
    <w:rsid w:val="00C27B8E"/>
    <w:rsid w:val="00C31C90"/>
    <w:rsid w:val="00C3226C"/>
    <w:rsid w:val="00C3277A"/>
    <w:rsid w:val="00C33358"/>
    <w:rsid w:val="00C33445"/>
    <w:rsid w:val="00C33610"/>
    <w:rsid w:val="00C33694"/>
    <w:rsid w:val="00C339DC"/>
    <w:rsid w:val="00C357E2"/>
    <w:rsid w:val="00C35C01"/>
    <w:rsid w:val="00C35D28"/>
    <w:rsid w:val="00C35EE2"/>
    <w:rsid w:val="00C41145"/>
    <w:rsid w:val="00C4193B"/>
    <w:rsid w:val="00C42F0B"/>
    <w:rsid w:val="00C44DAA"/>
    <w:rsid w:val="00C45983"/>
    <w:rsid w:val="00C50242"/>
    <w:rsid w:val="00C505B1"/>
    <w:rsid w:val="00C5113A"/>
    <w:rsid w:val="00C5192F"/>
    <w:rsid w:val="00C52A7F"/>
    <w:rsid w:val="00C52E39"/>
    <w:rsid w:val="00C55882"/>
    <w:rsid w:val="00C55BED"/>
    <w:rsid w:val="00C56C27"/>
    <w:rsid w:val="00C60C99"/>
    <w:rsid w:val="00C63037"/>
    <w:rsid w:val="00C6347C"/>
    <w:rsid w:val="00C64410"/>
    <w:rsid w:val="00C647E9"/>
    <w:rsid w:val="00C66D1A"/>
    <w:rsid w:val="00C66EE4"/>
    <w:rsid w:val="00C710B9"/>
    <w:rsid w:val="00C7197B"/>
    <w:rsid w:val="00C726EE"/>
    <w:rsid w:val="00C72BED"/>
    <w:rsid w:val="00C73BB0"/>
    <w:rsid w:val="00C746E1"/>
    <w:rsid w:val="00C7671A"/>
    <w:rsid w:val="00C80338"/>
    <w:rsid w:val="00C819D6"/>
    <w:rsid w:val="00C823E0"/>
    <w:rsid w:val="00C8470C"/>
    <w:rsid w:val="00C84CCD"/>
    <w:rsid w:val="00C855C7"/>
    <w:rsid w:val="00C8575D"/>
    <w:rsid w:val="00C860DE"/>
    <w:rsid w:val="00C9228F"/>
    <w:rsid w:val="00C926D7"/>
    <w:rsid w:val="00C92B34"/>
    <w:rsid w:val="00C92B71"/>
    <w:rsid w:val="00C932A8"/>
    <w:rsid w:val="00C943F5"/>
    <w:rsid w:val="00C94E7F"/>
    <w:rsid w:val="00C97AB7"/>
    <w:rsid w:val="00CA004E"/>
    <w:rsid w:val="00CA1ABC"/>
    <w:rsid w:val="00CA25BC"/>
    <w:rsid w:val="00CA386D"/>
    <w:rsid w:val="00CA4781"/>
    <w:rsid w:val="00CA543D"/>
    <w:rsid w:val="00CA5CD6"/>
    <w:rsid w:val="00CB039D"/>
    <w:rsid w:val="00CB2F53"/>
    <w:rsid w:val="00CB3303"/>
    <w:rsid w:val="00CB35E3"/>
    <w:rsid w:val="00CB3743"/>
    <w:rsid w:val="00CB4701"/>
    <w:rsid w:val="00CB7A6F"/>
    <w:rsid w:val="00CC09D6"/>
    <w:rsid w:val="00CC1137"/>
    <w:rsid w:val="00CC13C4"/>
    <w:rsid w:val="00CC3593"/>
    <w:rsid w:val="00CC7025"/>
    <w:rsid w:val="00CC75FE"/>
    <w:rsid w:val="00CD4DD4"/>
    <w:rsid w:val="00CD57D1"/>
    <w:rsid w:val="00CD57DB"/>
    <w:rsid w:val="00CD7853"/>
    <w:rsid w:val="00CE01D3"/>
    <w:rsid w:val="00CE173A"/>
    <w:rsid w:val="00CE1851"/>
    <w:rsid w:val="00CE22E2"/>
    <w:rsid w:val="00CE23BF"/>
    <w:rsid w:val="00CE23FA"/>
    <w:rsid w:val="00CE2B1B"/>
    <w:rsid w:val="00CE4BA6"/>
    <w:rsid w:val="00CE4C47"/>
    <w:rsid w:val="00CE6BBC"/>
    <w:rsid w:val="00CE7029"/>
    <w:rsid w:val="00CE70F6"/>
    <w:rsid w:val="00CF0606"/>
    <w:rsid w:val="00CF0FCF"/>
    <w:rsid w:val="00CF139B"/>
    <w:rsid w:val="00CF24B9"/>
    <w:rsid w:val="00CF4692"/>
    <w:rsid w:val="00CF4AC3"/>
    <w:rsid w:val="00CF5186"/>
    <w:rsid w:val="00CF53E2"/>
    <w:rsid w:val="00CF55A5"/>
    <w:rsid w:val="00CF6098"/>
    <w:rsid w:val="00CF653F"/>
    <w:rsid w:val="00CF6B1B"/>
    <w:rsid w:val="00D00C9B"/>
    <w:rsid w:val="00D01EC9"/>
    <w:rsid w:val="00D02458"/>
    <w:rsid w:val="00D02C5A"/>
    <w:rsid w:val="00D04347"/>
    <w:rsid w:val="00D0470E"/>
    <w:rsid w:val="00D04968"/>
    <w:rsid w:val="00D05223"/>
    <w:rsid w:val="00D059E1"/>
    <w:rsid w:val="00D05D7E"/>
    <w:rsid w:val="00D06048"/>
    <w:rsid w:val="00D061C8"/>
    <w:rsid w:val="00D064BA"/>
    <w:rsid w:val="00D06E8D"/>
    <w:rsid w:val="00D0752B"/>
    <w:rsid w:val="00D10968"/>
    <w:rsid w:val="00D10C50"/>
    <w:rsid w:val="00D1192E"/>
    <w:rsid w:val="00D130E9"/>
    <w:rsid w:val="00D1452E"/>
    <w:rsid w:val="00D14AF1"/>
    <w:rsid w:val="00D15609"/>
    <w:rsid w:val="00D15D79"/>
    <w:rsid w:val="00D15F19"/>
    <w:rsid w:val="00D16C11"/>
    <w:rsid w:val="00D16F40"/>
    <w:rsid w:val="00D16F44"/>
    <w:rsid w:val="00D17196"/>
    <w:rsid w:val="00D20A14"/>
    <w:rsid w:val="00D21096"/>
    <w:rsid w:val="00D21201"/>
    <w:rsid w:val="00D21308"/>
    <w:rsid w:val="00D21929"/>
    <w:rsid w:val="00D219BC"/>
    <w:rsid w:val="00D228AD"/>
    <w:rsid w:val="00D246D7"/>
    <w:rsid w:val="00D252D6"/>
    <w:rsid w:val="00D25452"/>
    <w:rsid w:val="00D25B15"/>
    <w:rsid w:val="00D26C8D"/>
    <w:rsid w:val="00D2780A"/>
    <w:rsid w:val="00D2780D"/>
    <w:rsid w:val="00D27F13"/>
    <w:rsid w:val="00D304B3"/>
    <w:rsid w:val="00D30682"/>
    <w:rsid w:val="00D307BD"/>
    <w:rsid w:val="00D312CD"/>
    <w:rsid w:val="00D31339"/>
    <w:rsid w:val="00D32008"/>
    <w:rsid w:val="00D331B3"/>
    <w:rsid w:val="00D3340A"/>
    <w:rsid w:val="00D33889"/>
    <w:rsid w:val="00D3388C"/>
    <w:rsid w:val="00D37275"/>
    <w:rsid w:val="00D377A7"/>
    <w:rsid w:val="00D37BC6"/>
    <w:rsid w:val="00D40B2C"/>
    <w:rsid w:val="00D40C15"/>
    <w:rsid w:val="00D42212"/>
    <w:rsid w:val="00D427E2"/>
    <w:rsid w:val="00D428A3"/>
    <w:rsid w:val="00D4290B"/>
    <w:rsid w:val="00D43B9B"/>
    <w:rsid w:val="00D4413F"/>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4378"/>
    <w:rsid w:val="00D5650C"/>
    <w:rsid w:val="00D56FC6"/>
    <w:rsid w:val="00D60305"/>
    <w:rsid w:val="00D60898"/>
    <w:rsid w:val="00D60BE0"/>
    <w:rsid w:val="00D60BFA"/>
    <w:rsid w:val="00D6169B"/>
    <w:rsid w:val="00D61BE0"/>
    <w:rsid w:val="00D633E6"/>
    <w:rsid w:val="00D645A3"/>
    <w:rsid w:val="00D64AA2"/>
    <w:rsid w:val="00D6609E"/>
    <w:rsid w:val="00D667B0"/>
    <w:rsid w:val="00D66A2B"/>
    <w:rsid w:val="00D66DCF"/>
    <w:rsid w:val="00D718F6"/>
    <w:rsid w:val="00D72608"/>
    <w:rsid w:val="00D72CBC"/>
    <w:rsid w:val="00D736E1"/>
    <w:rsid w:val="00D73930"/>
    <w:rsid w:val="00D74799"/>
    <w:rsid w:val="00D75857"/>
    <w:rsid w:val="00D75895"/>
    <w:rsid w:val="00D761A1"/>
    <w:rsid w:val="00D7635F"/>
    <w:rsid w:val="00D77124"/>
    <w:rsid w:val="00D77989"/>
    <w:rsid w:val="00D824A1"/>
    <w:rsid w:val="00D82723"/>
    <w:rsid w:val="00D82C2B"/>
    <w:rsid w:val="00D83DFF"/>
    <w:rsid w:val="00D843A2"/>
    <w:rsid w:val="00D854CA"/>
    <w:rsid w:val="00D90700"/>
    <w:rsid w:val="00D9199A"/>
    <w:rsid w:val="00D927FC"/>
    <w:rsid w:val="00D928F4"/>
    <w:rsid w:val="00D94792"/>
    <w:rsid w:val="00D94BBB"/>
    <w:rsid w:val="00D956C5"/>
    <w:rsid w:val="00D9719B"/>
    <w:rsid w:val="00D973A4"/>
    <w:rsid w:val="00D976DC"/>
    <w:rsid w:val="00DA084C"/>
    <w:rsid w:val="00DA167B"/>
    <w:rsid w:val="00DA1C3C"/>
    <w:rsid w:val="00DA4DFC"/>
    <w:rsid w:val="00DA537F"/>
    <w:rsid w:val="00DA5EC7"/>
    <w:rsid w:val="00DA7844"/>
    <w:rsid w:val="00DA78CA"/>
    <w:rsid w:val="00DA7FB1"/>
    <w:rsid w:val="00DB1ACA"/>
    <w:rsid w:val="00DB1C0E"/>
    <w:rsid w:val="00DB1F2B"/>
    <w:rsid w:val="00DB41C3"/>
    <w:rsid w:val="00DB4D19"/>
    <w:rsid w:val="00DB5501"/>
    <w:rsid w:val="00DB5B92"/>
    <w:rsid w:val="00DB6617"/>
    <w:rsid w:val="00DB68C4"/>
    <w:rsid w:val="00DB6D65"/>
    <w:rsid w:val="00DC1F9E"/>
    <w:rsid w:val="00DC21FC"/>
    <w:rsid w:val="00DC4107"/>
    <w:rsid w:val="00DC5481"/>
    <w:rsid w:val="00DC5EBC"/>
    <w:rsid w:val="00DC6DA7"/>
    <w:rsid w:val="00DC6FF6"/>
    <w:rsid w:val="00DC7160"/>
    <w:rsid w:val="00DC7B7F"/>
    <w:rsid w:val="00DD0C04"/>
    <w:rsid w:val="00DD2779"/>
    <w:rsid w:val="00DD49BB"/>
    <w:rsid w:val="00DD5B95"/>
    <w:rsid w:val="00DD66EA"/>
    <w:rsid w:val="00DD682E"/>
    <w:rsid w:val="00DD6C1D"/>
    <w:rsid w:val="00DD6F37"/>
    <w:rsid w:val="00DE088B"/>
    <w:rsid w:val="00DE0D70"/>
    <w:rsid w:val="00DE272B"/>
    <w:rsid w:val="00DE2A4A"/>
    <w:rsid w:val="00DE3423"/>
    <w:rsid w:val="00DE3FCB"/>
    <w:rsid w:val="00DE4D77"/>
    <w:rsid w:val="00DE6761"/>
    <w:rsid w:val="00DE7661"/>
    <w:rsid w:val="00DF01CA"/>
    <w:rsid w:val="00DF2BB7"/>
    <w:rsid w:val="00DF3063"/>
    <w:rsid w:val="00DF3404"/>
    <w:rsid w:val="00DF3838"/>
    <w:rsid w:val="00DF570B"/>
    <w:rsid w:val="00DF6361"/>
    <w:rsid w:val="00DF6A8B"/>
    <w:rsid w:val="00DF740A"/>
    <w:rsid w:val="00DF75D0"/>
    <w:rsid w:val="00E000AD"/>
    <w:rsid w:val="00E001CA"/>
    <w:rsid w:val="00E0036B"/>
    <w:rsid w:val="00E01E94"/>
    <w:rsid w:val="00E02117"/>
    <w:rsid w:val="00E02285"/>
    <w:rsid w:val="00E02298"/>
    <w:rsid w:val="00E02823"/>
    <w:rsid w:val="00E0367E"/>
    <w:rsid w:val="00E03968"/>
    <w:rsid w:val="00E04BBB"/>
    <w:rsid w:val="00E05BE8"/>
    <w:rsid w:val="00E06867"/>
    <w:rsid w:val="00E06CE2"/>
    <w:rsid w:val="00E07058"/>
    <w:rsid w:val="00E07C68"/>
    <w:rsid w:val="00E10460"/>
    <w:rsid w:val="00E116C6"/>
    <w:rsid w:val="00E11B52"/>
    <w:rsid w:val="00E12595"/>
    <w:rsid w:val="00E13AEB"/>
    <w:rsid w:val="00E1403D"/>
    <w:rsid w:val="00E140E0"/>
    <w:rsid w:val="00E14969"/>
    <w:rsid w:val="00E150BB"/>
    <w:rsid w:val="00E167F9"/>
    <w:rsid w:val="00E16B74"/>
    <w:rsid w:val="00E16C3A"/>
    <w:rsid w:val="00E21C6B"/>
    <w:rsid w:val="00E2222F"/>
    <w:rsid w:val="00E227BB"/>
    <w:rsid w:val="00E22905"/>
    <w:rsid w:val="00E23E8B"/>
    <w:rsid w:val="00E23F79"/>
    <w:rsid w:val="00E25C8B"/>
    <w:rsid w:val="00E268EC"/>
    <w:rsid w:val="00E316EE"/>
    <w:rsid w:val="00E32769"/>
    <w:rsid w:val="00E327DB"/>
    <w:rsid w:val="00E32A6B"/>
    <w:rsid w:val="00E3346C"/>
    <w:rsid w:val="00E33C5F"/>
    <w:rsid w:val="00E3464E"/>
    <w:rsid w:val="00E3465F"/>
    <w:rsid w:val="00E3758B"/>
    <w:rsid w:val="00E400AB"/>
    <w:rsid w:val="00E40D6E"/>
    <w:rsid w:val="00E40FB0"/>
    <w:rsid w:val="00E41227"/>
    <w:rsid w:val="00E414B1"/>
    <w:rsid w:val="00E445CD"/>
    <w:rsid w:val="00E45F1E"/>
    <w:rsid w:val="00E46269"/>
    <w:rsid w:val="00E4693A"/>
    <w:rsid w:val="00E4707C"/>
    <w:rsid w:val="00E47A4F"/>
    <w:rsid w:val="00E5007C"/>
    <w:rsid w:val="00E51259"/>
    <w:rsid w:val="00E5161F"/>
    <w:rsid w:val="00E51AAA"/>
    <w:rsid w:val="00E51B71"/>
    <w:rsid w:val="00E51E73"/>
    <w:rsid w:val="00E52348"/>
    <w:rsid w:val="00E5345A"/>
    <w:rsid w:val="00E54249"/>
    <w:rsid w:val="00E547B8"/>
    <w:rsid w:val="00E55201"/>
    <w:rsid w:val="00E552F1"/>
    <w:rsid w:val="00E57909"/>
    <w:rsid w:val="00E604C9"/>
    <w:rsid w:val="00E626A0"/>
    <w:rsid w:val="00E6440A"/>
    <w:rsid w:val="00E647B7"/>
    <w:rsid w:val="00E657FE"/>
    <w:rsid w:val="00E6784B"/>
    <w:rsid w:val="00E67863"/>
    <w:rsid w:val="00E67DF4"/>
    <w:rsid w:val="00E70943"/>
    <w:rsid w:val="00E7123F"/>
    <w:rsid w:val="00E72232"/>
    <w:rsid w:val="00E723FE"/>
    <w:rsid w:val="00E75A02"/>
    <w:rsid w:val="00E75A5E"/>
    <w:rsid w:val="00E7632C"/>
    <w:rsid w:val="00E76622"/>
    <w:rsid w:val="00E77174"/>
    <w:rsid w:val="00E77ECC"/>
    <w:rsid w:val="00E800EA"/>
    <w:rsid w:val="00E808C6"/>
    <w:rsid w:val="00E8197D"/>
    <w:rsid w:val="00E831E1"/>
    <w:rsid w:val="00E835B3"/>
    <w:rsid w:val="00E83DC6"/>
    <w:rsid w:val="00E83F5B"/>
    <w:rsid w:val="00E84348"/>
    <w:rsid w:val="00E85E70"/>
    <w:rsid w:val="00E90974"/>
    <w:rsid w:val="00E914E4"/>
    <w:rsid w:val="00E917EA"/>
    <w:rsid w:val="00E91E62"/>
    <w:rsid w:val="00E92136"/>
    <w:rsid w:val="00E94771"/>
    <w:rsid w:val="00E94A7C"/>
    <w:rsid w:val="00E94B56"/>
    <w:rsid w:val="00E9567D"/>
    <w:rsid w:val="00E95A7C"/>
    <w:rsid w:val="00E95D89"/>
    <w:rsid w:val="00EA069D"/>
    <w:rsid w:val="00EA0AED"/>
    <w:rsid w:val="00EA2469"/>
    <w:rsid w:val="00EA2857"/>
    <w:rsid w:val="00EA2A19"/>
    <w:rsid w:val="00EA2FE1"/>
    <w:rsid w:val="00EA4395"/>
    <w:rsid w:val="00EA4603"/>
    <w:rsid w:val="00EA5256"/>
    <w:rsid w:val="00EA597F"/>
    <w:rsid w:val="00EA713A"/>
    <w:rsid w:val="00EA7927"/>
    <w:rsid w:val="00EB090D"/>
    <w:rsid w:val="00EB1667"/>
    <w:rsid w:val="00EB1C7A"/>
    <w:rsid w:val="00EB3FF4"/>
    <w:rsid w:val="00EB4263"/>
    <w:rsid w:val="00EB4B0F"/>
    <w:rsid w:val="00EB4DB8"/>
    <w:rsid w:val="00EB70A1"/>
    <w:rsid w:val="00EB71DB"/>
    <w:rsid w:val="00EB7B23"/>
    <w:rsid w:val="00EB7BB3"/>
    <w:rsid w:val="00EB7D67"/>
    <w:rsid w:val="00EC0328"/>
    <w:rsid w:val="00EC110C"/>
    <w:rsid w:val="00EC2B9E"/>
    <w:rsid w:val="00EC2C4E"/>
    <w:rsid w:val="00EC2F71"/>
    <w:rsid w:val="00EC4314"/>
    <w:rsid w:val="00EC46B5"/>
    <w:rsid w:val="00EC5694"/>
    <w:rsid w:val="00EC57AB"/>
    <w:rsid w:val="00EC5816"/>
    <w:rsid w:val="00EC6F1E"/>
    <w:rsid w:val="00EC75E0"/>
    <w:rsid w:val="00ED0BBC"/>
    <w:rsid w:val="00ED1031"/>
    <w:rsid w:val="00ED10EF"/>
    <w:rsid w:val="00ED14B1"/>
    <w:rsid w:val="00ED15B2"/>
    <w:rsid w:val="00ED1E4C"/>
    <w:rsid w:val="00ED1F06"/>
    <w:rsid w:val="00ED1FCD"/>
    <w:rsid w:val="00ED26AC"/>
    <w:rsid w:val="00ED5228"/>
    <w:rsid w:val="00ED5536"/>
    <w:rsid w:val="00ED7809"/>
    <w:rsid w:val="00ED7934"/>
    <w:rsid w:val="00EE0746"/>
    <w:rsid w:val="00EE0B70"/>
    <w:rsid w:val="00EE1F6D"/>
    <w:rsid w:val="00EE2405"/>
    <w:rsid w:val="00EE29F1"/>
    <w:rsid w:val="00EE3228"/>
    <w:rsid w:val="00EE4EEA"/>
    <w:rsid w:val="00EE6622"/>
    <w:rsid w:val="00EE662D"/>
    <w:rsid w:val="00EE7381"/>
    <w:rsid w:val="00EE76C1"/>
    <w:rsid w:val="00EF0AA3"/>
    <w:rsid w:val="00EF0E45"/>
    <w:rsid w:val="00EF2798"/>
    <w:rsid w:val="00EF283C"/>
    <w:rsid w:val="00EF3771"/>
    <w:rsid w:val="00EF5E63"/>
    <w:rsid w:val="00EF7C05"/>
    <w:rsid w:val="00EF7F4B"/>
    <w:rsid w:val="00F00C9D"/>
    <w:rsid w:val="00F0211E"/>
    <w:rsid w:val="00F025AE"/>
    <w:rsid w:val="00F02AE5"/>
    <w:rsid w:val="00F02E1A"/>
    <w:rsid w:val="00F02E9D"/>
    <w:rsid w:val="00F03280"/>
    <w:rsid w:val="00F0369D"/>
    <w:rsid w:val="00F03848"/>
    <w:rsid w:val="00F0482D"/>
    <w:rsid w:val="00F04A50"/>
    <w:rsid w:val="00F0639B"/>
    <w:rsid w:val="00F06924"/>
    <w:rsid w:val="00F07A42"/>
    <w:rsid w:val="00F111E2"/>
    <w:rsid w:val="00F11461"/>
    <w:rsid w:val="00F13631"/>
    <w:rsid w:val="00F139D5"/>
    <w:rsid w:val="00F150AB"/>
    <w:rsid w:val="00F15A60"/>
    <w:rsid w:val="00F203A5"/>
    <w:rsid w:val="00F203F8"/>
    <w:rsid w:val="00F20585"/>
    <w:rsid w:val="00F207F8"/>
    <w:rsid w:val="00F20F6B"/>
    <w:rsid w:val="00F2352F"/>
    <w:rsid w:val="00F23831"/>
    <w:rsid w:val="00F24B16"/>
    <w:rsid w:val="00F24F2E"/>
    <w:rsid w:val="00F2551C"/>
    <w:rsid w:val="00F25DE7"/>
    <w:rsid w:val="00F30DEC"/>
    <w:rsid w:val="00F31416"/>
    <w:rsid w:val="00F31920"/>
    <w:rsid w:val="00F32D6C"/>
    <w:rsid w:val="00F3361E"/>
    <w:rsid w:val="00F34794"/>
    <w:rsid w:val="00F35147"/>
    <w:rsid w:val="00F35A91"/>
    <w:rsid w:val="00F36516"/>
    <w:rsid w:val="00F365C9"/>
    <w:rsid w:val="00F412BA"/>
    <w:rsid w:val="00F4181E"/>
    <w:rsid w:val="00F41EC7"/>
    <w:rsid w:val="00F439AE"/>
    <w:rsid w:val="00F45CFD"/>
    <w:rsid w:val="00F45F29"/>
    <w:rsid w:val="00F4711F"/>
    <w:rsid w:val="00F471A3"/>
    <w:rsid w:val="00F50E86"/>
    <w:rsid w:val="00F514D6"/>
    <w:rsid w:val="00F52093"/>
    <w:rsid w:val="00F52683"/>
    <w:rsid w:val="00F526B2"/>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70FB"/>
    <w:rsid w:val="00F7238D"/>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1C9"/>
    <w:rsid w:val="00F83875"/>
    <w:rsid w:val="00F83C8C"/>
    <w:rsid w:val="00F83E78"/>
    <w:rsid w:val="00F85F3D"/>
    <w:rsid w:val="00F8652B"/>
    <w:rsid w:val="00F86D73"/>
    <w:rsid w:val="00F92545"/>
    <w:rsid w:val="00F933A7"/>
    <w:rsid w:val="00F9393E"/>
    <w:rsid w:val="00F9460F"/>
    <w:rsid w:val="00F952DD"/>
    <w:rsid w:val="00F9709A"/>
    <w:rsid w:val="00F973C8"/>
    <w:rsid w:val="00FA2807"/>
    <w:rsid w:val="00FA2E8D"/>
    <w:rsid w:val="00FA30A8"/>
    <w:rsid w:val="00FA30CE"/>
    <w:rsid w:val="00FA3724"/>
    <w:rsid w:val="00FA3DED"/>
    <w:rsid w:val="00FA43E7"/>
    <w:rsid w:val="00FA4409"/>
    <w:rsid w:val="00FA4B34"/>
    <w:rsid w:val="00FA5DE5"/>
    <w:rsid w:val="00FA6544"/>
    <w:rsid w:val="00FA656E"/>
    <w:rsid w:val="00FA6827"/>
    <w:rsid w:val="00FA74F1"/>
    <w:rsid w:val="00FA7643"/>
    <w:rsid w:val="00FA7EA9"/>
    <w:rsid w:val="00FB03B5"/>
    <w:rsid w:val="00FB13DF"/>
    <w:rsid w:val="00FB2056"/>
    <w:rsid w:val="00FB2419"/>
    <w:rsid w:val="00FB3656"/>
    <w:rsid w:val="00FB3F6E"/>
    <w:rsid w:val="00FB4070"/>
    <w:rsid w:val="00FB478C"/>
    <w:rsid w:val="00FB48BA"/>
    <w:rsid w:val="00FB5188"/>
    <w:rsid w:val="00FB625D"/>
    <w:rsid w:val="00FB7D05"/>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06A"/>
    <w:rsid w:val="00FD2EF1"/>
    <w:rsid w:val="00FD3B88"/>
    <w:rsid w:val="00FD4C5B"/>
    <w:rsid w:val="00FD51B7"/>
    <w:rsid w:val="00FD5449"/>
    <w:rsid w:val="00FD605C"/>
    <w:rsid w:val="00FD61A6"/>
    <w:rsid w:val="00FD65E7"/>
    <w:rsid w:val="00FD678A"/>
    <w:rsid w:val="00FD73BF"/>
    <w:rsid w:val="00FD7632"/>
    <w:rsid w:val="00FD7DA6"/>
    <w:rsid w:val="00FE0705"/>
    <w:rsid w:val="00FE0CA5"/>
    <w:rsid w:val="00FE139E"/>
    <w:rsid w:val="00FE1D20"/>
    <w:rsid w:val="00FE1DBA"/>
    <w:rsid w:val="00FE66BE"/>
    <w:rsid w:val="00FE746B"/>
    <w:rsid w:val="00FF07EE"/>
    <w:rsid w:val="00FF2473"/>
    <w:rsid w:val="00FF35FA"/>
    <w:rsid w:val="00FF5D0D"/>
    <w:rsid w:val="00FF6AC9"/>
    <w:rsid w:val="02D32349"/>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200" w:after="40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88" w:lineRule="exact"/>
      <w:jc w:val="both"/>
    </w:pPr>
    <w:rPr>
      <w:rFonts w:ascii="楷体" w:hAnsi="楷体" w:eastAsia="楷体" w:cs="楷体"/>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adjustRightInd w:val="0"/>
      <w:snapToGrid w:val="0"/>
      <w:spacing w:before="326" w:beforeLines="100" w:after="163"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0"/>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 w:type="paragraph" w:customStyle="1" w:styleId="107">
    <w:name w:val="表头"/>
    <w:basedOn w:val="1"/>
    <w:qFormat/>
    <w:uiPriority w:val="0"/>
    <w:pPr>
      <w:spacing w:before="20" w:beforeLines="20" w:line="360" w:lineRule="auto"/>
      <w:ind w:firstLine="0" w:firstLineChars="0"/>
      <w:jc w:val="center"/>
    </w:pPr>
    <w:rPr>
      <w:rFonts w:eastAsia="宋体"/>
      <w:b/>
      <w:color w:val="000000"/>
      <w:kern w:val="0"/>
      <w:sz w:val="21"/>
      <w:szCs w:val="21"/>
      <w:lang w:bidi="en-US"/>
    </w:rPr>
  </w:style>
  <w:style w:type="paragraph" w:customStyle="1" w:styleId="108">
    <w:name w:val="专栏正文"/>
    <w:basedOn w:val="1"/>
    <w:link w:val="109"/>
    <w:qFormat/>
    <w:uiPriority w:val="0"/>
    <w:pPr>
      <w:widowControl w:val="0"/>
      <w:ind w:firstLine="422"/>
    </w:pPr>
    <w:rPr>
      <w:rFonts w:ascii="Times New Roman" w:hAnsi="Times New Roman"/>
      <w:bCs/>
      <w:sz w:val="21"/>
      <w:szCs w:val="20"/>
    </w:rPr>
  </w:style>
  <w:style w:type="character" w:customStyle="1" w:styleId="109">
    <w:name w:val="专栏正文 字符"/>
    <w:basedOn w:val="32"/>
    <w:link w:val="108"/>
    <w:qFormat/>
    <w:uiPriority w:val="0"/>
    <w:rPr>
      <w:rFonts w:eastAsia="仿宋_GB2312"/>
      <w:bCs/>
      <w:kern w:val="2"/>
      <w:sz w:val="21"/>
    </w:rPr>
  </w:style>
  <w:style w:type="paragraph" w:customStyle="1" w:styleId="110">
    <w:name w:val="表格备注"/>
    <w:basedOn w:val="50"/>
    <w:link w:val="111"/>
    <w:qFormat/>
    <w:uiPriority w:val="0"/>
    <w:pPr>
      <w:ind w:firstLine="480"/>
    </w:pPr>
    <w:rPr>
      <w:rFonts w:ascii="楷体_GB2312" w:eastAsia="楷体_GB2312"/>
      <w:sz w:val="24"/>
    </w:rPr>
  </w:style>
  <w:style w:type="character" w:customStyle="1" w:styleId="111">
    <w:name w:val="表格备注 字符"/>
    <w:basedOn w:val="49"/>
    <w:link w:val="110"/>
    <w:qFormat/>
    <w:uiPriority w:val="0"/>
    <w:rPr>
      <w:rFonts w:ascii="楷体_GB2312" w:hAnsi="仿宋_GB2312" w:eastAsia="楷体_GB2312" w:cs="仿宋_GB2312"/>
      <w:kern w:val="2"/>
      <w:sz w:val="24"/>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116</Pages>
  <Words>7070</Words>
  <Characters>40305</Characters>
  <Lines>335</Lines>
  <Paragraphs>94</Paragraphs>
  <TotalTime>187</TotalTime>
  <ScaleCrop>false</ScaleCrop>
  <LinksUpToDate>false</LinksUpToDate>
  <CharactersWithSpaces>47281</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2025-09-11T11:42:00Z</dcterms:created>
  <dc:creator>Lee wintersweet</dc:creator>
  <cp:lastModifiedBy>kylin</cp:lastModifiedBy>
  <cp:lastPrinted>2026-02-03T10:24:00Z</cp:lastPrinted>
  <dcterms:modified xsi:type="dcterms:W3CDTF">2026-02-05T15:45:16Z</dcterms:modified>
  <cp:revision>51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