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0"/>
      </w:pPr>
    </w:p>
    <w:p>
      <w:pPr>
        <w:ind w:firstLine="640"/>
      </w:pPr>
    </w:p>
    <w:p>
      <w:pPr>
        <w:ind w:firstLine="640"/>
      </w:pPr>
    </w:p>
    <w:p>
      <w:pPr>
        <w:ind w:firstLine="640"/>
      </w:pPr>
    </w:p>
    <w:p>
      <w:pPr>
        <w:tabs>
          <w:tab w:val="left" w:pos="229"/>
          <w:tab w:val="center" w:pos="4264"/>
        </w:tabs>
        <w:spacing w:line="240" w:lineRule="auto"/>
        <w:ind w:firstLine="0" w:firstLineChars="0"/>
        <w:jc w:val="center"/>
        <w:rPr>
          <w:rFonts w:ascii="方正小标宋简体" w:hAnsi="黑体" w:eastAsia="方正小标宋简体"/>
          <w:bCs/>
          <w:sz w:val="48"/>
          <w:szCs w:val="48"/>
        </w:rPr>
      </w:pPr>
      <w:bookmarkStart w:id="208" w:name="_GoBack"/>
      <w:r>
        <w:rPr>
          <w:rFonts w:hint="eastAsia" w:ascii="方正小标宋简体" w:hAnsi="黑体" w:eastAsia="方正小标宋简体"/>
          <w:bCs/>
          <w:sz w:val="48"/>
          <w:szCs w:val="48"/>
        </w:rPr>
        <w:t>内乡县马山口镇国土空间总体规划</w:t>
      </w:r>
    </w:p>
    <w:bookmarkEnd w:id="208"/>
    <w:p>
      <w:pPr>
        <w:widowControl w:val="0"/>
        <w:adjustRightInd/>
        <w:snapToGrid/>
        <w:spacing w:line="240" w:lineRule="auto"/>
        <w:ind w:firstLine="0" w:firstLineChars="0"/>
        <w:jc w:val="center"/>
        <w:rPr>
          <w:rFonts w:ascii="方正小标宋简体" w:hAnsi="黑体" w:eastAsia="方正小标宋简体"/>
          <w:bCs/>
          <w:sz w:val="48"/>
          <w:szCs w:val="48"/>
        </w:rPr>
      </w:pPr>
      <w:r>
        <w:rPr>
          <w:rFonts w:hint="eastAsia" w:ascii="方正小标宋简体" w:hAnsi="黑体" w:eastAsia="方正小标宋简体"/>
          <w:bCs/>
          <w:sz w:val="48"/>
          <w:szCs w:val="48"/>
        </w:rPr>
        <w:t>（2021-2035年）</w:t>
      </w:r>
    </w:p>
    <w:p>
      <w:pPr>
        <w:spacing w:before="65"/>
        <w:ind w:firstLine="0" w:firstLineChars="0"/>
        <w:jc w:val="center"/>
        <w:rPr>
          <w:rFonts w:eastAsia="微软雅黑"/>
          <w:bCs/>
          <w:sz w:val="36"/>
        </w:rPr>
      </w:pPr>
    </w:p>
    <w:p>
      <w:pPr>
        <w:spacing w:before="65"/>
        <w:ind w:firstLine="0" w:firstLineChars="0"/>
        <w:jc w:val="center"/>
        <w:rPr>
          <w:rFonts w:ascii="方正小标宋简体" w:eastAsia="方正小标宋简体"/>
          <w:bCs/>
        </w:rPr>
      </w:pPr>
      <w:r>
        <w:rPr>
          <w:rFonts w:hint="eastAsia" w:ascii="方正小标宋简体" w:eastAsia="方正小标宋简体"/>
          <w:bCs/>
          <w:sz w:val="44"/>
          <w:szCs w:val="44"/>
        </w:rPr>
        <w:t>文  本</w:t>
      </w:r>
    </w:p>
    <w:p>
      <w:pPr>
        <w:spacing w:before="65"/>
        <w:ind w:firstLine="0" w:firstLineChars="0"/>
        <w:jc w:val="center"/>
        <w:rPr>
          <w:rFonts w:ascii="楷体" w:hAnsi="楷体" w:eastAsia="楷体" w:cs="楷体"/>
          <w:bCs/>
          <w:sz w:val="44"/>
          <w:szCs w:val="44"/>
        </w:rPr>
      </w:pPr>
      <w:bookmarkStart w:id="0" w:name="_Hlk196901031"/>
      <w:r>
        <w:rPr>
          <w:rFonts w:hint="eastAsia" w:ascii="楷体" w:hAnsi="楷体" w:eastAsia="楷体" w:cs="楷体"/>
          <w:bCs/>
          <w:sz w:val="44"/>
          <w:szCs w:val="44"/>
        </w:rPr>
        <w:t>（公示稿）</w:t>
      </w:r>
    </w:p>
    <w:bookmarkEnd w:id="0"/>
    <w:p>
      <w:pPr>
        <w:spacing w:before="65"/>
        <w:ind w:firstLine="0" w:firstLineChars="0"/>
        <w:jc w:val="center"/>
        <w:rPr>
          <w:rFonts w:ascii="楷体_GB2312" w:eastAsia="楷体_GB2312"/>
          <w:b/>
          <w:sz w:val="36"/>
          <w:szCs w:val="36"/>
        </w:rPr>
      </w:pPr>
    </w:p>
    <w:p>
      <w:pPr>
        <w:spacing w:before="65"/>
        <w:ind w:firstLine="0" w:firstLineChars="0"/>
        <w:jc w:val="center"/>
      </w:pPr>
    </w:p>
    <w:p>
      <w:pPr>
        <w:spacing w:before="65"/>
        <w:ind w:firstLine="0" w:firstLineChars="0"/>
        <w:jc w:val="center"/>
      </w:pPr>
    </w:p>
    <w:p>
      <w:pPr>
        <w:spacing w:before="65"/>
        <w:ind w:firstLine="0" w:firstLineChars="0"/>
        <w:jc w:val="center"/>
      </w:pPr>
    </w:p>
    <w:p>
      <w:pPr>
        <w:spacing w:before="65"/>
        <w:ind w:firstLine="0" w:firstLineChars="0"/>
        <w:jc w:val="center"/>
      </w:pPr>
    </w:p>
    <w:p>
      <w:pPr>
        <w:spacing w:before="65"/>
        <w:ind w:firstLine="0" w:firstLineChars="0"/>
        <w:jc w:val="center"/>
      </w:pPr>
    </w:p>
    <w:p>
      <w:pPr>
        <w:spacing w:before="65"/>
        <w:ind w:firstLine="0" w:firstLineChars="0"/>
        <w:jc w:val="center"/>
      </w:pPr>
    </w:p>
    <w:p>
      <w:pPr>
        <w:spacing w:before="65"/>
        <w:ind w:firstLine="0" w:firstLineChars="0"/>
        <w:jc w:val="center"/>
        <w:rPr>
          <w:rFonts w:ascii="楷体" w:hAnsi="楷体" w:eastAsia="楷体"/>
        </w:rPr>
      </w:pPr>
    </w:p>
    <w:p>
      <w:pPr>
        <w:spacing w:line="240" w:lineRule="auto"/>
        <w:ind w:firstLine="0" w:firstLineChars="0"/>
        <w:jc w:val="center"/>
        <w:rPr>
          <w:rFonts w:ascii="黑体" w:hAnsi="黑体" w:eastAsia="黑体"/>
          <w:szCs w:val="32"/>
        </w:rPr>
      </w:pPr>
      <w:r>
        <w:rPr>
          <w:rFonts w:hint="eastAsia" w:ascii="黑体" w:hAnsi="黑体" w:eastAsia="黑体"/>
          <w:szCs w:val="32"/>
        </w:rPr>
        <w:t>内乡县马山口镇人民政府</w:t>
      </w:r>
    </w:p>
    <w:p>
      <w:pPr>
        <w:spacing w:before="65"/>
        <w:ind w:firstLine="0" w:firstLineChars="0"/>
        <w:jc w:val="center"/>
        <w:rPr>
          <w:rFonts w:ascii="黑体" w:hAnsi="黑体" w:eastAsia="黑体"/>
          <w:szCs w:val="32"/>
        </w:rPr>
      </w:pPr>
      <w:r>
        <w:rPr>
          <w:rFonts w:hint="eastAsia" w:ascii="黑体" w:hAnsi="黑体" w:eastAsia="黑体"/>
          <w:szCs w:val="32"/>
        </w:rPr>
        <w:t>2</w:t>
      </w:r>
      <w:r>
        <w:rPr>
          <w:rFonts w:ascii="黑体" w:hAnsi="黑体" w:eastAsia="黑体"/>
          <w:szCs w:val="32"/>
        </w:rPr>
        <w:t>026</w:t>
      </w:r>
      <w:r>
        <w:rPr>
          <w:rFonts w:hint="eastAsia" w:ascii="黑体" w:hAnsi="黑体" w:eastAsia="黑体"/>
          <w:szCs w:val="32"/>
        </w:rPr>
        <w:t>年</w:t>
      </w:r>
      <w:r>
        <w:rPr>
          <w:rFonts w:ascii="黑体" w:hAnsi="黑体" w:eastAsia="黑体"/>
          <w:szCs w:val="32"/>
        </w:rPr>
        <w:t>1</w:t>
      </w:r>
      <w:r>
        <w:rPr>
          <w:rFonts w:hint="eastAsia" w:ascii="黑体" w:hAnsi="黑体" w:eastAsia="黑体"/>
          <w:szCs w:val="32"/>
        </w:rPr>
        <w:t>月</w:t>
      </w:r>
    </w:p>
    <w:p>
      <w:pPr>
        <w:ind w:firstLine="640"/>
      </w:pPr>
    </w:p>
    <w:p>
      <w:pPr>
        <w:pStyle w:val="53"/>
        <w:spacing w:before="652" w:beforeLines="200" w:after="163"/>
        <w:jc w:val="both"/>
        <w:rPr>
          <w:b w:val="0"/>
          <w:bCs/>
          <w:spacing w:val="0"/>
          <w:sz w:val="36"/>
          <w:szCs w:val="36"/>
        </w:rPr>
        <w:sectPr>
          <w:headerReference r:id="rId7" w:type="first"/>
          <w:footerReference r:id="rId10" w:type="first"/>
          <w:headerReference r:id="rId5" w:type="default"/>
          <w:footerReference r:id="rId8" w:type="default"/>
          <w:headerReference r:id="rId6" w:type="even"/>
          <w:footerReference r:id="rId9" w:type="even"/>
          <w:pgSz w:w="11907" w:h="16839"/>
          <w:pgMar w:top="1440" w:right="1800" w:bottom="1440" w:left="1800" w:header="851" w:footer="992" w:gutter="0"/>
          <w:pgNumType w:start="1"/>
          <w:cols w:space="1137" w:num="1"/>
          <w:docGrid w:type="lines" w:linePitch="326" w:charSpace="0"/>
        </w:sectPr>
      </w:pPr>
    </w:p>
    <w:sdt>
      <w:sdtPr>
        <w:rPr>
          <w:rFonts w:hint="eastAsia" w:ascii="黑体" w:hAnsi="黑体" w:eastAsia="黑体" w:cs="黑体"/>
          <w:b/>
          <w:bCs/>
          <w:szCs w:val="32"/>
          <w:lang w:val="zh-CN"/>
        </w:rPr>
        <w:id w:val="-1"/>
        <w:docPartObj>
          <w:docPartGallery w:val="Table of Contents"/>
          <w:docPartUnique/>
        </w:docPartObj>
      </w:sdtPr>
      <w:sdtEndPr>
        <w:rPr>
          <w:rFonts w:hint="eastAsia" w:ascii="宋体" w:hAnsi="黑体" w:eastAsia="黑体" w:cs="黑体"/>
          <w:b/>
          <w:bCs/>
          <w:sz w:val="40"/>
          <w:szCs w:val="36"/>
          <w:lang w:val="zh-CN"/>
        </w:rPr>
      </w:sdtEndPr>
      <w:sdtContent>
        <w:p>
          <w:pPr>
            <w:spacing w:line="240" w:lineRule="auto"/>
            <w:ind w:firstLine="0" w:firstLineChars="0"/>
            <w:jc w:val="center"/>
            <w:rPr>
              <w:rFonts w:ascii="黑体" w:hAnsi="黑体" w:eastAsia="黑体"/>
              <w:sz w:val="44"/>
              <w:szCs w:val="44"/>
            </w:rPr>
          </w:pPr>
          <w:r>
            <w:rPr>
              <w:rFonts w:hint="eastAsia" w:ascii="黑体" w:hAnsi="黑体" w:eastAsia="黑体"/>
              <w:b/>
              <w:bCs/>
              <w:sz w:val="44"/>
              <w:szCs w:val="44"/>
            </w:rPr>
            <w:t>目 录</w:t>
          </w:r>
        </w:p>
        <w:p>
          <w:pPr>
            <w:pStyle w:val="22"/>
            <w:tabs>
              <w:tab w:val="right" w:leader="dot" w:pos="8297"/>
            </w:tabs>
            <w:rPr>
              <w:rFonts w:asciiTheme="minorHAnsi" w:hAnsiTheme="minorHAnsi" w:eastAsiaTheme="minorEastAsia" w:cstheme="minorBidi"/>
              <w:kern w:val="2"/>
              <w:sz w:val="21"/>
              <w:szCs w:val="22"/>
            </w:rPr>
          </w:pPr>
          <w:r>
            <w:rPr>
              <w:b/>
              <w:bCs/>
            </w:rPr>
            <w:fldChar w:fldCharType="begin"/>
          </w:r>
          <w:r>
            <w:rPr>
              <w:b/>
              <w:bCs/>
            </w:rPr>
            <w:instrText xml:space="preserve"> TOC \o "1-1" \h \z \u </w:instrText>
          </w:r>
          <w:r>
            <w:rPr>
              <w:b/>
              <w:bCs/>
            </w:rPr>
            <w:fldChar w:fldCharType="separate"/>
          </w:r>
          <w:r>
            <w:fldChar w:fldCharType="begin"/>
          </w:r>
          <w:r>
            <w:instrText xml:space="preserve"> HYPERLINK \l "_Toc221004614" </w:instrText>
          </w:r>
          <w:r>
            <w:fldChar w:fldCharType="separate"/>
          </w:r>
          <w:r>
            <w:rPr>
              <w:rStyle w:val="36"/>
            </w:rPr>
            <w:t>第一章 规划总则</w:t>
          </w:r>
          <w:r>
            <w:tab/>
          </w:r>
          <w:r>
            <w:fldChar w:fldCharType="begin"/>
          </w:r>
          <w:r>
            <w:instrText xml:space="preserve"> PAGEREF _Toc221004614 \h </w:instrText>
          </w:r>
          <w:r>
            <w:fldChar w:fldCharType="separate"/>
          </w:r>
          <w:r>
            <w:t>1</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"_Toc221004615" </w:instrText>
          </w:r>
          <w:r>
            <w:fldChar w:fldCharType="separate"/>
          </w:r>
          <w:r>
            <w:rPr>
              <w:rStyle w:val="36"/>
            </w:rPr>
            <w:t>第二章 现状分析</w:t>
          </w:r>
          <w:r>
            <w:tab/>
          </w:r>
          <w:r>
            <w:fldChar w:fldCharType="begin"/>
          </w:r>
          <w:r>
            <w:instrText xml:space="preserve"> PAGEREF _Toc221004615 \h </w:instrText>
          </w:r>
          <w:r>
            <w:fldChar w:fldCharType="separate"/>
          </w:r>
          <w:r>
            <w:t>4</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"_Toc221004616" </w:instrText>
          </w:r>
          <w:r>
            <w:fldChar w:fldCharType="separate"/>
          </w:r>
          <w:r>
            <w:rPr>
              <w:rStyle w:val="36"/>
            </w:rPr>
            <w:t>第三章 发展定位与目标</w:t>
          </w:r>
          <w:r>
            <w:tab/>
          </w:r>
          <w:r>
            <w:fldChar w:fldCharType="begin"/>
          </w:r>
          <w:r>
            <w:instrText xml:space="preserve"> PAGEREF _Toc221004616 \h </w:instrText>
          </w:r>
          <w:r>
            <w:fldChar w:fldCharType="separate"/>
          </w:r>
          <w:r>
            <w:t>13</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"_Toc221004617" </w:instrText>
          </w:r>
          <w:r>
            <w:fldChar w:fldCharType="separate"/>
          </w:r>
          <w:r>
            <w:rPr>
              <w:rStyle w:val="36"/>
            </w:rPr>
            <w:t>第四章 底线约束</w:t>
          </w:r>
          <w:r>
            <w:tab/>
          </w:r>
          <w:r>
            <w:fldChar w:fldCharType="begin"/>
          </w:r>
          <w:r>
            <w:instrText xml:space="preserve"> PAGEREF _Toc221004617 \h </w:instrText>
          </w:r>
          <w:r>
            <w:fldChar w:fldCharType="separate"/>
          </w:r>
          <w:r>
            <w:t>16</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"_Toc221004618" </w:instrText>
          </w:r>
          <w:r>
            <w:fldChar w:fldCharType="separate"/>
          </w:r>
          <w:r>
            <w:rPr>
              <w:rStyle w:val="36"/>
            </w:rPr>
            <w:t>第五章 规划分区</w:t>
          </w:r>
          <w:r>
            <w:tab/>
          </w:r>
          <w:r>
            <w:fldChar w:fldCharType="begin"/>
          </w:r>
          <w:r>
            <w:instrText xml:space="preserve"> PAGEREF _Toc221004618 \h </w:instrText>
          </w:r>
          <w:r>
            <w:fldChar w:fldCharType="separate"/>
          </w:r>
          <w:r>
            <w:t>19</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"_Toc221004619" </w:instrText>
          </w:r>
          <w:r>
            <w:fldChar w:fldCharType="separate"/>
          </w:r>
          <w:r>
            <w:rPr>
              <w:rStyle w:val="36"/>
            </w:rPr>
            <w:t>第六章 国土空间功能结构调整</w:t>
          </w:r>
          <w:r>
            <w:tab/>
          </w:r>
          <w:r>
            <w:fldChar w:fldCharType="begin"/>
          </w:r>
          <w:r>
            <w:instrText xml:space="preserve"> PAGEREF _Toc221004619 \h </w:instrText>
          </w:r>
          <w:r>
            <w:fldChar w:fldCharType="separate"/>
          </w:r>
          <w:r>
            <w:t>30</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"_Toc221004620" </w:instrText>
          </w:r>
          <w:r>
            <w:fldChar w:fldCharType="separate"/>
          </w:r>
          <w:r>
            <w:rPr>
              <w:rStyle w:val="36"/>
            </w:rPr>
            <w:t>第七章 自然资源保护与利用</w:t>
          </w:r>
          <w:r>
            <w:tab/>
          </w:r>
          <w:r>
            <w:fldChar w:fldCharType="begin"/>
          </w:r>
          <w:r>
            <w:instrText xml:space="preserve"> PAGEREF _Toc221004620 \h </w:instrText>
          </w:r>
          <w:r>
            <w:fldChar w:fldCharType="separate"/>
          </w:r>
          <w:r>
            <w:t>33</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"_Toc221004621" </w:instrText>
          </w:r>
          <w:r>
            <w:fldChar w:fldCharType="separate"/>
          </w:r>
          <w:r>
            <w:rPr>
              <w:rStyle w:val="36"/>
            </w:rPr>
            <w:t>第八章 产业规划</w:t>
          </w:r>
          <w:r>
            <w:tab/>
          </w:r>
          <w:r>
            <w:fldChar w:fldCharType="begin"/>
          </w:r>
          <w:r>
            <w:instrText xml:space="preserve"> PAGEREF _Toc221004621 \h </w:instrText>
          </w:r>
          <w:r>
            <w:fldChar w:fldCharType="separate"/>
          </w:r>
          <w:r>
            <w:t>45</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"_Toc221004622" </w:instrText>
          </w:r>
          <w:r>
            <w:fldChar w:fldCharType="separate"/>
          </w:r>
          <w:r>
            <w:rPr>
              <w:rStyle w:val="36"/>
            </w:rPr>
            <w:t>第九章 村庄布局</w:t>
          </w:r>
          <w:r>
            <w:tab/>
          </w:r>
          <w:r>
            <w:fldChar w:fldCharType="begin"/>
          </w:r>
          <w:r>
            <w:instrText xml:space="preserve"> PAGEREF _Toc221004622 \h </w:instrText>
          </w:r>
          <w:r>
            <w:fldChar w:fldCharType="separate"/>
          </w:r>
          <w:r>
            <w:t>50</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"_Toc221004623" </w:instrText>
          </w:r>
          <w:r>
            <w:fldChar w:fldCharType="separate"/>
          </w:r>
          <w:r>
            <w:rPr>
              <w:rStyle w:val="36"/>
            </w:rPr>
            <w:t>第十章 支撑体系规划</w:t>
          </w:r>
          <w:r>
            <w:tab/>
          </w:r>
          <w:r>
            <w:fldChar w:fldCharType="begin"/>
          </w:r>
          <w:r>
            <w:instrText xml:space="preserve"> PAGEREF _Toc221004623 \h </w:instrText>
          </w:r>
          <w:r>
            <w:fldChar w:fldCharType="separate"/>
          </w:r>
          <w:r>
            <w:t>56</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"_Toc221004624" </w:instrText>
          </w:r>
          <w:r>
            <w:fldChar w:fldCharType="separate"/>
          </w:r>
          <w:r>
            <w:rPr>
              <w:rStyle w:val="36"/>
            </w:rPr>
            <w:t>第十一章 历史文化与景观风貌规划</w:t>
          </w:r>
          <w:r>
            <w:tab/>
          </w:r>
          <w:r>
            <w:fldChar w:fldCharType="begin"/>
          </w:r>
          <w:r>
            <w:instrText xml:space="preserve"> PAGEREF _Toc221004624 \h </w:instrText>
          </w:r>
          <w:r>
            <w:fldChar w:fldCharType="separate"/>
          </w:r>
          <w:r>
            <w:t>68</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"_Toc221004625" </w:instrText>
          </w:r>
          <w:r>
            <w:fldChar w:fldCharType="separate"/>
          </w:r>
          <w:r>
            <w:rPr>
              <w:rStyle w:val="36"/>
            </w:rPr>
            <w:t>第十二章 乡镇政府驻地规划</w:t>
          </w:r>
          <w:r>
            <w:tab/>
          </w:r>
          <w:r>
            <w:fldChar w:fldCharType="begin"/>
          </w:r>
          <w:r>
            <w:instrText xml:space="preserve"> PAGEREF _Toc221004625 \h </w:instrText>
          </w:r>
          <w:r>
            <w:fldChar w:fldCharType="separate"/>
          </w:r>
          <w:r>
            <w:t>73</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"_Toc221004626" </w:instrText>
          </w:r>
          <w:r>
            <w:fldChar w:fldCharType="separate"/>
          </w:r>
          <w:r>
            <w:rPr>
              <w:rStyle w:val="36"/>
            </w:rPr>
            <w:t>第十三章 土地综合整治与生态修复</w:t>
          </w:r>
          <w:r>
            <w:tab/>
          </w:r>
          <w:r>
            <w:fldChar w:fldCharType="begin"/>
          </w:r>
          <w:r>
            <w:instrText xml:space="preserve"> PAGEREF _Toc221004626 \h </w:instrText>
          </w:r>
          <w:r>
            <w:fldChar w:fldCharType="separate"/>
          </w:r>
          <w:r>
            <w:t>91</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"_Toc221004627" </w:instrText>
          </w:r>
          <w:r>
            <w:fldChar w:fldCharType="separate"/>
          </w:r>
          <w:r>
            <w:rPr>
              <w:rStyle w:val="36"/>
            </w:rPr>
            <w:t>第十四章 规划传导</w:t>
          </w:r>
          <w:r>
            <w:tab/>
          </w:r>
          <w:r>
            <w:fldChar w:fldCharType="begin"/>
          </w:r>
          <w:r>
            <w:instrText xml:space="preserve"> PAGEREF _Toc221004627 \h </w:instrText>
          </w:r>
          <w:r>
            <w:fldChar w:fldCharType="separate"/>
          </w:r>
          <w:r>
            <w:t>95</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"_Toc221004628" </w:instrText>
          </w:r>
          <w:r>
            <w:fldChar w:fldCharType="separate"/>
          </w:r>
          <w:r>
            <w:rPr>
              <w:rStyle w:val="36"/>
            </w:rPr>
            <w:t>第十五章 实施保障</w:t>
          </w:r>
          <w:r>
            <w:tab/>
          </w:r>
          <w:r>
            <w:fldChar w:fldCharType="begin"/>
          </w:r>
          <w:r>
            <w:instrText xml:space="preserve"> PAGEREF _Toc221004628 \h </w:instrText>
          </w:r>
          <w:r>
            <w:fldChar w:fldCharType="separate"/>
          </w:r>
          <w:r>
            <w:t>98</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"_Toc221004629" </w:instrText>
          </w:r>
          <w:r>
            <w:fldChar w:fldCharType="separate"/>
          </w:r>
          <w:r>
            <w:rPr>
              <w:rStyle w:val="36"/>
            </w:rPr>
            <w:t>第十六章 “通则式”村庄规划管理规定</w:t>
          </w:r>
          <w:r>
            <w:tab/>
          </w:r>
          <w:r>
            <w:fldChar w:fldCharType="begin"/>
          </w:r>
          <w:r>
            <w:instrText xml:space="preserve"> PAGEREF _Toc221004629 \h </w:instrText>
          </w:r>
          <w:r>
            <w:fldChar w:fldCharType="separate"/>
          </w:r>
          <w:r>
            <w:t>102</w:t>
          </w:r>
          <w:r>
            <w:fldChar w:fldCharType="end"/>
          </w:r>
          <w:r>
            <w:fldChar w:fldCharType="end"/>
          </w:r>
        </w:p>
        <w:p>
          <w:pPr>
            <w:spacing w:before="65" w:after="163" w:line="600" w:lineRule="exact"/>
            <w:ind w:firstLine="0" w:firstLineChars="0"/>
          </w:pPr>
          <w:r>
            <w:rPr>
              <w:rFonts w:ascii="楷体" w:hAnsi="楷体" w:eastAsia="楷体" w:cs="楷体"/>
              <w:b/>
              <w:bCs/>
              <w:kern w:val="0"/>
              <w:szCs w:val="32"/>
            </w:rPr>
            <w:fldChar w:fldCharType="end"/>
          </w:r>
        </w:p>
      </w:sdtContent>
    </w:sdt>
    <w:p>
      <w:pPr>
        <w:spacing w:before="65" w:after="163"/>
        <w:ind w:firstLine="640"/>
      </w:pPr>
    </w:p>
    <w:p>
      <w:pPr>
        <w:spacing w:before="65" w:after="163"/>
        <w:ind w:firstLine="640"/>
        <w:sectPr>
          <w:pgSz w:w="11907" w:h="16839"/>
          <w:pgMar w:top="1440" w:right="1800" w:bottom="1440" w:left="1800" w:header="851" w:footer="992" w:gutter="0"/>
          <w:pgNumType w:start="1"/>
          <w:cols w:space="1137" w:num="1"/>
          <w:docGrid w:type="lines" w:linePitch="326" w:charSpace="0"/>
        </w:sectPr>
      </w:pPr>
    </w:p>
    <w:p>
      <w:pPr>
        <w:ind w:firstLine="640"/>
      </w:pPr>
      <w:bookmarkStart w:id="1" w:name="_Toc127432230"/>
      <w:bookmarkStart w:id="2" w:name="_Toc129339489"/>
    </w:p>
    <w:p>
      <w:pPr>
        <w:pStyle w:val="2"/>
        <w:spacing w:before="489" w:beforeLines="150" w:after="489" w:afterLines="150"/>
      </w:pPr>
      <w:bookmarkStart w:id="3" w:name="_Toc221004614"/>
      <w:bookmarkStart w:id="4" w:name="_Toc211258489"/>
      <w:r>
        <w:rPr>
          <w:rFonts w:hint="eastAsia"/>
        </w:rPr>
        <w:t>规划总则</w:t>
      </w:r>
      <w:bookmarkEnd w:id="3"/>
      <w:bookmarkEnd w:id="4"/>
    </w:p>
    <w:p>
      <w:pPr>
        <w:pStyle w:val="4"/>
      </w:pPr>
      <w:r>
        <w:rPr>
          <w:rFonts w:hint="eastAsia"/>
        </w:rPr>
        <w:t>规划目的</w:t>
      </w:r>
    </w:p>
    <w:p>
      <w:pPr>
        <w:spacing w:before="65"/>
        <w:ind w:firstLine="640"/>
      </w:pPr>
      <w:r>
        <w:rPr>
          <w:rFonts w:hint="eastAsia"/>
        </w:rPr>
        <w:t>为落实习近平生态文明思想和总体国家安全观，贯彻《中共中央国务院关于建立国土空间规划体系并监督实施的若干意见》要求，细化落实《内乡县国土空间总体规划（</w:t>
      </w:r>
      <w:r>
        <w:t>2021-2035年）》，科学有序地推进</w:t>
      </w:r>
      <w:r>
        <w:rPr>
          <w:rFonts w:hint="eastAsia"/>
        </w:rPr>
        <w:t>马山口镇</w:t>
      </w:r>
      <w:r>
        <w:t>国土空间开发保护的总体安排和综合部署，统筹</w:t>
      </w:r>
      <w:r>
        <w:rPr>
          <w:rFonts w:hint="eastAsia"/>
        </w:rPr>
        <w:t>马山口镇</w:t>
      </w:r>
      <w:r>
        <w:t>的农业、生态、城镇空间，全面提升</w:t>
      </w:r>
      <w:r>
        <w:rPr>
          <w:rFonts w:hint="eastAsia"/>
        </w:rPr>
        <w:t>马山口镇</w:t>
      </w:r>
      <w:r>
        <w:t>国土空间治理体系和治理能力现代化水平，特编制《内乡县</w:t>
      </w:r>
      <w:r>
        <w:rPr>
          <w:rFonts w:hint="eastAsia"/>
        </w:rPr>
        <w:t>马山口镇</w:t>
      </w:r>
      <w:r>
        <w:t>国土空间总体规划（2021-2035年）》（以下简称本规划）</w:t>
      </w:r>
      <w:r>
        <w:rPr>
          <w:rFonts w:hint="eastAsia"/>
        </w:rPr>
        <w:t>。</w:t>
      </w:r>
    </w:p>
    <w:p>
      <w:pPr>
        <w:pStyle w:val="4"/>
      </w:pPr>
      <w:r>
        <w:rPr>
          <w:rFonts w:hint="eastAsia"/>
        </w:rPr>
        <w:t>指导思想</w:t>
      </w:r>
    </w:p>
    <w:p>
      <w:pPr>
        <w:ind w:firstLine="640"/>
      </w:pPr>
      <w:r>
        <w:rPr>
          <w:rFonts w:hint="eastAsia"/>
        </w:rPr>
        <w:t>以习近平新时代中国特色社会主义思想为指导，紧紧围绕统筹推进“五位一体”总体布局和协调推进“四个全面”战略布局，践行“两高四着力”重大要求，优化国土空间开发格局，加快构建科学有序的国土空间布局体系，统筹安排国土空间开发、资源环境保护、国土综合整治、生态修复和保障体系建设，提升国土空间品质和利用效率，提高国土空间治理能力，推进乡村振兴，促进马山口镇经济社会发展更高质量、更有效率、更加公平、更可持续。</w:t>
      </w:r>
    </w:p>
    <w:p>
      <w:pPr>
        <w:pStyle w:val="4"/>
      </w:pPr>
      <w:r>
        <w:rPr>
          <w:rFonts w:hint="eastAsia"/>
        </w:rPr>
        <w:t>规划原则</w:t>
      </w:r>
    </w:p>
    <w:p>
      <w:pPr>
        <w:pStyle w:val="5"/>
        <w:spacing w:before="97" w:after="97"/>
        <w:ind w:firstLine="640"/>
      </w:pPr>
      <w:r>
        <w:rPr>
          <w:rFonts w:hint="eastAsia"/>
        </w:rPr>
        <w:t>生态优先、绿色发展</w:t>
      </w:r>
    </w:p>
    <w:p>
      <w:pPr>
        <w:spacing w:before="65"/>
        <w:ind w:firstLine="640"/>
      </w:pPr>
      <w:r>
        <w:rPr>
          <w:rFonts w:hint="eastAsia"/>
        </w:rPr>
        <w:t>贯彻新时代新要求，坚持内涵式、集约型、绿色化的高质量发展新路子，在资源环境紧约束下编制规划，推动形成绿色发展方式和生活方式，形成发展新的增长点和竞争力。</w:t>
      </w:r>
    </w:p>
    <w:p>
      <w:pPr>
        <w:pStyle w:val="5"/>
        <w:spacing w:before="97" w:after="97"/>
        <w:ind w:firstLine="640"/>
      </w:pPr>
      <w:r>
        <w:rPr>
          <w:rFonts w:hint="eastAsia"/>
        </w:rPr>
        <w:t>以人为本、品质提升</w:t>
      </w:r>
    </w:p>
    <w:p>
      <w:pPr>
        <w:spacing w:before="65"/>
        <w:ind w:firstLine="640"/>
      </w:pPr>
      <w:r>
        <w:rPr>
          <w:rFonts w:hint="eastAsia"/>
        </w:rPr>
        <w:t>坚持以人民为中心，塑造高品质人居环境，着力破解各类民生问题，不断提升人民群众的获得感、幸福感、安全感。</w:t>
      </w:r>
    </w:p>
    <w:p>
      <w:pPr>
        <w:pStyle w:val="5"/>
        <w:spacing w:before="97" w:after="97"/>
        <w:ind w:firstLine="640"/>
      </w:pPr>
      <w:r>
        <w:rPr>
          <w:rFonts w:hint="eastAsia"/>
        </w:rPr>
        <w:t>全域统筹、城乡融合</w:t>
      </w:r>
    </w:p>
    <w:p>
      <w:pPr>
        <w:spacing w:before="65"/>
        <w:ind w:firstLine="640"/>
      </w:pPr>
      <w:r>
        <w:rPr>
          <w:rFonts w:hint="eastAsia"/>
        </w:rPr>
        <w:t>结合本地实际，发挥本地特色和优势，落实乡村振兴、区域协调发展、可持续发展等空间发展战略，推动形成开放协调的空间发展格局。</w:t>
      </w:r>
    </w:p>
    <w:p>
      <w:pPr>
        <w:pStyle w:val="5"/>
        <w:spacing w:before="97" w:after="97"/>
        <w:ind w:firstLine="640"/>
      </w:pPr>
      <w:r>
        <w:rPr>
          <w:rFonts w:hint="eastAsia"/>
        </w:rPr>
        <w:t>问题导向、目标导向</w:t>
      </w:r>
    </w:p>
    <w:p>
      <w:pPr>
        <w:spacing w:before="65"/>
        <w:ind w:firstLine="640"/>
      </w:pPr>
      <w:r>
        <w:rPr>
          <w:rFonts w:hint="eastAsia"/>
        </w:rPr>
        <w:t>按照“问题-目标-策略-机制”的逻辑，因地制宜制定规划方案和实施措施，充分发挥乡镇级总规在空间治理中的基础作用，确保规划能用、管用、好用。</w:t>
      </w:r>
    </w:p>
    <w:p>
      <w:pPr>
        <w:pStyle w:val="4"/>
      </w:pPr>
      <w:r>
        <w:rPr>
          <w:rFonts w:hint="eastAsia"/>
        </w:rPr>
        <w:t>规划范围</w:t>
      </w:r>
    </w:p>
    <w:p>
      <w:pPr>
        <w:spacing w:before="65"/>
        <w:ind w:firstLine="640"/>
      </w:pPr>
      <w:r>
        <w:rPr>
          <w:rFonts w:hint="eastAsia"/>
        </w:rPr>
        <w:t>规划范围为马山口镇行政辖区内全部国土空间，包含镇域和镇区两个层次。其中：</w:t>
      </w:r>
    </w:p>
    <w:p>
      <w:pPr>
        <w:spacing w:before="65"/>
        <w:ind w:firstLine="640"/>
      </w:pPr>
      <w:r>
        <w:rPr>
          <w:rFonts w:hint="eastAsia"/>
        </w:rPr>
        <w:t>镇域范围为马山口镇行政辖区内全部国土空间，总面积</w:t>
      </w:r>
      <w:r>
        <w:t>283.28</w:t>
      </w:r>
      <w:r>
        <w:rPr>
          <w:rFonts w:hint="eastAsia"/>
        </w:rPr>
        <w:t>平方公里。</w:t>
      </w:r>
    </w:p>
    <w:p>
      <w:pPr>
        <w:spacing w:before="65"/>
        <w:ind w:firstLine="640"/>
      </w:pPr>
      <w:r>
        <w:rPr>
          <w:rFonts w:hint="eastAsia"/>
        </w:rPr>
        <w:t>镇区范围为</w:t>
      </w:r>
      <w:r>
        <w:rPr>
          <w:rFonts w:hint="eastAsia"/>
          <w:lang w:bidi="ar"/>
        </w:rPr>
        <w:t>东至省道</w:t>
      </w:r>
      <w:r>
        <w:rPr>
          <w:lang w:bidi="ar"/>
        </w:rPr>
        <w:t>240</w:t>
      </w:r>
      <w:r>
        <w:rPr>
          <w:rFonts w:hint="eastAsia"/>
          <w:lang w:bidi="ar"/>
        </w:rPr>
        <w:t>，西至马山坡，北至神威民爆厂区，南为现状城镇建设用地边界，总面积</w:t>
      </w:r>
      <w:r>
        <w:rPr>
          <w:lang w:bidi="ar"/>
        </w:rPr>
        <w:t>296.66</w:t>
      </w:r>
      <w:r>
        <w:rPr>
          <w:rFonts w:hint="eastAsia"/>
          <w:lang w:bidi="ar"/>
        </w:rPr>
        <w:t>公顷。</w:t>
      </w:r>
    </w:p>
    <w:p>
      <w:pPr>
        <w:pStyle w:val="4"/>
      </w:pPr>
      <w:r>
        <w:rPr>
          <w:rFonts w:hint="eastAsia"/>
        </w:rPr>
        <w:t>规划期限</w:t>
      </w:r>
    </w:p>
    <w:p>
      <w:pPr>
        <w:spacing w:before="65"/>
        <w:ind w:firstLine="640"/>
      </w:pPr>
      <w:r>
        <w:rPr>
          <w:rFonts w:hint="eastAsia"/>
        </w:rPr>
        <w:t>规划期限为2</w:t>
      </w:r>
      <w:r>
        <w:t>021</w:t>
      </w:r>
      <w:r>
        <w:rPr>
          <w:rFonts w:hint="eastAsia"/>
        </w:rPr>
        <w:t>年至2</w:t>
      </w:r>
      <w:r>
        <w:t>035</w:t>
      </w:r>
      <w:r>
        <w:rPr>
          <w:rFonts w:hint="eastAsia"/>
        </w:rPr>
        <w:t>年。</w:t>
      </w:r>
    </w:p>
    <w:p>
      <w:pPr>
        <w:spacing w:before="65"/>
        <w:ind w:firstLine="640"/>
      </w:pPr>
      <w:r>
        <w:rPr>
          <w:rFonts w:hint="eastAsia"/>
        </w:rPr>
        <w:t>基期年为2</w:t>
      </w:r>
      <w:r>
        <w:t>020</w:t>
      </w:r>
      <w:r>
        <w:rPr>
          <w:rFonts w:hint="eastAsia"/>
        </w:rPr>
        <w:t>年，近期至2</w:t>
      </w:r>
      <w:r>
        <w:t>025</w:t>
      </w:r>
      <w:r>
        <w:rPr>
          <w:rFonts w:hint="eastAsia"/>
        </w:rPr>
        <w:t>年，</w:t>
      </w:r>
      <w:r>
        <w:t>远期至2035年，</w:t>
      </w:r>
      <w:r>
        <w:rPr>
          <w:rFonts w:hint="eastAsia"/>
        </w:rPr>
        <w:t>远景展望至2</w:t>
      </w:r>
      <w:r>
        <w:t>050</w:t>
      </w:r>
      <w:r>
        <w:rPr>
          <w:rFonts w:hint="eastAsia"/>
        </w:rPr>
        <w:t>年。</w:t>
      </w:r>
    </w:p>
    <w:p>
      <w:pPr>
        <w:pStyle w:val="4"/>
      </w:pPr>
      <w:r>
        <w:rPr>
          <w:rFonts w:hint="eastAsia"/>
        </w:rPr>
        <w:t>规划成果</w:t>
      </w:r>
    </w:p>
    <w:p>
      <w:pPr>
        <w:spacing w:before="65"/>
        <w:ind w:firstLine="640"/>
      </w:pPr>
      <w:r>
        <w:rPr>
          <w:rFonts w:hint="eastAsia"/>
        </w:rPr>
        <w:t>规划成果包括规划文本、图集、数据库和附件。附件包括规划说明、征求意见采纳情况、专家论证意见等其他材料。其中，规划文本、图件是法定文件。规划说明和相关附件是支撑法定性文件的论证依据。</w:t>
      </w:r>
    </w:p>
    <w:p>
      <w:pPr>
        <w:pStyle w:val="4"/>
      </w:pPr>
      <w:r>
        <w:rPr>
          <w:rFonts w:hint="eastAsia"/>
        </w:rPr>
        <w:t>强制性内容</w:t>
      </w:r>
    </w:p>
    <w:p>
      <w:pPr>
        <w:spacing w:before="65"/>
        <w:ind w:firstLine="640"/>
      </w:pPr>
      <w:r>
        <w:rPr>
          <w:rFonts w:hint="eastAsia"/>
        </w:rPr>
        <w:t>文本条款中下划线部分为强制性内容，应严格遵守落实。规划实施管理不得违背强制性内容，调整强制性内容必须按照相关法定程序执行。</w:t>
      </w:r>
    </w:p>
    <w:p>
      <w:pPr>
        <w:spacing w:before="65"/>
        <w:ind w:firstLine="640"/>
      </w:pPr>
      <w:r>
        <w:br w:type="page"/>
      </w:r>
    </w:p>
    <w:p>
      <w:pPr>
        <w:spacing w:before="65"/>
        <w:ind w:firstLine="640"/>
      </w:pPr>
    </w:p>
    <w:p>
      <w:pPr>
        <w:pStyle w:val="2"/>
        <w:spacing w:before="489" w:beforeLines="150" w:after="489" w:afterLines="150"/>
      </w:pPr>
      <w:bookmarkStart w:id="5" w:name="_Toc211258490"/>
      <w:bookmarkStart w:id="6" w:name="_Toc221004615"/>
      <w:bookmarkStart w:id="7" w:name="_Toc185606037"/>
      <w:r>
        <w:rPr>
          <w:rFonts w:hint="eastAsia"/>
        </w:rPr>
        <w:t>现状分析</w:t>
      </w:r>
      <w:bookmarkEnd w:id="5"/>
      <w:bookmarkEnd w:id="6"/>
      <w:bookmarkEnd w:id="7"/>
    </w:p>
    <w:p>
      <w:pPr>
        <w:pStyle w:val="3"/>
        <w:spacing w:before="326" w:beforeLines="100" w:after="326" w:afterLines="100"/>
      </w:pPr>
      <w:bookmarkStart w:id="8" w:name="_Toc185606038"/>
      <w:r>
        <w:rPr>
          <w:rFonts w:hint="eastAsia"/>
        </w:rPr>
        <w:t>自然地理格局和资源禀赋</w:t>
      </w:r>
      <w:bookmarkEnd w:id="8"/>
    </w:p>
    <w:p>
      <w:pPr>
        <w:pStyle w:val="4"/>
      </w:pPr>
      <w:bookmarkStart w:id="9" w:name="_Hlk150173612"/>
      <w:r>
        <w:rPr>
          <w:rFonts w:hint="eastAsia"/>
        </w:rPr>
        <w:t>自然地理格局</w:t>
      </w:r>
    </w:p>
    <w:bookmarkEnd w:id="9"/>
    <w:p>
      <w:pPr>
        <w:spacing w:before="65"/>
        <w:ind w:firstLine="640"/>
      </w:pPr>
      <w:r>
        <w:t>北高南低，山川、丘陵、平原并存，沟壑纵横</w:t>
      </w:r>
      <w:r>
        <w:rPr>
          <w:rFonts w:hint="eastAsia"/>
        </w:rPr>
        <w:t>。马山口镇整体地势北高南低，东西伏牛山横亘，南北默河纵贯，山川、丘陵、平原并存，沟壑纵横。主要山脉有马山、马山牙、大寨山、麦子山、驻马山、唐王寨、圣垛山、光秃山、宝塔山、野人垛、盖子山、毛垛山、牡丹垛、朋肚坡等，境内最高峰圣垛山，海拔</w:t>
      </w:r>
      <w:r>
        <w:t>1547.3米；南部丘平最低处吴湾自然村，海拔197.4米，自然形成“簸箕状”。</w:t>
      </w:r>
    </w:p>
    <w:p>
      <w:pPr>
        <w:spacing w:before="65"/>
        <w:ind w:firstLine="640"/>
      </w:pPr>
      <w:r>
        <w:t>水土条件较好，气候温和，四季分明</w:t>
      </w:r>
      <w:r>
        <w:rPr>
          <w:rFonts w:hint="eastAsia"/>
        </w:rPr>
        <w:t>。马山口镇气候温和，雨量充沛，属北亚热带大陆性季风气候，春暖夏热、秋凉冬寒，四季分明，年降水量</w:t>
      </w:r>
      <w:r>
        <w:t>700～800㎜，无霜期达240余天，年日照为1900小时左右，年平均气温为摄氏15度左右，适生各种农作物，为农业发展奠定了良好基础。</w:t>
      </w:r>
    </w:p>
    <w:p>
      <w:pPr>
        <w:pStyle w:val="4"/>
      </w:pPr>
      <w:bookmarkStart w:id="10" w:name="_Hlk150173613"/>
      <w:r>
        <w:rPr>
          <w:rFonts w:hint="eastAsia"/>
        </w:rPr>
        <w:t>自然资源禀赋</w:t>
      </w:r>
    </w:p>
    <w:bookmarkEnd w:id="10"/>
    <w:p>
      <w:pPr>
        <w:ind w:firstLine="640"/>
      </w:pPr>
      <w:r>
        <w:rPr>
          <w:rFonts w:hint="eastAsia"/>
        </w:rPr>
        <w:t>生态本底优良，</w:t>
      </w:r>
      <w:r>
        <w:t>山川、丘陵、平原并存，沟壑纵横</w:t>
      </w:r>
      <w:r>
        <w:rPr>
          <w:rFonts w:hint="eastAsia"/>
        </w:rPr>
        <w:t>的自然地理格局</w:t>
      </w:r>
      <w:r>
        <w:t>,</w:t>
      </w:r>
      <w:r>
        <w:rPr>
          <w:rFonts w:hint="eastAsia"/>
        </w:rPr>
        <w:t>为发展生态林业、生态养殖、高效农业奠定了坚实的基础。马山口地处伏牛山南麓，湍河、默河内乡两大河流之间的丘陵地带，由山区、浅山区、丘陵向平原过渡地带，北部大寨山、麦子山，东西横亘；南部丘陵连绵，南北逶迤，沟沟岭岭，纵贯南北，生态环境良好。山、水、丘陵、平原自然地貌兼具的格局，加上优越的水文条件，良好的生态环境，为种植业、林果业、养殖业提供了优良的条件，为发展高品质、生态化的农产品奠定了坚实的基础。</w:t>
      </w:r>
    </w:p>
    <w:p>
      <w:pPr>
        <w:pStyle w:val="4"/>
      </w:pPr>
      <w:bookmarkStart w:id="11" w:name="_Hlk150173614"/>
      <w:r>
        <w:rPr>
          <w:rFonts w:hint="eastAsia"/>
        </w:rPr>
        <w:t>国土空间用地现状</w:t>
      </w:r>
      <w:bookmarkEnd w:id="11"/>
    </w:p>
    <w:p>
      <w:pPr>
        <w:spacing w:before="65"/>
        <w:ind w:firstLine="640"/>
      </w:pPr>
      <w:r>
        <w:rPr>
          <w:rFonts w:hint="eastAsia"/>
        </w:rPr>
        <w:t>根据</w:t>
      </w:r>
      <w:r>
        <w:t>2020年国土变更调查数据，</w:t>
      </w:r>
      <w:r>
        <w:rPr>
          <w:rFonts w:hint="eastAsia"/>
        </w:rPr>
        <w:t>马山口镇</w:t>
      </w:r>
      <w:r>
        <w:t>镇域总面积为28321.73公顷，其中，耕地3818.80公顷，占比13.48%</w:t>
      </w:r>
      <w:r>
        <w:rPr>
          <w:rFonts w:hint="eastAsia"/>
        </w:rPr>
        <w:t>；</w:t>
      </w:r>
      <w:r>
        <w:t>园地332.04公顷，占比1.17%</w:t>
      </w:r>
      <w:r>
        <w:rPr>
          <w:rFonts w:hint="eastAsia"/>
        </w:rPr>
        <w:t>；</w:t>
      </w:r>
      <w:r>
        <w:t>林地21046.99公顷，占比74.31%</w:t>
      </w:r>
      <w:r>
        <w:rPr>
          <w:rFonts w:hint="eastAsia"/>
        </w:rPr>
        <w:t>；</w:t>
      </w:r>
      <w:r>
        <w:t>草地466.07公顷，占比1.65%</w:t>
      </w:r>
      <w:r>
        <w:rPr>
          <w:rFonts w:hint="eastAsia"/>
        </w:rPr>
        <w:t>；</w:t>
      </w:r>
      <w:r>
        <w:t>湿地35.93公顷，占比0.13%</w:t>
      </w:r>
      <w:r>
        <w:rPr>
          <w:rFonts w:hint="eastAsia"/>
        </w:rPr>
        <w:t>；</w:t>
      </w:r>
      <w:r>
        <w:t>农业设施建设用地270.43公顷，占比0.95%</w:t>
      </w:r>
      <w:r>
        <w:rPr>
          <w:rFonts w:hint="eastAsia"/>
        </w:rPr>
        <w:t>；</w:t>
      </w:r>
      <w:r>
        <w:t>城镇用地306.08公顷，占比1.08%</w:t>
      </w:r>
      <w:r>
        <w:rPr>
          <w:rFonts w:hint="eastAsia"/>
        </w:rPr>
        <w:t>；</w:t>
      </w:r>
      <w:r>
        <w:t>村庄用地783.55公顷，占比2.77%</w:t>
      </w:r>
      <w:r>
        <w:rPr>
          <w:rFonts w:hint="eastAsia"/>
        </w:rPr>
        <w:t>；</w:t>
      </w:r>
      <w:r>
        <w:t>区域基础设施用地116.64公顷，占比0.41%</w:t>
      </w:r>
      <w:r>
        <w:rPr>
          <w:rFonts w:hint="eastAsia"/>
        </w:rPr>
        <w:t>；</w:t>
      </w:r>
      <w:r>
        <w:t>其他建设用地58.82公顷，占比0.21%</w:t>
      </w:r>
      <w:r>
        <w:rPr>
          <w:rFonts w:hint="eastAsia"/>
        </w:rPr>
        <w:t>；</w:t>
      </w:r>
      <w:r>
        <w:t>陆地水域718.63公顷，占比2.54%</w:t>
      </w:r>
      <w:r>
        <w:rPr>
          <w:rFonts w:hint="eastAsia"/>
        </w:rPr>
        <w:t>；</w:t>
      </w:r>
      <w:r>
        <w:t>其他土地367.75公顷，占比1.30%。</w:t>
      </w:r>
    </w:p>
    <w:p>
      <w:pPr>
        <w:pStyle w:val="3"/>
      </w:pPr>
      <w:bookmarkStart w:id="12" w:name="_Toc185606039"/>
      <w:r>
        <w:rPr>
          <w:rFonts w:hint="eastAsia"/>
        </w:rPr>
        <w:t>资源环境承载</w:t>
      </w:r>
      <w:r>
        <w:t>能</w:t>
      </w:r>
      <w:r>
        <w:rPr>
          <w:rFonts w:hint="eastAsia"/>
        </w:rPr>
        <w:t>力和国土空间开发适宜性评价</w:t>
      </w:r>
      <w:bookmarkEnd w:id="12"/>
    </w:p>
    <w:p>
      <w:pPr>
        <w:pStyle w:val="4"/>
      </w:pPr>
      <w:r>
        <w:rPr>
          <w:rFonts w:hint="eastAsia"/>
        </w:rPr>
        <w:t>生态保护重要性评价</w:t>
      </w:r>
    </w:p>
    <w:p>
      <w:pPr>
        <w:spacing w:before="65"/>
        <w:ind w:firstLine="640"/>
      </w:pPr>
      <w:r>
        <w:rPr>
          <w:rFonts w:hint="eastAsia"/>
          <w:lang w:bidi="ar"/>
        </w:rPr>
        <w:t>全镇生态保护极重要区面积为</w:t>
      </w:r>
      <w:r>
        <w:rPr>
          <w:lang w:bidi="ar"/>
        </w:rPr>
        <w:t>168.03平方公里，占全镇面积的59.32%；生态保护重要区面积为51.84平方公里，占全镇面积的18.30%。空间分布上，全镇生态保护重要性评价</w:t>
      </w:r>
      <w:r>
        <w:rPr>
          <w:rFonts w:hint="eastAsia"/>
          <w:lang w:bidi="ar"/>
        </w:rPr>
        <w:t>重要和极重要</w:t>
      </w:r>
      <w:r>
        <w:rPr>
          <w:lang w:bidi="ar"/>
        </w:rPr>
        <w:t>区域主要集中在北部山区。</w:t>
      </w:r>
    </w:p>
    <w:p>
      <w:pPr>
        <w:pStyle w:val="4"/>
      </w:pPr>
      <w:r>
        <w:rPr>
          <w:rFonts w:hint="eastAsia"/>
        </w:rPr>
        <w:t>农业生产适宜性评价</w:t>
      </w:r>
    </w:p>
    <w:p>
      <w:pPr>
        <w:spacing w:before="65"/>
        <w:ind w:firstLine="640"/>
      </w:pPr>
      <w:r>
        <w:rPr>
          <w:rFonts w:hint="eastAsia"/>
          <w:lang w:bidi="ar"/>
        </w:rPr>
        <w:t>全镇农业生产（种植业）适宜区面积为</w:t>
      </w:r>
      <w:r>
        <w:rPr>
          <w:lang w:bidi="ar"/>
        </w:rPr>
        <w:t>48.88平方公里，占全镇面积的17.26%；农业生产不适宜区面积为52.06平方公里，占全镇面积的18.38%。空间分布上，农业生产适宜区主要分布在镇域南部平原区域，包括樊岗村、闫岗村、茨园村等区域；农业生产不适宜区主要分布在镇域北部山区</w:t>
      </w:r>
      <w:r>
        <w:rPr>
          <w:rFonts w:hint="eastAsia"/>
          <w:lang w:bidi="ar"/>
        </w:rPr>
        <w:t>。</w:t>
      </w:r>
    </w:p>
    <w:p>
      <w:pPr>
        <w:pStyle w:val="4"/>
      </w:pPr>
      <w:r>
        <w:rPr>
          <w:rFonts w:hint="eastAsia"/>
        </w:rPr>
        <w:t>城镇建设适宜性评价</w:t>
      </w:r>
    </w:p>
    <w:p>
      <w:pPr>
        <w:spacing w:before="65"/>
        <w:ind w:firstLine="640"/>
      </w:pPr>
      <w:r>
        <w:rPr>
          <w:rFonts w:hint="eastAsia"/>
          <w:lang w:bidi="ar"/>
        </w:rPr>
        <w:t>全镇城镇建设适宜区面积为</w:t>
      </w:r>
      <w:r>
        <w:rPr>
          <w:lang w:bidi="ar"/>
        </w:rPr>
        <w:t>35.74平方公里，占全镇面积的12.62%；城镇建设不适宜区面积为79.52平方公里，占全镇面积的28.07%。空间分布上，城镇建设适宜区主要分布在镇区及南侧区域</w:t>
      </w:r>
      <w:r>
        <w:rPr>
          <w:rFonts w:hint="eastAsia"/>
          <w:lang w:bidi="ar"/>
        </w:rPr>
        <w:t>。</w:t>
      </w:r>
    </w:p>
    <w:p>
      <w:pPr>
        <w:pStyle w:val="3"/>
      </w:pPr>
      <w:bookmarkStart w:id="13" w:name="_Toc185606040"/>
      <w:r>
        <w:rPr>
          <w:rFonts w:hint="eastAsia"/>
        </w:rPr>
        <w:t>发展现状与发展成效</w:t>
      </w:r>
      <w:bookmarkEnd w:id="13"/>
    </w:p>
    <w:p>
      <w:pPr>
        <w:pStyle w:val="4"/>
      </w:pPr>
      <w:r>
        <w:rPr>
          <w:rFonts w:hint="eastAsia"/>
        </w:rPr>
        <w:t>发展现状与成效</w:t>
      </w:r>
    </w:p>
    <w:p>
      <w:pPr>
        <w:spacing w:before="65"/>
        <w:ind w:firstLine="640"/>
      </w:pPr>
      <w:r>
        <w:rPr>
          <w:rFonts w:hint="eastAsia"/>
        </w:rPr>
        <w:t>河南省第一批“美丽小镇”，中州名镇，内乡县“畜牧大镇”。</w:t>
      </w:r>
      <w:r>
        <w:t>2020年6月20日，马山口镇被命名为河南省第一批“美丽小镇”。</w:t>
      </w:r>
    </w:p>
    <w:p>
      <w:pPr>
        <w:spacing w:before="65"/>
        <w:ind w:firstLine="640"/>
      </w:pPr>
      <w:r>
        <w:rPr>
          <w:rFonts w:hint="eastAsia"/>
        </w:rPr>
        <w:t>特色产业方面，初步形成了</w:t>
      </w:r>
      <w:r>
        <w:t>4个特色产业示范基地带，全镇食用菌种植360万袋，林果种植1.5万余亩，成立家庭农场、农民专业合作社等新型经营主体84家。在集镇南环线两侧新发展树状月季种植2500余亩，月季生态产业园初具规模。</w:t>
      </w:r>
    </w:p>
    <w:p>
      <w:pPr>
        <w:spacing w:before="65"/>
        <w:ind w:firstLine="640"/>
      </w:pPr>
      <w:r>
        <w:rPr>
          <w:rFonts w:hint="eastAsia"/>
        </w:rPr>
        <w:t>红色旅游方面，红色旅游基地建设项目成效初显，原豫西六地委、六行署、六军分区旧址在主题教育活动中，累计接待县内外党政及社会团体参观学习</w:t>
      </w:r>
      <w:r>
        <w:t>30多批次。</w:t>
      </w:r>
    </w:p>
    <w:p>
      <w:pPr>
        <w:spacing w:before="65"/>
        <w:ind w:firstLine="640"/>
      </w:pPr>
      <w:r>
        <w:rPr>
          <w:rFonts w:hint="eastAsia"/>
        </w:rPr>
        <w:t>生态宜居方面，不断加大镇村基础设施建设，实施了以“四坝五桥六路两中心两社区”为主的集镇改造建设工程；镇综合便民服务中心和镇文化活动中心全部改造完成并投入使用，郑湾社区、河西社区相继建成使用，趋于成熟。以默河水环境治理为契机，将集镇街道全部进行污水管网铺设改造，日处理</w:t>
      </w:r>
      <w:r>
        <w:t>5000吨的集镇污水处理厂已进入设备调试阶段，即将正式投入使用。随着集镇框架的逐渐拉大，集镇品位不断提升，更加生态宜居，辐射带动附近两县五镇6000余人前来务工就业，集镇常驻人口达到3万余人</w:t>
      </w:r>
      <w:r>
        <w:rPr>
          <w:rFonts w:hint="eastAsia"/>
        </w:rPr>
        <w:t>。</w:t>
      </w:r>
    </w:p>
    <w:p>
      <w:pPr>
        <w:pStyle w:val="3"/>
      </w:pPr>
      <w:bookmarkStart w:id="14" w:name="_Toc185606041"/>
      <w:r>
        <w:rPr>
          <w:rFonts w:hint="eastAsia"/>
        </w:rPr>
        <w:t>主要问题和风险挑战</w:t>
      </w:r>
      <w:bookmarkEnd w:id="14"/>
    </w:p>
    <w:p>
      <w:pPr>
        <w:pStyle w:val="4"/>
      </w:pPr>
      <w:r>
        <w:rPr>
          <w:rFonts w:hint="eastAsia"/>
        </w:rPr>
        <w:t>主要问题</w:t>
      </w:r>
    </w:p>
    <w:p>
      <w:pPr>
        <w:spacing w:before="65"/>
        <w:ind w:firstLine="640"/>
      </w:pPr>
      <w:r>
        <w:rPr>
          <w:rFonts w:hint="eastAsia"/>
        </w:rPr>
        <w:t>镇域公共服务设施和基础设施建设有待加强。全镇公共服务设施配置尚可，但缺少养老、体育、公园绿地等。基础设施不够完善，排污、污水处理、农业基础设施等方面存在不足，基础设施建设有待进一步加强。</w:t>
      </w:r>
    </w:p>
    <w:p>
      <w:pPr>
        <w:spacing w:before="65"/>
        <w:ind w:firstLine="640"/>
      </w:pPr>
      <w:r>
        <w:rPr>
          <w:rFonts w:hint="eastAsia"/>
        </w:rPr>
        <w:t>资源丰富，旅游发展动力不足。马山口镇拥有丰富的红色旅游资源和生态资源，发展潜力巨大，但目前第三产业占比较小，旅游发展动力不足。马山口镇全域旅游发展定位不清晰，旅游配套设施缺乏，未针对目标人群形成特定的旅游线路，导致旅游发展有限。一二三产现状融合发展较弱，资源缺乏统一整合，旅游产业发展急需突破。</w:t>
      </w:r>
    </w:p>
    <w:p>
      <w:pPr>
        <w:spacing w:before="65"/>
        <w:ind w:firstLine="640"/>
      </w:pPr>
      <w:r>
        <w:rPr>
          <w:rFonts w:hint="eastAsia"/>
        </w:rPr>
        <w:t>城镇化水平低，人口流出多。</w:t>
      </w:r>
      <w:r>
        <w:t>2020年，马山口镇户籍人口61170人，根据第七次人口普查数据，常住人口42067人，户籍人口与常住人口相对比，人口净流出19103万人，占比高达31.23%。另一方面，2020年马山口镇户籍人口城镇化率为14.52%；常住人口城镇化率为42.79%；低于南阳市50.59%约7.80个百分点，低于河南省55.43%约12.79个百分点。</w:t>
      </w:r>
    </w:p>
    <w:p>
      <w:pPr>
        <w:spacing w:before="65"/>
        <w:ind w:firstLine="640"/>
        <w:rPr>
          <w:lang w:bidi="ar"/>
        </w:rPr>
      </w:pPr>
      <w:r>
        <w:rPr>
          <w:rFonts w:hint="eastAsia"/>
        </w:rPr>
        <w:t>历史文化特色彰显不足，城镇人居环境品质有待提升。马山口镇历史悠久，历为兵家必争之地，文物古迹较多。全镇现共有</w:t>
      </w:r>
      <w:r>
        <w:t>3处省级文物保护单位、5处县级文物保护单位、27处不可移动文物点，但目前整体保护利用和特色章显不足。公园绿地和广场建设均好性不足，公园绿地和广场步行5分钟覆盖率仅为43.57%；社区级文化设施、体育设施、医疗卫生等公共服务设施建设不足，15分钟覆盖率均相对较低</w:t>
      </w:r>
      <w:r>
        <w:rPr>
          <w:rFonts w:hint="eastAsia"/>
          <w:lang w:bidi="ar"/>
        </w:rPr>
        <w:t>。</w:t>
      </w:r>
    </w:p>
    <w:p>
      <w:pPr>
        <w:pStyle w:val="4"/>
      </w:pPr>
      <w:r>
        <w:rPr>
          <w:rFonts w:hint="eastAsia"/>
        </w:rPr>
        <w:t>风险挑战</w:t>
      </w:r>
    </w:p>
    <w:p>
      <w:pPr>
        <w:spacing w:before="65"/>
        <w:ind w:firstLine="640"/>
      </w:pPr>
      <w:r>
        <w:rPr>
          <w:rFonts w:hint="eastAsia"/>
        </w:rPr>
        <w:t>马山口镇中部区域存在地质灾害高风险区，默河、花北河两岸存在崩塌隐患点和滑坡隐患点；这些对马山口镇唐河村、李井村、花北村、杜洛庄村等村庄的生产生活安全存在一定负面影响。</w:t>
      </w:r>
    </w:p>
    <w:p>
      <w:pPr>
        <w:spacing w:before="65"/>
        <w:ind w:firstLine="640"/>
        <w:rPr>
          <w:lang w:bidi="ar"/>
        </w:rPr>
      </w:pPr>
      <w:r>
        <w:rPr>
          <w:rFonts w:hint="eastAsia"/>
          <w:lang w:bidi="ar"/>
        </w:rPr>
        <w:t>镇区北侧有化工产业，存在一定安全隐患。</w:t>
      </w:r>
    </w:p>
    <w:p>
      <w:pPr>
        <w:spacing w:before="65"/>
        <w:ind w:firstLine="640"/>
        <w:rPr>
          <w:lang w:bidi="ar"/>
        </w:rPr>
      </w:pPr>
      <w:r>
        <w:rPr>
          <w:rFonts w:hint="eastAsia"/>
          <w:lang w:bidi="ar"/>
        </w:rPr>
        <w:t>口外流及人口老龄化风险。随着社会经济发展，区域要素流动将更加频繁，人口外流、人口老龄化对马山口镇未来城镇化率和产业发展将产生重大影响，马山口镇社会福利体系构建也存在一定压力。</w:t>
      </w:r>
    </w:p>
    <w:p>
      <w:pPr>
        <w:pStyle w:val="3"/>
      </w:pPr>
      <w:bookmarkStart w:id="15" w:name="_Toc185606042"/>
      <w:r>
        <w:rPr>
          <w:rFonts w:hint="eastAsia"/>
        </w:rPr>
        <w:t>区域重大战略、上位规划</w:t>
      </w:r>
      <w:bookmarkEnd w:id="15"/>
    </w:p>
    <w:p>
      <w:pPr>
        <w:pStyle w:val="4"/>
      </w:pPr>
      <w:r>
        <w:rPr>
          <w:rFonts w:hint="eastAsia"/>
        </w:rPr>
        <w:t>区域重大战略</w:t>
      </w:r>
    </w:p>
    <w:p>
      <w:pPr>
        <w:ind w:firstLine="640"/>
      </w:pPr>
      <w:r>
        <w:rPr>
          <w:rFonts w:hint="eastAsia"/>
        </w:rPr>
        <w:t>1</w:t>
      </w:r>
      <w:r>
        <w:t>.</w:t>
      </w:r>
      <w:r>
        <w:rPr>
          <w:rFonts w:hint="eastAsia"/>
        </w:rPr>
        <w:t>主体功能区战略</w:t>
      </w:r>
    </w:p>
    <w:p>
      <w:pPr>
        <w:ind w:firstLine="640"/>
      </w:pPr>
      <w:r>
        <w:rPr>
          <w:rFonts w:hint="eastAsia"/>
        </w:rPr>
        <w:t>河南省国土空间规划中确定，内乡县为国家级重点生态功能区；南阳市国土空间总体规划中确定，马山口镇主体功能为城市化地区、能源资源富集区、文化资源富集区</w:t>
      </w:r>
      <w:r>
        <w:t>。主体功能区是立足资源环境承载能力、经济社会发展水平、战略区位等综合比较优势，划定的具有某种特定主体功能、实施差别化管控的地域空间单元。重点生态功能区是以保障国家和区域生态安全、维护生态系统服务功能、推进山水林田湖草系统治理、保持并提高生态产品供给能力、引领生态文明建设、践行“两山”理念为主要功能的地域空间。</w:t>
      </w:r>
    </w:p>
    <w:p>
      <w:pPr>
        <w:ind w:firstLine="640"/>
      </w:pPr>
      <w:r>
        <w:rPr>
          <w:rFonts w:hint="eastAsia"/>
        </w:rPr>
        <w:t>在主体功能区战略中，马山口镇的主要任务是推进山水林田湖草系统治理，提高生态产品供给能力。</w:t>
      </w:r>
    </w:p>
    <w:p>
      <w:pPr>
        <w:ind w:firstLine="640"/>
      </w:pPr>
      <w:r>
        <w:rPr>
          <w:rFonts w:hint="eastAsia"/>
        </w:rPr>
        <w:t>2</w:t>
      </w:r>
      <w:r>
        <w:t>.</w:t>
      </w:r>
      <w:r>
        <w:rPr>
          <w:rFonts w:hint="eastAsia"/>
        </w:rPr>
        <w:t>新型城镇化战略</w:t>
      </w:r>
    </w:p>
    <w:p>
      <w:pPr>
        <w:ind w:firstLine="640"/>
      </w:pPr>
      <w:r>
        <w:rPr>
          <w:rFonts w:hint="eastAsia"/>
        </w:rPr>
        <w:t>河南省新型城镇化战略提出构建大中小城市协调发展的城镇化新格局，加快县域经济高质量发展，推动农业转移人口全面融入城市，建设宜居韧性智慧现代化城市，促进城乡深度融合发展，推进城市治理体系和治理能力现代化。在促进城乡深度融合发展中提出充分发挥试验区带动效应，合理配置城乡发展要素，深入开展乡村建设行动，扎实推动城乡共同富裕。</w:t>
      </w:r>
    </w:p>
    <w:p>
      <w:pPr>
        <w:ind w:firstLine="640"/>
      </w:pPr>
      <w:r>
        <w:rPr>
          <w:rFonts w:hint="eastAsia"/>
        </w:rPr>
        <w:t>在新型城镇化战略中，马山口镇的主要任务是深入开展乡村建设行动，扎实推动城乡共同富裕。</w:t>
      </w:r>
    </w:p>
    <w:p>
      <w:pPr>
        <w:ind w:firstLine="640"/>
      </w:pPr>
      <w:r>
        <w:rPr>
          <w:rFonts w:hint="eastAsia"/>
        </w:rPr>
        <w:t>3</w:t>
      </w:r>
      <w:r>
        <w:t>.乡村振兴战略</w:t>
      </w:r>
    </w:p>
    <w:p>
      <w:pPr>
        <w:ind w:firstLine="640"/>
      </w:pPr>
      <w:r>
        <w:rPr>
          <w:rFonts w:hint="eastAsia"/>
        </w:rPr>
        <w:t>河南省“十四五”乡村振兴和农业农村现代化规划提出，提升粮食等重要农产品核心竞争力，推进农业供给侧结构性改革，构建乡村产业体系，推进创新驱动发展，推进农业农村绿色发展，巩固拓展脱贫攻坚成果同乡村振兴有效衔接，实施乡村建设行动，夯实乡村治理根基，推进城乡融合发展。</w:t>
      </w:r>
    </w:p>
    <w:p>
      <w:pPr>
        <w:ind w:firstLine="640"/>
      </w:pPr>
      <w:r>
        <w:rPr>
          <w:rFonts w:hint="eastAsia"/>
        </w:rPr>
        <w:t>在乡村振兴战略中，马山口镇应强化现代粮食产业，做强现代畜牧业，发展优势特色农业，构建乡村产业体系，加强乡村建设行动，科学编制村庄规划，整治提升人居环境，建设美丽乡村。</w:t>
      </w:r>
    </w:p>
    <w:p>
      <w:pPr>
        <w:pStyle w:val="4"/>
      </w:pPr>
      <w:r>
        <w:rPr>
          <w:rFonts w:hint="eastAsia"/>
        </w:rPr>
        <w:t>上位规划</w:t>
      </w:r>
    </w:p>
    <w:p>
      <w:pPr>
        <w:ind w:firstLine="640"/>
      </w:pPr>
      <w:r>
        <w:rPr>
          <w:rFonts w:hint="eastAsia"/>
        </w:rPr>
        <w:t>1</w:t>
      </w:r>
      <w:r>
        <w:t>.</w:t>
      </w:r>
      <w:r>
        <w:rPr>
          <w:rFonts w:hint="eastAsia"/>
        </w:rPr>
        <w:t>内乡县国民经济和社会发展第十四个五年规划和二</w:t>
      </w:r>
      <w:r>
        <w:rPr>
          <w:rFonts w:hint="eastAsia" w:ascii="微软雅黑" w:hAnsi="微软雅黑" w:eastAsia="微软雅黑" w:cs="微软雅黑"/>
        </w:rPr>
        <w:t>〇</w:t>
      </w:r>
      <w:r>
        <w:rPr>
          <w:rFonts w:hint="eastAsia" w:ascii="仿宋_GB2312" w:hAnsi="仿宋_GB2312" w:cs="仿宋_GB2312"/>
        </w:rPr>
        <w:t>三五年远景目标纲要</w:t>
      </w:r>
    </w:p>
    <w:p>
      <w:pPr>
        <w:ind w:firstLine="640"/>
      </w:pPr>
      <w:r>
        <w:rPr>
          <w:rFonts w:hint="eastAsia"/>
        </w:rPr>
        <w:t>（</w:t>
      </w:r>
      <w:r>
        <w:t>1）县级发展定位与2035年远景目标</w:t>
      </w:r>
    </w:p>
    <w:p>
      <w:pPr>
        <w:ind w:firstLine="640"/>
      </w:pPr>
      <w:r>
        <w:rPr>
          <w:rFonts w:hint="eastAsia"/>
        </w:rPr>
        <w:t>发展定位：“十四五”时期，全面开启内乡现代化建设新征程，推动经济社会高质量发展，必须坚持实施“两县一中心”的战略定位——全国现代猪产业第一县；县域治理“三起来”示范县；区域性物流中心。</w:t>
      </w:r>
    </w:p>
    <w:p>
      <w:pPr>
        <w:ind w:firstLine="640"/>
      </w:pPr>
      <w:r>
        <w:t>2035年远景目标：全国经济强县、全国乡村振兴先进县、全国县域社会治理现代化先进县。</w:t>
      </w:r>
    </w:p>
    <w:p>
      <w:pPr>
        <w:ind w:firstLine="640"/>
      </w:pPr>
      <w:r>
        <w:rPr>
          <w:rFonts w:hint="eastAsia"/>
        </w:rPr>
        <w:t>（</w:t>
      </w:r>
      <w:r>
        <w:t>2）对马山口镇的发展指引</w:t>
      </w:r>
    </w:p>
    <w:p>
      <w:pPr>
        <w:ind w:firstLine="640"/>
      </w:pPr>
      <w:r>
        <w:rPr>
          <w:rFonts w:hint="eastAsia"/>
        </w:rPr>
        <w:t>打造农业产业强镇。重点推进赤眉、余关、赵店、桃溪、马山口、王店等乡镇，以优质林果、优质蔬菜、食用菌等为特色主导产业，申报农业产业强镇项目。到</w:t>
      </w:r>
      <w:r>
        <w:t>2025年，新创2-3个集标准原料基地、集约加工转化、区域主导产业、紧密利益联结于一体的农业产业强镇。</w:t>
      </w:r>
    </w:p>
    <w:p>
      <w:pPr>
        <w:ind w:firstLine="640"/>
      </w:pPr>
      <w:r>
        <w:rPr>
          <w:rFonts w:hint="eastAsia"/>
        </w:rPr>
        <w:t>积极发展中心镇。赋予马山口镇、赤眉镇、师岗镇等人口和经济实力较强、发展具有特色的中心镇更多县级经济社会管理权限，提升中心镇辐射带动周边能力。马山口镇积极发挥红色旅游资源、中药材种植资源等优势，积极发展旅游产业、中药材种植产业。</w:t>
      </w:r>
    </w:p>
    <w:p>
      <w:pPr>
        <w:ind w:firstLine="640"/>
      </w:pPr>
      <w:r>
        <w:rPr>
          <w:rFonts w:hint="eastAsia"/>
        </w:rPr>
        <w:t>2</w:t>
      </w:r>
      <w:r>
        <w:t>.内乡县</w:t>
      </w:r>
      <w:r>
        <w:rPr>
          <w:rFonts w:hint="eastAsia"/>
        </w:rPr>
        <w:t>国土空间总体规划（2</w:t>
      </w:r>
      <w:r>
        <w:t>021-2035</w:t>
      </w:r>
      <w:r>
        <w:rPr>
          <w:rFonts w:hint="eastAsia"/>
        </w:rPr>
        <w:t>年）</w:t>
      </w:r>
    </w:p>
    <w:p>
      <w:pPr>
        <w:ind w:firstLine="640"/>
      </w:pPr>
      <w:r>
        <w:rPr>
          <w:rFonts w:hint="eastAsia"/>
        </w:rPr>
        <w:t>（</w:t>
      </w:r>
      <w:r>
        <w:t>1）县级发展定位与城市性质</w:t>
      </w:r>
    </w:p>
    <w:p>
      <w:pPr>
        <w:ind w:firstLine="640"/>
      </w:pPr>
      <w:r>
        <w:rPr>
          <w:rFonts w:hint="eastAsia"/>
        </w:rPr>
        <w:t>发展定位：华夏生猪产业第一县、农牧装备之都、工业强县、农牧大县和文旅名县</w:t>
      </w:r>
    </w:p>
    <w:p>
      <w:pPr>
        <w:ind w:firstLine="640"/>
      </w:pPr>
      <w:r>
        <w:rPr>
          <w:rFonts w:hint="eastAsia"/>
        </w:rPr>
        <w:t>城市性质：豫陕鄂省际重要的交通枢纽、物流基地，装备制造、农牧和特色农产品加工基地；国家衙署文化（廉政文化、官德文化）标识地，宜居宜业宜游的现代化城市。</w:t>
      </w:r>
    </w:p>
    <w:p>
      <w:pPr>
        <w:ind w:firstLine="640"/>
      </w:pPr>
      <w:r>
        <w:rPr>
          <w:rFonts w:hint="eastAsia"/>
        </w:rPr>
        <w:t>（</w:t>
      </w:r>
      <w:r>
        <w:t>2）对马山口镇的指引</w:t>
      </w:r>
    </w:p>
    <w:p>
      <w:pPr>
        <w:ind w:firstLine="640"/>
      </w:pPr>
      <w:r>
        <w:rPr>
          <w:rFonts w:hint="eastAsia"/>
        </w:rPr>
        <w:t>在内乡县国土空间总体规划（</w:t>
      </w:r>
      <w:r>
        <w:t>2021-2035年）中，</w:t>
      </w:r>
      <w:r>
        <w:rPr>
          <w:rFonts w:hint="eastAsia"/>
        </w:rPr>
        <w:t>马山口镇主体功能为城市化地区、能源资源富集区、文化资源富集区。马山口镇为综合型城镇，重点发展化工、中草药加工、商贸物流、文旅康养等产业；城镇人口规模为</w:t>
      </w:r>
      <w:r>
        <w:t>2.12万人。围绕以集中发展，扩大规模、增强实力、拓展空间、优化环境为原则，与周边小城镇协调发展，基础设施和公共设施与周边村镇实现共建、共享，县域城镇规划体系确立的一定区域的经济、文化、服务功能的镇级小城市。</w:t>
      </w:r>
      <w:r>
        <w:rPr>
          <w:rFonts w:hint="eastAsia"/>
        </w:rPr>
        <w:t>耕地保有量为</w:t>
      </w:r>
      <w:r>
        <w:t>5.70万亩，永久基本农田为</w:t>
      </w:r>
      <w:r>
        <w:rPr>
          <w:rFonts w:hint="eastAsia"/>
        </w:rPr>
        <w:t>5</w:t>
      </w:r>
      <w:r>
        <w:t>.40万亩，生态保护红线面积为7532.41公顷，城镇开发边界镇区主要为现状城镇用地，城镇开发边界扩展倍数为1.0</w:t>
      </w:r>
      <w:r>
        <w:rPr>
          <w:rFonts w:hint="eastAsia"/>
        </w:rPr>
        <w:t>。</w:t>
      </w:r>
    </w:p>
    <w:p>
      <w:pPr>
        <w:spacing w:before="65"/>
        <w:ind w:firstLine="643"/>
        <w:rPr>
          <w:b/>
          <w:bCs/>
        </w:rPr>
      </w:pPr>
      <w:r>
        <w:rPr>
          <w:b/>
          <w:bCs/>
        </w:rPr>
        <w:br w:type="page"/>
      </w:r>
    </w:p>
    <w:p>
      <w:pPr>
        <w:spacing w:before="65"/>
        <w:ind w:firstLine="643"/>
        <w:rPr>
          <w:b/>
          <w:bCs/>
        </w:rPr>
      </w:pPr>
    </w:p>
    <w:p>
      <w:pPr>
        <w:pStyle w:val="2"/>
        <w:spacing w:before="489" w:beforeLines="150" w:after="489" w:afterLines="150"/>
      </w:pPr>
      <w:bookmarkStart w:id="16" w:name="_Toc185606043"/>
      <w:bookmarkStart w:id="17" w:name="_Toc221004616"/>
      <w:bookmarkStart w:id="18" w:name="_Toc211258491"/>
      <w:r>
        <w:rPr>
          <w:rFonts w:hint="eastAsia"/>
        </w:rPr>
        <w:t>发展定位与目标</w:t>
      </w:r>
      <w:bookmarkEnd w:id="16"/>
      <w:bookmarkEnd w:id="17"/>
      <w:bookmarkEnd w:id="18"/>
    </w:p>
    <w:p>
      <w:pPr>
        <w:pStyle w:val="3"/>
      </w:pPr>
      <w:bookmarkStart w:id="19" w:name="_Toc185606044"/>
      <w:r>
        <w:rPr>
          <w:rFonts w:hint="eastAsia"/>
        </w:rPr>
        <w:t>发展定位</w:t>
      </w:r>
      <w:bookmarkEnd w:id="19"/>
    </w:p>
    <w:p>
      <w:pPr>
        <w:pStyle w:val="4"/>
      </w:pPr>
      <w:r>
        <w:rPr>
          <w:rFonts w:hint="eastAsia"/>
        </w:rPr>
        <w:t>落实乡镇主体功能</w:t>
      </w:r>
    </w:p>
    <w:p>
      <w:pPr>
        <w:spacing w:before="65"/>
        <w:ind w:firstLine="640"/>
        <w:rPr>
          <w:u w:val="single"/>
        </w:rPr>
      </w:pPr>
      <w:r>
        <w:rPr>
          <w:rFonts w:hint="eastAsia"/>
          <w:u w:val="single"/>
          <w:lang w:bidi="ar"/>
        </w:rPr>
        <w:t>马山口镇为城市化地区</w:t>
      </w:r>
      <w:r>
        <w:rPr>
          <w:rFonts w:hint="eastAsia"/>
          <w:u w:val="single"/>
        </w:rPr>
        <w:t>。</w:t>
      </w:r>
      <w:bookmarkStart w:id="20" w:name="_Hlk200561725"/>
      <w:r>
        <w:rPr>
          <w:rFonts w:hint="eastAsia"/>
        </w:rPr>
        <w:t>着力完善政策配套，优化空间结构，合理提高国土开发强度，引导城镇人口集聚，提高土地利用效率，提升城镇服务功能</w:t>
      </w:r>
      <w:bookmarkEnd w:id="20"/>
      <w:r>
        <w:rPr>
          <w:rFonts w:hint="eastAsia"/>
        </w:rPr>
        <w:t>。</w:t>
      </w:r>
    </w:p>
    <w:p>
      <w:pPr>
        <w:pStyle w:val="4"/>
      </w:pPr>
      <w:r>
        <w:rPr>
          <w:rFonts w:hint="eastAsia"/>
        </w:rPr>
        <w:t>发展定位</w:t>
      </w:r>
    </w:p>
    <w:p>
      <w:pPr>
        <w:spacing w:before="65"/>
        <w:ind w:firstLine="640"/>
      </w:pPr>
      <w:bookmarkStart w:id="21" w:name="_Hlk200557050"/>
      <w:r>
        <w:rPr>
          <w:rFonts w:hint="eastAsia"/>
        </w:rPr>
        <w:t>以生态种植、养殖和高效农业为核心，以烟、果、猪、药为特色，全县生态宜居、绿色发展、红色传承、服务周边乡镇的</w:t>
      </w:r>
      <w:bookmarkEnd w:id="21"/>
      <w:r>
        <w:rPr>
          <w:rFonts w:hint="eastAsia"/>
        </w:rPr>
        <w:t>内乡北部重点乡镇。</w:t>
      </w:r>
    </w:p>
    <w:p>
      <w:pPr>
        <w:pStyle w:val="3"/>
      </w:pPr>
      <w:bookmarkStart w:id="22" w:name="_Toc185606045"/>
      <w:r>
        <w:rPr>
          <w:rFonts w:hint="eastAsia"/>
        </w:rPr>
        <w:t>发展目标</w:t>
      </w:r>
      <w:bookmarkEnd w:id="22"/>
    </w:p>
    <w:p>
      <w:pPr>
        <w:pStyle w:val="4"/>
      </w:pPr>
      <w:r>
        <w:rPr>
          <w:rFonts w:hint="eastAsia"/>
        </w:rPr>
        <w:t>发展目标</w:t>
      </w:r>
    </w:p>
    <w:p>
      <w:pPr>
        <w:ind w:firstLine="640"/>
      </w:pPr>
      <w:r>
        <w:t>1.2025</w:t>
      </w:r>
      <w:r>
        <w:rPr>
          <w:rFonts w:hint="eastAsia"/>
        </w:rPr>
        <w:t>年发展目标</w:t>
      </w:r>
    </w:p>
    <w:p>
      <w:pPr>
        <w:ind w:firstLine="640"/>
      </w:pPr>
      <w:r>
        <w:rPr>
          <w:rFonts w:hint="eastAsia"/>
        </w:rPr>
        <w:t>生态保护和生态修复取得初步成效；初步形成绿色特色、开放创新、三产融合的现代产业体系；乡村振兴取得有效推进，初步建成</w:t>
      </w:r>
      <w:bookmarkStart w:id="23" w:name="_Hlk143791640"/>
      <w:r>
        <w:rPr>
          <w:rFonts w:hint="eastAsia"/>
        </w:rPr>
        <w:t>生态产业特色突出、功能服务完善、人居环境优秀的商贸文旅小镇，打造生态养殖、文旅产业基地。</w:t>
      </w:r>
      <w:bookmarkEnd w:id="23"/>
    </w:p>
    <w:p>
      <w:pPr>
        <w:ind w:firstLine="640"/>
      </w:pPr>
      <w:r>
        <w:t>2.</w:t>
      </w:r>
      <w:r>
        <w:rPr>
          <w:rFonts w:hint="eastAsia"/>
        </w:rPr>
        <w:t>2035年发展目标</w:t>
      </w:r>
    </w:p>
    <w:p>
      <w:pPr>
        <w:ind w:firstLine="640"/>
      </w:pPr>
      <w:r>
        <w:rPr>
          <w:rFonts w:hint="eastAsia"/>
        </w:rPr>
        <w:t>生态保护和生态修复取得显著成效；基本形成绿色特色、开放创新、三产融合的现代产业体系；乡村振兴取得</w:t>
      </w:r>
      <w:r>
        <w:t>重大进展</w:t>
      </w:r>
      <w:r>
        <w:rPr>
          <w:rFonts w:hint="eastAsia"/>
        </w:rPr>
        <w:t>，生态产业特色突出、功能服务完善，整合农副产品加工、畜牧养殖、商贸文化、生态旅游等产业，打造内乡县北部区域综合服务中心。</w:t>
      </w:r>
    </w:p>
    <w:p>
      <w:pPr>
        <w:pStyle w:val="4"/>
      </w:pPr>
      <w:r>
        <w:rPr>
          <w:rFonts w:hint="eastAsia"/>
        </w:rPr>
        <w:t>规划指标体系</w:t>
      </w:r>
    </w:p>
    <w:p>
      <w:pPr>
        <w:spacing w:before="65"/>
        <w:ind w:firstLine="640"/>
      </w:pPr>
      <w:bookmarkStart w:id="24" w:name="_Hlk152769328"/>
      <w:r>
        <w:rPr>
          <w:rFonts w:hint="eastAsia"/>
        </w:rPr>
        <w:t>全镇国土空间规划指标体系涉及空间底线、空间结构与效率以及空间品质，共三大类</w:t>
      </w:r>
      <w:r>
        <w:t>17</w:t>
      </w:r>
      <w:r>
        <w:rPr>
          <w:rFonts w:hint="eastAsia"/>
        </w:rPr>
        <w:t>项，其中约束性指标</w:t>
      </w:r>
      <w:r>
        <w:t>7</w:t>
      </w:r>
      <w:r>
        <w:rPr>
          <w:rFonts w:hint="eastAsia"/>
        </w:rPr>
        <w:t>项，预期性指标</w:t>
      </w:r>
      <w:r>
        <w:t>12</w:t>
      </w:r>
      <w:r>
        <w:rPr>
          <w:rFonts w:hint="eastAsia"/>
        </w:rPr>
        <w:t>项。指标体系基于2</w:t>
      </w:r>
      <w:r>
        <w:t>020</w:t>
      </w:r>
      <w:r>
        <w:rPr>
          <w:rFonts w:hint="eastAsia"/>
        </w:rPr>
        <w:t>年为基期值，提出2</w:t>
      </w:r>
      <w:r>
        <w:t>025</w:t>
      </w:r>
      <w:r>
        <w:rPr>
          <w:rFonts w:hint="eastAsia"/>
        </w:rPr>
        <w:t>年和2</w:t>
      </w:r>
      <w:r>
        <w:t>035</w:t>
      </w:r>
      <w:r>
        <w:rPr>
          <w:rFonts w:hint="eastAsia"/>
        </w:rPr>
        <w:t>年目标值</w:t>
      </w:r>
      <w:r>
        <w:t>。</w:t>
      </w:r>
      <w:r>
        <w:rPr>
          <w:rFonts w:hint="eastAsia"/>
        </w:rPr>
        <w:t>详见附表</w:t>
      </w:r>
      <w:r>
        <w:t>1</w:t>
      </w:r>
      <w:r>
        <w:rPr>
          <w:rFonts w:hint="eastAsia"/>
        </w:rPr>
        <w:t>。</w:t>
      </w:r>
    </w:p>
    <w:p>
      <w:pPr>
        <w:pStyle w:val="3"/>
      </w:pPr>
      <w:r>
        <w:rPr>
          <w:rFonts w:hint="eastAsia"/>
        </w:rPr>
        <w:t>国土空间开发保护策略</w:t>
      </w:r>
    </w:p>
    <w:bookmarkEnd w:id="24"/>
    <w:p>
      <w:pPr>
        <w:pStyle w:val="4"/>
      </w:pPr>
      <w:bookmarkStart w:id="25" w:name="_Hlk200561688"/>
      <w:bookmarkStart w:id="26" w:name="_Hlk200529460"/>
      <w:r>
        <w:rPr>
          <w:rFonts w:hint="eastAsia"/>
        </w:rPr>
        <w:t>国土空间开发保护策略</w:t>
      </w:r>
    </w:p>
    <w:bookmarkEnd w:id="25"/>
    <w:p>
      <w:pPr>
        <w:spacing w:before="65"/>
        <w:ind w:firstLine="640"/>
      </w:pPr>
      <w:bookmarkStart w:id="27" w:name="_Hlk200561701"/>
      <w:r>
        <w:rPr>
          <w:rFonts w:hint="eastAsia"/>
        </w:rPr>
        <w:t>落实底线约束，保证三条控制线落地。落实最严格的耕地保护制度、生态保护制度和节约用地制度。科学避让地质灾害风险，构建安全韧性国土空间，维护粮食安全、生态安全。</w:t>
      </w:r>
    </w:p>
    <w:p>
      <w:pPr>
        <w:spacing w:before="65"/>
        <w:ind w:firstLine="640"/>
      </w:pPr>
      <w:r>
        <w:t>优化空间格局</w:t>
      </w:r>
      <w:r>
        <w:rPr>
          <w:rFonts w:hint="eastAsia"/>
        </w:rPr>
        <w:t>，</w:t>
      </w:r>
      <w:r>
        <w:t>构建高效、协调、可持续的国土空间结构</w:t>
      </w:r>
      <w:r>
        <w:rPr>
          <w:rFonts w:hint="eastAsia"/>
        </w:rPr>
        <w:t>，统一协调生产空间、生活空间、生态空间布局。推动产业转型升级，发展特色优势产业和绿色低碳产业，引导产业用地向镇区集中。严控高耗能、高污染项目用地。优化居住用地布局，完善教育、医疗、养老、社区服务、绿地等配套设施，推进城镇老旧小区改造和保障性住房建设。引导农民适度集中居住，改善人居环境。</w:t>
      </w:r>
    </w:p>
    <w:p>
      <w:pPr>
        <w:spacing w:before="65"/>
        <w:ind w:firstLine="640"/>
      </w:pPr>
      <w:r>
        <w:t>强化基础设施和公共服务支撑</w:t>
      </w:r>
      <w:r>
        <w:rPr>
          <w:rFonts w:hint="eastAsia"/>
        </w:rPr>
        <w:t>。构建便捷高效的内外交通网络，完善市政道路、停车场。提升供水、排水（雨污分流）、供电、供气、供热、通信、垃圾处理（分类）、污水处理等设施能力和智慧化水平。加强防洪排涝、抗震、消防、地质灾害防治等设施建设和应急能力。参考城市标准配置教育、医疗卫生、文化体育、社会福利等设施，提升服务能级和覆盖范围。注重社区级公共服务设施的均衡布局和便捷可达。</w:t>
      </w:r>
    </w:p>
    <w:p>
      <w:pPr>
        <w:spacing w:before="65"/>
        <w:ind w:firstLine="640"/>
      </w:pPr>
      <w:r>
        <w:rPr>
          <w:rFonts w:hint="eastAsia"/>
        </w:rPr>
        <w:t>保护马山口镇红色文化遗产。将地方文化元素融入城市设计和建设。控制建筑高度、体量、色彩和风格，形成与自然环境、地域文化相协调的城镇风貌。打造具有识别性的公共空间节点。推动公园绿地与城镇空间有机融合，提升蓝绿空间（水系、绿地）的连通性和亲民性。</w:t>
      </w:r>
    </w:p>
    <w:p>
      <w:pPr>
        <w:spacing w:before="65"/>
        <w:ind w:firstLine="640"/>
      </w:pPr>
      <w:r>
        <w:rPr>
          <w:rFonts w:hint="eastAsia"/>
        </w:rPr>
        <w:t>盘活存量建设用地，推进低效用地再开发、工矿废弃地复垦利用、闲置宅基地和农房盘活。探索点状供地、混合用地等灵活供地方式。</w:t>
      </w:r>
      <w:bookmarkEnd w:id="27"/>
    </w:p>
    <w:bookmarkEnd w:id="26"/>
    <w:p>
      <w:pPr>
        <w:spacing w:before="65"/>
        <w:ind w:firstLine="640"/>
      </w:pPr>
      <w:r>
        <w:br w:type="page"/>
      </w:r>
    </w:p>
    <w:p>
      <w:pPr>
        <w:spacing w:before="65"/>
        <w:ind w:firstLine="640"/>
      </w:pPr>
    </w:p>
    <w:p>
      <w:pPr>
        <w:pStyle w:val="2"/>
        <w:spacing w:before="489" w:beforeLines="150" w:after="489" w:afterLines="150"/>
      </w:pPr>
      <w:bookmarkStart w:id="28" w:name="_Toc221004617"/>
      <w:bookmarkStart w:id="29" w:name="_Hlk150329632"/>
      <w:r>
        <w:rPr>
          <w:rFonts w:hint="eastAsia"/>
        </w:rPr>
        <w:t>底线约束</w:t>
      </w:r>
      <w:bookmarkEnd w:id="28"/>
    </w:p>
    <w:bookmarkEnd w:id="29"/>
    <w:p>
      <w:pPr>
        <w:pStyle w:val="3"/>
      </w:pPr>
      <w:bookmarkStart w:id="30" w:name="_Toc185606049"/>
      <w:bookmarkStart w:id="31" w:name="_Hlk142658448"/>
      <w:r>
        <w:rPr>
          <w:rFonts w:hint="eastAsia"/>
        </w:rPr>
        <w:t>严格落实“三区三线”</w:t>
      </w:r>
      <w:bookmarkEnd w:id="30"/>
    </w:p>
    <w:bookmarkEnd w:id="31"/>
    <w:p>
      <w:pPr>
        <w:pStyle w:val="4"/>
      </w:pPr>
      <w:r>
        <w:rPr>
          <w:rFonts w:hint="eastAsia"/>
        </w:rPr>
        <w:t>严格落实</w:t>
      </w:r>
      <w:r>
        <w:t>耕地和</w:t>
      </w:r>
      <w:r>
        <w:rPr>
          <w:rFonts w:hint="eastAsia"/>
        </w:rPr>
        <w:t>永久基本农田</w:t>
      </w:r>
    </w:p>
    <w:p>
      <w:pPr>
        <w:spacing w:before="65"/>
        <w:ind w:firstLine="640"/>
      </w:pPr>
      <w:r>
        <w:rPr>
          <w:rFonts w:hint="eastAsia"/>
          <w:u w:val="single"/>
        </w:rPr>
        <w:t>根据内乡县级规划传导，马山口镇下达耕地保护目标不低于</w:t>
      </w:r>
      <w:r>
        <w:rPr>
          <w:u w:val="single"/>
        </w:rPr>
        <w:t>3797.91公顷，下达永久基本农田保护面积不低于3599.69公顷。</w:t>
      </w:r>
      <w:r>
        <w:rPr>
          <w:rFonts w:hint="eastAsia"/>
          <w:u w:val="single"/>
        </w:rPr>
        <w:t>马山口镇</w:t>
      </w:r>
      <w:r>
        <w:rPr>
          <w:u w:val="single"/>
        </w:rPr>
        <w:t>实际落实耕地保护面积不低于3797.91公顷，</w:t>
      </w:r>
      <w:r>
        <w:t>根据永久基本农田核实处置成果，实际落实永久基本农田面积3531.26公顷</w:t>
      </w:r>
      <w:r>
        <w:rPr>
          <w:rFonts w:hint="eastAsia"/>
        </w:rPr>
        <w:t>，不足的部分已在内乡县师岗镇等乡镇补足。</w:t>
      </w:r>
    </w:p>
    <w:p>
      <w:pPr>
        <w:pStyle w:val="4"/>
      </w:pPr>
      <w:r>
        <w:rPr>
          <w:rFonts w:hint="eastAsia"/>
        </w:rPr>
        <w:t>严格落实生态保护红线</w:t>
      </w:r>
    </w:p>
    <w:p>
      <w:pPr>
        <w:spacing w:before="65" w:after="120"/>
        <w:ind w:firstLine="640"/>
      </w:pPr>
      <w:bookmarkStart w:id="32" w:name="_Hlk200561840"/>
      <w:bookmarkStart w:id="33" w:name="_Hlk150442329"/>
      <w:r>
        <w:rPr>
          <w:rFonts w:hint="eastAsia"/>
          <w:u w:val="single"/>
        </w:rPr>
        <w:t>根据上位规划，全镇落实生态保护红线不低于</w:t>
      </w:r>
      <w:r>
        <w:rPr>
          <w:u w:val="single"/>
        </w:rPr>
        <w:t>7532.41公顷。</w:t>
      </w:r>
      <w:r>
        <w:rPr>
          <w:rFonts w:hint="eastAsia"/>
        </w:rPr>
        <w:t>马山口镇镇域内的生态保护红线为伏牛山生物多样性、水源涵养生态保护红线，其中河南内乡宝天曼国家地质公园面积为</w:t>
      </w:r>
      <w:r>
        <w:t>6695.98</w:t>
      </w:r>
      <w:r>
        <w:rPr>
          <w:rFonts w:hint="eastAsia"/>
        </w:rPr>
        <w:t>公顷。</w:t>
      </w:r>
    </w:p>
    <w:bookmarkEnd w:id="32"/>
    <w:bookmarkEnd w:id="33"/>
    <w:p>
      <w:pPr>
        <w:pStyle w:val="4"/>
      </w:pPr>
      <w:r>
        <w:rPr>
          <w:rFonts w:hint="eastAsia"/>
        </w:rPr>
        <w:t>严格落实城镇开发边界</w:t>
      </w:r>
    </w:p>
    <w:p>
      <w:pPr>
        <w:spacing w:before="65" w:after="156"/>
        <w:ind w:firstLine="640"/>
      </w:pPr>
      <w:bookmarkStart w:id="34" w:name="_Hlk200561853"/>
      <w:r>
        <w:rPr>
          <w:rFonts w:hint="eastAsia"/>
          <w:u w:val="single"/>
        </w:rPr>
        <w:t>根据上位规划，马山口镇落实城镇开发边界面积为</w:t>
      </w:r>
      <w:r>
        <w:rPr>
          <w:u w:val="single"/>
        </w:rPr>
        <w:t>296.66公顷。</w:t>
      </w:r>
      <w:r>
        <w:t>镇区未布新增城镇开发边界指标</w:t>
      </w:r>
      <w:bookmarkEnd w:id="34"/>
      <w:r>
        <w:rPr>
          <w:rFonts w:hint="eastAsia"/>
        </w:rPr>
        <w:t>。</w:t>
      </w:r>
    </w:p>
    <w:p>
      <w:pPr>
        <w:pStyle w:val="3"/>
      </w:pPr>
      <w:bookmarkStart w:id="35" w:name="_Toc185606050"/>
      <w:bookmarkStart w:id="36" w:name="_Hlk142575005"/>
      <w:r>
        <w:rPr>
          <w:rFonts w:hint="eastAsia"/>
        </w:rPr>
        <w:t>核准落实其他控制线</w:t>
      </w:r>
      <w:bookmarkEnd w:id="35"/>
    </w:p>
    <w:p>
      <w:pPr>
        <w:pStyle w:val="4"/>
      </w:pPr>
      <w:r>
        <w:rPr>
          <w:rFonts w:hint="eastAsia"/>
        </w:rPr>
        <w:t>历史文化保护线</w:t>
      </w:r>
    </w:p>
    <w:p>
      <w:pPr>
        <w:spacing w:before="65"/>
        <w:ind w:firstLine="640"/>
      </w:pPr>
      <w:bookmarkStart w:id="37" w:name="_Hlk152257056"/>
      <w:r>
        <w:rPr>
          <w:rFonts w:hint="eastAsia"/>
          <w:u w:val="single"/>
        </w:rPr>
        <w:t>全镇历史文化保护线</w:t>
      </w:r>
      <w:r>
        <w:rPr>
          <w:u w:val="single"/>
        </w:rPr>
        <w:t>10处，其中3处为省级文物保护单位，分别是朱岗遗址、豫西第六行政督察专员公署旧址、法云寺塔，7处为县级文物保护单位，分别是郑湾墓葬、秦家寨碑林、秦氏民居、马山口碑林、麦子山石寨遗址、石磨打制遗址、恐龙蛋化石点（马山口唐河），历史文化保护线总面积为81.32公顷。</w:t>
      </w:r>
      <w:bookmarkStart w:id="38" w:name="_Hlk206602832"/>
      <w:r>
        <w:rPr>
          <w:rFonts w:hint="eastAsia"/>
        </w:rPr>
        <w:t>马山口镇历史文化保护线结合镇域历史文化遗产保护范围和建设控制地带的划定情况，及时落实动态补划，纳入国土空间规划“一张图”进行管控。</w:t>
      </w:r>
    </w:p>
    <w:bookmarkEnd w:id="37"/>
    <w:bookmarkEnd w:id="38"/>
    <w:p>
      <w:pPr>
        <w:pStyle w:val="4"/>
      </w:pPr>
      <w:r>
        <w:rPr>
          <w:rFonts w:hint="eastAsia"/>
        </w:rPr>
        <w:t>洪涝风险控制线</w:t>
      </w:r>
    </w:p>
    <w:p>
      <w:pPr>
        <w:spacing w:before="65" w:after="156"/>
        <w:ind w:firstLine="640"/>
      </w:pPr>
      <w:bookmarkStart w:id="39" w:name="_Hlk152257166"/>
      <w:r>
        <w:rPr>
          <w:rFonts w:hint="eastAsia"/>
        </w:rPr>
        <w:t>按照河道管理范围，落实洪涝风险控制线，落实河道管理范围</w:t>
      </w:r>
      <w:r>
        <w:t>6条，水库7座，划定面积925.01公顷，分别为花北河、江沟河、军营河、梅子河、默河、潭沟河，庵山水库、打磨岗水库、郭庄水库、花石岗水库、徐庄水库、薛家二库、云露湖水库。</w:t>
      </w:r>
    </w:p>
    <w:bookmarkEnd w:id="39"/>
    <w:p>
      <w:pPr>
        <w:pStyle w:val="4"/>
      </w:pPr>
      <w:r>
        <w:rPr>
          <w:rFonts w:hint="eastAsia"/>
        </w:rPr>
        <w:t>矿产资源开采保护线</w:t>
      </w:r>
    </w:p>
    <w:p>
      <w:pPr>
        <w:spacing w:before="65"/>
        <w:ind w:firstLine="640"/>
      </w:pPr>
      <w:bookmarkStart w:id="40" w:name="_Hlk152257181"/>
      <w:r>
        <w:rPr>
          <w:rFonts w:hint="eastAsia"/>
        </w:rPr>
        <w:t>全镇划定矿产资源开采保护线</w:t>
      </w:r>
      <w:r>
        <w:t>1处，位于镇域北部，马坪村、李井村、关帝坪村、杜洛庄村附近。为河南省内乡县板厂一带铜多金属矿详查，涉及规模4097.34公顷。</w:t>
      </w:r>
    </w:p>
    <w:bookmarkEnd w:id="40"/>
    <w:p>
      <w:pPr>
        <w:pStyle w:val="4"/>
      </w:pPr>
      <w:r>
        <w:rPr>
          <w:rFonts w:hint="eastAsia"/>
        </w:rPr>
        <w:t>廊道控制线</w:t>
      </w:r>
    </w:p>
    <w:p>
      <w:pPr>
        <w:spacing w:before="65"/>
        <w:ind w:firstLine="640"/>
      </w:pPr>
      <w:bookmarkStart w:id="41" w:name="_Hlk152257192"/>
      <w:r>
        <w:rPr>
          <w:rFonts w:hint="eastAsia"/>
        </w:rPr>
        <w:t>全镇交通控制廊道涉及省道：</w:t>
      </w:r>
      <w:r>
        <w:t>S240、S329；县道：X011、X002；乡道：Y002、Y006、Y059、Y036、Y049，根据《公路安全保护条例》，在公路两侧修建永久性工程设施，其建筑物边缘与公路边沟外缘的间距为：国道不少于二十米；省道不少于15米；县道不少于10米；乡道不少于5米。高速公路的，公路建筑控制区的范围从公路用地外缘起向外的距离标准不少于30米。</w:t>
      </w:r>
      <w:bookmarkEnd w:id="41"/>
    </w:p>
    <w:p>
      <w:pPr>
        <w:pStyle w:val="3"/>
      </w:pPr>
      <w:bookmarkStart w:id="42" w:name="_Toc185606051"/>
      <w:r>
        <w:rPr>
          <w:rFonts w:hint="eastAsia"/>
        </w:rPr>
        <w:t>划定村庄建设边界</w:t>
      </w:r>
      <w:bookmarkEnd w:id="42"/>
    </w:p>
    <w:p>
      <w:pPr>
        <w:pStyle w:val="4"/>
      </w:pPr>
      <w:r>
        <w:rPr>
          <w:rFonts w:hint="eastAsia"/>
        </w:rPr>
        <w:t>村庄建设边界</w:t>
      </w:r>
      <w:r>
        <w:t>划定</w:t>
      </w:r>
    </w:p>
    <w:p>
      <w:pPr>
        <w:spacing w:before="65"/>
        <w:ind w:firstLine="640"/>
      </w:pPr>
      <w:bookmarkStart w:id="43" w:name="_Hlk200561887"/>
      <w:bookmarkStart w:id="44" w:name="_Hlk175646380"/>
      <w:r>
        <w:rPr>
          <w:rFonts w:hint="eastAsia"/>
        </w:rPr>
        <w:t>全镇划定村庄建设边界</w:t>
      </w:r>
      <w:r>
        <w:t>786.61公顷</w:t>
      </w:r>
      <w:bookmarkEnd w:id="43"/>
      <w:r>
        <w:t>。</w:t>
      </w:r>
    </w:p>
    <w:bookmarkEnd w:id="44"/>
    <w:p>
      <w:pPr>
        <w:ind w:firstLine="640"/>
      </w:pPr>
      <w:bookmarkStart w:id="45" w:name="_Toc185606052"/>
      <w:r>
        <w:br w:type="page"/>
      </w:r>
    </w:p>
    <w:p>
      <w:pPr>
        <w:ind w:firstLine="640"/>
      </w:pPr>
    </w:p>
    <w:p>
      <w:pPr>
        <w:pStyle w:val="2"/>
      </w:pPr>
      <w:bookmarkStart w:id="46" w:name="_Toc221004618"/>
      <w:r>
        <w:rPr>
          <w:rFonts w:hint="eastAsia"/>
        </w:rPr>
        <w:t>规划分区</w:t>
      </w:r>
      <w:bookmarkEnd w:id="46"/>
    </w:p>
    <w:p>
      <w:pPr>
        <w:pStyle w:val="3"/>
      </w:pPr>
      <w:r>
        <w:rPr>
          <w:rFonts w:hint="eastAsia"/>
        </w:rPr>
        <w:t>国土空间开发保护总体格局</w:t>
      </w:r>
      <w:bookmarkEnd w:id="45"/>
    </w:p>
    <w:p>
      <w:pPr>
        <w:pStyle w:val="4"/>
      </w:pPr>
      <w:r>
        <w:rPr>
          <w:rFonts w:hint="eastAsia"/>
        </w:rPr>
        <w:t>国土空间开发保护总体格局</w:t>
      </w:r>
    </w:p>
    <w:p>
      <w:pPr>
        <w:spacing w:before="65"/>
        <w:ind w:firstLine="640"/>
      </w:pPr>
      <w:r>
        <w:rPr>
          <w:rFonts w:hint="eastAsia"/>
        </w:rPr>
        <w:t>融合三生空间，兼顾保护与发展，构建“两轴一心三区”的生态化集约化的国土空间开发保护总体格局。</w:t>
      </w:r>
    </w:p>
    <w:p>
      <w:pPr>
        <w:spacing w:before="65"/>
        <w:ind w:firstLine="640"/>
      </w:pPr>
      <w:r>
        <w:rPr>
          <w:rFonts w:hint="eastAsia"/>
        </w:rPr>
        <w:t>两轴：省道</w:t>
      </w:r>
      <w:r>
        <w:t>S240和县道X002城镇发展轴，是马山口镇与内乡县和镇平县发展主轴带，沿省道S240和县道X002是马山口镇与县中心城区、镇平县、南召县和内乡七板夏联系的主要通道，也是马山口镇连通高速，与南阳市等其他城市沟通的纽带。</w:t>
      </w:r>
    </w:p>
    <w:p>
      <w:pPr>
        <w:spacing w:before="65"/>
        <w:ind w:firstLine="640"/>
      </w:pPr>
      <w:r>
        <w:rPr>
          <w:rFonts w:hint="eastAsia"/>
        </w:rPr>
        <w:t>一心：镇区为基础的城镇建设聚集区。</w:t>
      </w:r>
    </w:p>
    <w:p>
      <w:pPr>
        <w:spacing w:before="65"/>
        <w:ind w:firstLine="640"/>
      </w:pPr>
      <w:r>
        <w:rPr>
          <w:rFonts w:hint="eastAsia"/>
        </w:rPr>
        <w:t>三区：分别是马山口镇北部以生态保护红线为核心的生态保护区；南部为农业种植为核心的农业种植区；中部以镇区为基础的城镇建设区。</w:t>
      </w:r>
    </w:p>
    <w:p>
      <w:pPr>
        <w:pStyle w:val="3"/>
      </w:pPr>
      <w:bookmarkStart w:id="47" w:name="_Toc185606053"/>
      <w:r>
        <w:rPr>
          <w:rFonts w:hint="eastAsia"/>
        </w:rPr>
        <w:t>规划分区与用途管制</w:t>
      </w:r>
      <w:bookmarkEnd w:id="47"/>
    </w:p>
    <w:p>
      <w:pPr>
        <w:pStyle w:val="4"/>
      </w:pPr>
      <w:r>
        <w:rPr>
          <w:rFonts w:hint="eastAsia"/>
        </w:rPr>
        <w:t>生态保护区</w:t>
      </w:r>
    </w:p>
    <w:p>
      <w:pPr>
        <w:ind w:firstLine="640"/>
      </w:pPr>
      <w:r>
        <w:rPr>
          <w:rFonts w:hint="eastAsia"/>
        </w:rPr>
        <w:t>1</w:t>
      </w:r>
      <w:r>
        <w:t>.生态保护区划定</w:t>
      </w:r>
    </w:p>
    <w:p>
      <w:pPr>
        <w:spacing w:before="65"/>
        <w:ind w:firstLine="640"/>
      </w:pPr>
      <w:r>
        <w:rPr>
          <w:rFonts w:hint="eastAsia"/>
          <w:lang w:bidi="ar"/>
        </w:rPr>
        <w:t>落实上位规划传导，全镇划定生态保护区面积</w:t>
      </w:r>
      <w:bookmarkStart w:id="48" w:name="_Hlk200561906"/>
      <w:r>
        <w:rPr>
          <w:lang w:bidi="ar"/>
        </w:rPr>
        <w:t>7532.68</w:t>
      </w:r>
      <w:bookmarkEnd w:id="48"/>
      <w:r>
        <w:rPr>
          <w:lang w:bidi="ar"/>
        </w:rPr>
        <w:t>公顷，占全域面积的26.60%。生态保护区主要包括生态保护红线内限制开发建设的区域。马山口镇域范围内主要为天然林等</w:t>
      </w:r>
      <w:r>
        <w:rPr>
          <w:rFonts w:hint="eastAsia"/>
        </w:rPr>
        <w:t>。</w:t>
      </w:r>
    </w:p>
    <w:p>
      <w:pPr>
        <w:ind w:firstLine="640"/>
      </w:pPr>
      <w:r>
        <w:rPr>
          <w:rFonts w:hint="eastAsia"/>
        </w:rPr>
        <w:t>2</w:t>
      </w:r>
      <w:r>
        <w:t>.管控规则</w:t>
      </w:r>
    </w:p>
    <w:p>
      <w:pPr>
        <w:spacing w:before="65"/>
        <w:ind w:firstLine="640"/>
      </w:pPr>
      <w:r>
        <w:rPr>
          <w:rFonts w:hint="eastAsia"/>
        </w:rPr>
        <w:t>生态保护区内国土空间用途准入、退出按照《中共中央办公厅国务院办公厅关于划定并严守生态保护红线的若干意见》、《自然资源部生态环境部 国家林业和草原局关于加强生态保护红线管理的通知（试行）》、《河南省生态保护红线管理办法》、《河南省生态保护红线实施细则》以及生态保护红线相关法律法规进行管控。</w:t>
      </w:r>
    </w:p>
    <w:p>
      <w:pPr>
        <w:spacing w:before="65"/>
        <w:ind w:firstLine="640"/>
      </w:pPr>
      <w:r>
        <w:rPr>
          <w:rFonts w:hint="eastAsia"/>
        </w:rPr>
        <w:t>生态保护红线内，自然保护地核心保护区原则上禁止人为活动，其他区域严格禁止不符合主体功能定位的开发性、生产性建设活动。生态保护红线内各类自然保护地，饮用水水源地保护区等禁止开发区域的管理，同时执行相关法律法规规定。</w:t>
      </w:r>
    </w:p>
    <w:p>
      <w:pPr>
        <w:pStyle w:val="4"/>
      </w:pPr>
      <w:r>
        <w:rPr>
          <w:rFonts w:hint="eastAsia"/>
        </w:rPr>
        <w:t>生态控制区</w:t>
      </w:r>
    </w:p>
    <w:p>
      <w:pPr>
        <w:ind w:firstLine="640"/>
      </w:pPr>
      <w:r>
        <w:rPr>
          <w:rFonts w:hint="eastAsia"/>
        </w:rPr>
        <w:t>1</w:t>
      </w:r>
      <w:r>
        <w:t>.生态控制区划定</w:t>
      </w:r>
    </w:p>
    <w:p>
      <w:pPr>
        <w:spacing w:before="65"/>
        <w:ind w:firstLine="640"/>
      </w:pPr>
      <w:r>
        <w:rPr>
          <w:rFonts w:hint="eastAsia"/>
          <w:lang w:bidi="ar"/>
        </w:rPr>
        <w:t>依据上位规划传导，并结合马山口镇实际情况，局部进行优化，全镇划定生态控制区面积</w:t>
      </w:r>
      <w:bookmarkStart w:id="49" w:name="_Hlk200561920"/>
      <w:r>
        <w:rPr>
          <w:lang w:bidi="ar"/>
        </w:rPr>
        <w:t>13346.42</w:t>
      </w:r>
      <w:bookmarkEnd w:id="49"/>
      <w:r>
        <w:rPr>
          <w:lang w:bidi="ar"/>
        </w:rPr>
        <w:t>公顷，占全域面积的</w:t>
      </w:r>
      <w:bookmarkStart w:id="50" w:name="_Hlk200561927"/>
      <w:r>
        <w:rPr>
          <w:lang w:bidi="ar"/>
        </w:rPr>
        <w:t>47.12</w:t>
      </w:r>
      <w:bookmarkEnd w:id="50"/>
      <w:r>
        <w:rPr>
          <w:lang w:bidi="ar"/>
        </w:rPr>
        <w:t>%</w:t>
      </w:r>
      <w:r>
        <w:rPr>
          <w:rFonts w:hint="eastAsia"/>
          <w:lang w:bidi="ar"/>
        </w:rPr>
        <w:t>。</w:t>
      </w:r>
      <w:bookmarkStart w:id="51" w:name="_Hlk152319665"/>
    </w:p>
    <w:bookmarkEnd w:id="51"/>
    <w:p>
      <w:pPr>
        <w:ind w:firstLine="640"/>
      </w:pPr>
      <w:r>
        <w:rPr>
          <w:rFonts w:hint="eastAsia"/>
        </w:rPr>
        <w:t>2</w:t>
      </w:r>
      <w:r>
        <w:t>.管控规则</w:t>
      </w:r>
    </w:p>
    <w:p>
      <w:pPr>
        <w:spacing w:before="65"/>
        <w:ind w:firstLine="640"/>
      </w:pPr>
      <w:r>
        <w:rPr>
          <w:rFonts w:hint="eastAsia"/>
          <w:lang w:bidi="ar"/>
        </w:rPr>
        <w:t>（1）用途准入</w:t>
      </w:r>
    </w:p>
    <w:p>
      <w:pPr>
        <w:spacing w:before="65"/>
        <w:ind w:firstLine="640"/>
      </w:pPr>
      <w:r>
        <w:rPr>
          <w:rFonts w:hint="eastAsia"/>
          <w:lang w:bidi="ar"/>
        </w:rPr>
        <w:t>鼓励依据国土空间规划及其他相关规划，按照自然恢复为主、人工修复为辅的原则，实施生态修复工程，提升生态功能。严格限制农业开发占用生态控制区，在不涉及</w:t>
      </w:r>
      <w:r>
        <w:rPr>
          <w:lang w:bidi="ar"/>
        </w:rPr>
        <w:t>天然林、公益林</w:t>
      </w:r>
      <w:r>
        <w:rPr>
          <w:rFonts w:hint="eastAsia"/>
          <w:lang w:bidi="ar"/>
        </w:rPr>
        <w:t>、水域的前提下，经评估有利于提升生态功能的，可依据国土空间规划或其他相关规划开展土地整治新增耕地。</w:t>
      </w:r>
    </w:p>
    <w:p>
      <w:pPr>
        <w:spacing w:before="65"/>
        <w:ind w:firstLine="640"/>
      </w:pPr>
      <w:r>
        <w:rPr>
          <w:rFonts w:hint="eastAsia"/>
          <w:lang w:bidi="ar"/>
        </w:rPr>
        <w:t>严控新增建设占用生态控制区，建设用途准入应符合国土空间规划和其他相关规划。各类风景名胜区等必要的配套设施建设、符合区域功能定位的旅游服务设施、道路交通基础设施、水利市政基础设施、公益性设施以及其他必要的特殊设施建设必须占用的，需做好选址论证，严格控制建筑规模与开发强度。</w:t>
      </w:r>
    </w:p>
    <w:p>
      <w:pPr>
        <w:spacing w:before="65"/>
        <w:ind w:firstLine="640"/>
      </w:pPr>
      <w:r>
        <w:rPr>
          <w:rFonts w:hint="eastAsia"/>
          <w:lang w:bidi="ar"/>
        </w:rPr>
        <w:t>（2）用途退出</w:t>
      </w:r>
    </w:p>
    <w:p>
      <w:pPr>
        <w:spacing w:before="65"/>
        <w:ind w:firstLine="640"/>
      </w:pPr>
      <w:r>
        <w:rPr>
          <w:rFonts w:hint="eastAsia"/>
          <w:lang w:bidi="ar"/>
        </w:rPr>
        <w:t>生态控制区内原有的各种不符合生态保护要求、防洪安全的生产、开发活动应当逐步退出，并进行生态修复，退出不应对生态环境造成重大影响；对区内主要保护对象及其栖息地环境造成的负面影响轻微或可控制；符合国土空间规划和其他相关规划。对国有林场和坡度25度以上已经开垦种植的林地要逐步还林。对于现状建设，应当进行评估后制定分类处置方案：对于违法建设和经评估对生态保护存在不利影响的，应当逐步退出；对于历史形成的合法现状建设用地，经评估对生态环境无影响的，可予以保留，但不得随意改变用途或进行改扩建。</w:t>
      </w:r>
    </w:p>
    <w:p>
      <w:pPr>
        <w:pStyle w:val="4"/>
      </w:pPr>
      <w:r>
        <w:rPr>
          <w:rFonts w:hint="eastAsia"/>
        </w:rPr>
        <w:t>农田保护区</w:t>
      </w:r>
    </w:p>
    <w:p>
      <w:pPr>
        <w:ind w:firstLine="640"/>
      </w:pPr>
      <w:r>
        <w:rPr>
          <w:rFonts w:hint="eastAsia"/>
        </w:rPr>
        <w:t>1</w:t>
      </w:r>
      <w:r>
        <w:t>.农田保护区划定</w:t>
      </w:r>
    </w:p>
    <w:p>
      <w:pPr>
        <w:spacing w:before="65"/>
        <w:ind w:firstLine="640"/>
      </w:pPr>
      <w:bookmarkStart w:id="52" w:name="_Hlk152319961"/>
      <w:r>
        <w:rPr>
          <w:rFonts w:hint="eastAsia"/>
          <w:lang w:bidi="ar"/>
        </w:rPr>
        <w:t>全镇划定农田保护区面积</w:t>
      </w:r>
      <w:bookmarkStart w:id="53" w:name="_Hlk200561937"/>
      <w:r>
        <w:rPr>
          <w:lang w:bidi="ar"/>
        </w:rPr>
        <w:t>4005.05</w:t>
      </w:r>
      <w:bookmarkEnd w:id="53"/>
      <w:r>
        <w:rPr>
          <w:lang w:bidi="ar"/>
        </w:rPr>
        <w:t>公顷，占全域面积的</w:t>
      </w:r>
      <w:bookmarkStart w:id="54" w:name="_Hlk200561944"/>
      <w:r>
        <w:rPr>
          <w:lang w:bidi="ar"/>
        </w:rPr>
        <w:t>14.14</w:t>
      </w:r>
      <w:bookmarkEnd w:id="54"/>
      <w:r>
        <w:rPr>
          <w:lang w:bidi="ar"/>
        </w:rPr>
        <w:t>%</w:t>
      </w:r>
      <w:r>
        <w:rPr>
          <w:rFonts w:hint="eastAsia"/>
          <w:lang w:bidi="ar"/>
        </w:rPr>
        <w:t>。</w:t>
      </w:r>
    </w:p>
    <w:bookmarkEnd w:id="52"/>
    <w:p>
      <w:pPr>
        <w:ind w:firstLine="640"/>
      </w:pPr>
      <w:r>
        <w:rPr>
          <w:rFonts w:hint="eastAsia"/>
        </w:rPr>
        <w:t>2</w:t>
      </w:r>
      <w:r>
        <w:t>.管控规则</w:t>
      </w:r>
    </w:p>
    <w:p>
      <w:pPr>
        <w:spacing w:before="65"/>
        <w:ind w:firstLine="640"/>
      </w:pPr>
      <w:r>
        <w:rPr>
          <w:rFonts w:hint="eastAsia"/>
          <w:lang w:bidi="ar"/>
        </w:rPr>
        <w:t>（1）用途准入</w:t>
      </w:r>
    </w:p>
    <w:p>
      <w:pPr>
        <w:spacing w:before="65"/>
        <w:ind w:firstLine="640"/>
      </w:pPr>
      <w:r>
        <w:rPr>
          <w:rFonts w:hint="eastAsia"/>
        </w:rPr>
        <w:t>农田保护区应重点用于粮食生产，按照《自然资源部 农业农村部关于加强和改进永久基本农田保护工作的通知》第（六）款的规定严格规范永久基本农田上的农业生产活动。</w:t>
      </w:r>
    </w:p>
    <w:p>
      <w:pPr>
        <w:spacing w:before="65"/>
        <w:ind w:firstLine="640"/>
      </w:pPr>
      <w:r>
        <w:rPr>
          <w:rFonts w:hint="eastAsia"/>
        </w:rPr>
        <w:t>农田保护区内鼓励依据国土空间规划、土地整治规划等相关规划开展高标准农田建设、永久基本农田集中连片整治、即可恢复属性地类耕地功能恢复等整治活动，提高永久基本农田质量，引导区内废弃建设用地、其他农用地整治为耕地，区内符合条件的一般耕地应优先划入永久基本农田储备区。</w:t>
      </w:r>
    </w:p>
    <w:p>
      <w:pPr>
        <w:spacing w:before="65"/>
        <w:ind w:firstLine="640"/>
      </w:pPr>
      <w:r>
        <w:rPr>
          <w:rFonts w:hint="eastAsia"/>
        </w:rPr>
        <w:t>农田保护区内限制准入农业设施建设用地，农业设施建设用地不再使用的，必须恢复原用途。</w:t>
      </w:r>
    </w:p>
    <w:p>
      <w:pPr>
        <w:spacing w:before="65"/>
        <w:ind w:firstLine="640"/>
      </w:pPr>
      <w:r>
        <w:rPr>
          <w:rFonts w:hint="eastAsia"/>
        </w:rPr>
        <w:t>农田保护区限制转变为林地、湿地、水域等用途，按照《自然资源部 农业农村部关于加强和改进永久基本农田保护工作的通知》第（九）款的规定协调安排生态建设项目。</w:t>
      </w:r>
    </w:p>
    <w:p>
      <w:pPr>
        <w:spacing w:before="65"/>
        <w:ind w:firstLine="640"/>
      </w:pPr>
      <w:r>
        <w:rPr>
          <w:rFonts w:hint="eastAsia"/>
        </w:rPr>
        <w:t>农田保护区内的永久基本农田实行正面清单准入，在符合国土空间规划和其他相关规划的前提下，允许占用永久基本农田的重大项目、临时用地和矿业权按照《自然资源部关于做好占用永久基本农田重大建设项目用地预审的通知》第一款以及《自然资源部 农业农村部关于加强和改进永久基本农田保护工作的通知》第（七）款、第（八）款执行。</w:t>
      </w:r>
    </w:p>
    <w:p>
      <w:pPr>
        <w:spacing w:before="65"/>
        <w:ind w:firstLine="640"/>
      </w:pPr>
      <w:r>
        <w:rPr>
          <w:rFonts w:hint="eastAsia"/>
          <w:lang w:bidi="ar"/>
        </w:rPr>
        <w:t>（2）用途退出</w:t>
      </w:r>
    </w:p>
    <w:p>
      <w:pPr>
        <w:spacing w:before="65"/>
        <w:ind w:firstLine="640"/>
      </w:pPr>
      <w:r>
        <w:rPr>
          <w:rFonts w:hint="eastAsia"/>
          <w:lang w:bidi="ar"/>
        </w:rPr>
        <w:t>不符合农田保护区准入规则、违法违规占用永久基本农田的用途，应按照国土空间规划、土地整治规划等相关规划有序退出，并限期恢复种植条件，规划期间确实不能恢复种植条件的，经多部门联合论证，允许保留现状用途，但不得扩大面积，并补划相同数量、相当质量的永久基本农田。</w:t>
      </w:r>
    </w:p>
    <w:p>
      <w:pPr>
        <w:pStyle w:val="4"/>
      </w:pPr>
      <w:r>
        <w:rPr>
          <w:rFonts w:hint="eastAsia"/>
        </w:rPr>
        <w:t>城镇发展区</w:t>
      </w:r>
    </w:p>
    <w:p>
      <w:pPr>
        <w:ind w:firstLine="640"/>
      </w:pPr>
      <w:r>
        <w:rPr>
          <w:rFonts w:hint="eastAsia"/>
        </w:rPr>
        <w:t>1</w:t>
      </w:r>
      <w:r>
        <w:t>.城镇发展区划定</w:t>
      </w:r>
    </w:p>
    <w:p>
      <w:pPr>
        <w:spacing w:before="65"/>
        <w:ind w:firstLine="640"/>
      </w:pPr>
      <w:bookmarkStart w:id="55" w:name="_Hlk152319991"/>
      <w:r>
        <w:rPr>
          <w:rFonts w:hint="eastAsia"/>
        </w:rPr>
        <w:t>全镇划定城镇发展区面积</w:t>
      </w:r>
      <w:r>
        <w:t>296.66公顷，全部为集中建设区，占全域面积的1.05%</w:t>
      </w:r>
      <w:r>
        <w:rPr>
          <w:rFonts w:hint="eastAsia"/>
        </w:rPr>
        <w:t>。</w:t>
      </w:r>
    </w:p>
    <w:p>
      <w:pPr>
        <w:spacing w:before="65"/>
        <w:ind w:firstLine="640"/>
      </w:pPr>
      <w:r>
        <w:rPr>
          <w:rFonts w:hint="eastAsia"/>
        </w:rPr>
        <w:t>基于镇区现状，将镇区用地合理规划与布置，公共服务设施集中与分散相结合布局，绿地均衡布置，将镇区划分为七个功能分区。城镇功能区采用“详细规划</w:t>
      </w:r>
      <w:r>
        <w:t>+规划许可”的方式进行管理</w:t>
      </w:r>
      <w:r>
        <w:rPr>
          <w:rFonts w:hint="eastAsia"/>
        </w:rPr>
        <w:t>。</w:t>
      </w:r>
    </w:p>
    <w:p>
      <w:pPr>
        <w:ind w:firstLine="640"/>
      </w:pPr>
      <w:r>
        <w:t>（1）</w:t>
      </w:r>
      <w:r>
        <w:rPr>
          <w:rFonts w:hint="eastAsia"/>
        </w:rPr>
        <w:t>居住生活区</w:t>
      </w:r>
    </w:p>
    <w:p>
      <w:pPr>
        <w:ind w:firstLine="640"/>
      </w:pPr>
      <w:r>
        <w:rPr>
          <w:rFonts w:hint="eastAsia"/>
        </w:rPr>
        <w:t>居住生活区面积约为</w:t>
      </w:r>
      <w:r>
        <w:t>25.35公顷，以居住和生活服务配套为主要功能。完善公共服务设施和绿地与开敞空间建设，优化提升居住区功能和环境，在保障主要功能导向的前提下，鼓励多元功能的适度混合，避免重大妨害功能的干扰</w:t>
      </w:r>
      <w:r>
        <w:rPr>
          <w:rFonts w:hint="eastAsia"/>
        </w:rPr>
        <w:t>。</w:t>
      </w:r>
    </w:p>
    <w:p>
      <w:pPr>
        <w:ind w:firstLine="640"/>
      </w:pPr>
      <w:r>
        <w:t>（2）</w:t>
      </w:r>
      <w:r>
        <w:rPr>
          <w:rFonts w:hint="eastAsia"/>
        </w:rPr>
        <w:t>综合服务区</w:t>
      </w:r>
    </w:p>
    <w:p>
      <w:pPr>
        <w:ind w:firstLine="640"/>
      </w:pPr>
      <w:r>
        <w:rPr>
          <w:rFonts w:hint="eastAsia"/>
        </w:rPr>
        <w:t>综合服务区面积约为</w:t>
      </w:r>
      <w:r>
        <w:t>12.66公顷，以提供行政办公、文化体育、教育、医疗等服务为主要功能导向的区域，主要为镇区北侧的医疗服务、中部的综合服务、西侧的文化服务、南侧的教育片区。强化文化、体育、商贸商务等功能的合理配置，建立创新服务平台，植入公共空间，提升公共活动中心空间覆盖</w:t>
      </w:r>
      <w:r>
        <w:rPr>
          <w:rFonts w:hint="eastAsia"/>
        </w:rPr>
        <w:t>。</w:t>
      </w:r>
    </w:p>
    <w:p>
      <w:pPr>
        <w:ind w:firstLine="640"/>
      </w:pPr>
      <w:r>
        <w:t>（3）</w:t>
      </w:r>
      <w:r>
        <w:rPr>
          <w:rFonts w:hint="eastAsia"/>
        </w:rPr>
        <w:t>商业商务区</w:t>
      </w:r>
    </w:p>
    <w:p>
      <w:pPr>
        <w:ind w:firstLine="640"/>
      </w:pPr>
      <w:r>
        <w:rPr>
          <w:rFonts w:hint="eastAsia"/>
        </w:rPr>
        <w:t>商业商务区面积约为</w:t>
      </w:r>
      <w:r>
        <w:t>2.47公顷，以商业商贸为主要功能，承载现代消费、休闲娱乐、金融服务等服务业态，综合服务功能应集约紧凑，满足服务等级、规模及类型要求</w:t>
      </w:r>
      <w:r>
        <w:rPr>
          <w:rFonts w:hint="eastAsia"/>
        </w:rPr>
        <w:t>。</w:t>
      </w:r>
    </w:p>
    <w:p>
      <w:pPr>
        <w:ind w:firstLine="640"/>
      </w:pPr>
      <w:r>
        <w:t>（4）</w:t>
      </w:r>
      <w:r>
        <w:rPr>
          <w:rFonts w:hint="eastAsia"/>
        </w:rPr>
        <w:t>物流仓储区</w:t>
      </w:r>
    </w:p>
    <w:p>
      <w:pPr>
        <w:ind w:firstLine="640"/>
      </w:pPr>
      <w:r>
        <w:rPr>
          <w:rFonts w:hint="eastAsia"/>
        </w:rPr>
        <w:t>物流仓储区面积约为</w:t>
      </w:r>
      <w:r>
        <w:t>1.42公顷，以仓储用地为主；物流仓储区应与周边其他功能区协调好安全防护关系，降低物流仓储功能对居住、公共环境等的干扰，保障镇区其他功能有序运行</w:t>
      </w:r>
      <w:r>
        <w:rPr>
          <w:rFonts w:hint="eastAsia"/>
        </w:rPr>
        <w:t>。</w:t>
      </w:r>
    </w:p>
    <w:p>
      <w:pPr>
        <w:ind w:firstLine="640"/>
      </w:pPr>
      <w:r>
        <w:t>（5）</w:t>
      </w:r>
      <w:r>
        <w:rPr>
          <w:rFonts w:hint="eastAsia"/>
        </w:rPr>
        <w:t>绿地休闲区</w:t>
      </w:r>
    </w:p>
    <w:p>
      <w:pPr>
        <w:ind w:firstLine="640"/>
      </w:pPr>
      <w:r>
        <w:rPr>
          <w:rFonts w:hint="eastAsia"/>
        </w:rPr>
        <w:t>绿地休闲区面积约为</w:t>
      </w:r>
      <w:r>
        <w:t>2.21公顷，可兼容少量商服用地、公共管理与公共服务设施用地。绿地休闲区应安排好“点、线、面”结合的绿地系统结构，为</w:t>
      </w:r>
      <w:r>
        <w:rPr>
          <w:rFonts w:hint="eastAsia"/>
        </w:rPr>
        <w:t>居民</w:t>
      </w:r>
      <w:r>
        <w:t>提供便捷可达、充足友好的游憩休闲空间，并确保相互干扰的功能区的防护隔离；对公园绿地、广场用地、防护绿地的总体规模与服务半径提出控制要求</w:t>
      </w:r>
      <w:r>
        <w:rPr>
          <w:rFonts w:hint="eastAsia"/>
        </w:rPr>
        <w:t>。</w:t>
      </w:r>
    </w:p>
    <w:p>
      <w:pPr>
        <w:ind w:firstLine="640"/>
      </w:pPr>
      <w:r>
        <w:t>（6）</w:t>
      </w:r>
      <w:r>
        <w:rPr>
          <w:rFonts w:hint="eastAsia"/>
        </w:rPr>
        <w:t>交通枢纽区</w:t>
      </w:r>
    </w:p>
    <w:p>
      <w:pPr>
        <w:ind w:firstLine="640"/>
      </w:pPr>
      <w:r>
        <w:rPr>
          <w:rFonts w:hint="eastAsia"/>
        </w:rPr>
        <w:t>交通枢纽区面积约为</w:t>
      </w:r>
      <w:r>
        <w:t>0.27公顷，以汽车客运站为主，该分区应尽可能降低交通噪音等对居住、公共环境的干扰</w:t>
      </w:r>
      <w:r>
        <w:rPr>
          <w:rFonts w:hint="eastAsia"/>
        </w:rPr>
        <w:t>。</w:t>
      </w:r>
    </w:p>
    <w:p>
      <w:pPr>
        <w:ind w:firstLine="640"/>
      </w:pPr>
      <w:r>
        <w:t>（7）</w:t>
      </w:r>
      <w:r>
        <w:rPr>
          <w:rFonts w:hint="eastAsia"/>
        </w:rPr>
        <w:t>战略预留区</w:t>
      </w:r>
    </w:p>
    <w:p>
      <w:pPr>
        <w:ind w:firstLine="640"/>
      </w:pPr>
      <w:r>
        <w:rPr>
          <w:rFonts w:hint="eastAsia"/>
        </w:rPr>
        <w:t>战略预留区面积约为</w:t>
      </w:r>
      <w:r>
        <w:t>0.72公顷；战略预留区是对镇区发展产生重大影响的、尚具有不确定性的战略性功能进行空间预留，并应加强区内一切建设行为的预先管控。以用途待定用地及现状用地为主</w:t>
      </w:r>
      <w:r>
        <w:rPr>
          <w:rFonts w:hint="eastAsia"/>
        </w:rPr>
        <w:t>。</w:t>
      </w:r>
    </w:p>
    <w:bookmarkEnd w:id="55"/>
    <w:p>
      <w:pPr>
        <w:ind w:firstLine="640"/>
      </w:pPr>
      <w:r>
        <w:rPr>
          <w:rFonts w:hint="eastAsia"/>
        </w:rPr>
        <w:t>2</w:t>
      </w:r>
      <w:r>
        <w:t>.管控规则</w:t>
      </w:r>
    </w:p>
    <w:p>
      <w:pPr>
        <w:spacing w:before="65"/>
        <w:ind w:firstLine="640"/>
      </w:pPr>
      <w:r>
        <w:rPr>
          <w:rFonts w:hint="eastAsia"/>
        </w:rPr>
        <w:t>功能区采用“用途准入</w:t>
      </w:r>
      <w:r>
        <w:t>+指标控制+原则指引”的方式进行管理，明确开发强度分区、各类用地的强度指标，如容积率、建筑密度等；提出用地兼容比例控制要求，鼓励用地功能混合使用，营造镇区的多样性；结合地方文化和特色，提出高度、风貌等空间形态控制要求。</w:t>
      </w:r>
    </w:p>
    <w:p>
      <w:pPr>
        <w:spacing w:before="65"/>
        <w:ind w:firstLine="640"/>
      </w:pPr>
      <w:r>
        <w:rPr>
          <w:rFonts w:hint="eastAsia"/>
          <w:lang w:bidi="ar"/>
        </w:rPr>
        <w:t>（1）用途准入</w:t>
      </w:r>
    </w:p>
    <w:p>
      <w:pPr>
        <w:spacing w:before="65"/>
        <w:ind w:firstLine="640"/>
      </w:pPr>
      <w:r>
        <w:rPr>
          <w:rFonts w:hint="eastAsia"/>
          <w:lang w:bidi="ar"/>
        </w:rPr>
        <w:t>城镇集中建设区各类城镇建设用途的准入应符合国土空间规划和其他相关规划，优先使用存量建设用地，引导城镇低效用地再开发，提高建设用地使用效率，落实建设用地标准控制制度，开展节约集约用地评价，推广应用节地技术和节地模式。</w:t>
      </w:r>
    </w:p>
    <w:p>
      <w:pPr>
        <w:spacing w:before="65"/>
        <w:ind w:firstLine="640"/>
      </w:pPr>
      <w:r>
        <w:rPr>
          <w:rFonts w:hint="eastAsia"/>
          <w:lang w:bidi="ar"/>
        </w:rPr>
        <w:t>鼓励建设用地的复合性开发，按照用途相近、功能兼容、互无干扰、基础设施共享的原则，研究制定有助于生活便利、各类用途相互促进的兼容性地类和相关控制指标。</w:t>
      </w:r>
    </w:p>
    <w:p>
      <w:pPr>
        <w:spacing w:before="65"/>
        <w:ind w:firstLine="640"/>
      </w:pPr>
      <w:r>
        <w:rPr>
          <w:rFonts w:hint="eastAsia"/>
          <w:lang w:bidi="ar"/>
        </w:rPr>
        <w:t>（2）用途退出</w:t>
      </w:r>
    </w:p>
    <w:p>
      <w:pPr>
        <w:spacing w:before="65"/>
        <w:ind w:firstLine="640"/>
      </w:pPr>
      <w:r>
        <w:rPr>
          <w:rFonts w:hint="eastAsia"/>
          <w:lang w:bidi="ar"/>
        </w:rPr>
        <w:t>对用途分区主导功能产生负面影响的用途应通过国土空间规划的编制和实施逐步退出。</w:t>
      </w:r>
    </w:p>
    <w:p>
      <w:pPr>
        <w:pStyle w:val="4"/>
      </w:pPr>
      <w:r>
        <w:rPr>
          <w:rFonts w:hint="eastAsia"/>
        </w:rPr>
        <w:t>乡村发展区</w:t>
      </w:r>
    </w:p>
    <w:p>
      <w:pPr>
        <w:spacing w:before="65"/>
        <w:ind w:firstLine="640"/>
      </w:pPr>
      <w:bookmarkStart w:id="56" w:name="_Hlk152837370"/>
      <w:r>
        <w:rPr>
          <w:rFonts w:hint="eastAsia"/>
          <w:lang w:bidi="ar"/>
        </w:rPr>
        <w:t>全镇划定乡村发展区面积</w:t>
      </w:r>
      <w:bookmarkStart w:id="57" w:name="_Hlk200561960"/>
      <w:r>
        <w:rPr>
          <w:lang w:bidi="ar"/>
        </w:rPr>
        <w:t>2597.50</w:t>
      </w:r>
      <w:bookmarkEnd w:id="57"/>
      <w:r>
        <w:rPr>
          <w:lang w:bidi="ar"/>
        </w:rPr>
        <w:t>公顷，占全域面积的</w:t>
      </w:r>
      <w:bookmarkStart w:id="58" w:name="_Hlk200561967"/>
      <w:r>
        <w:rPr>
          <w:lang w:bidi="ar"/>
        </w:rPr>
        <w:t>9.17</w:t>
      </w:r>
      <w:bookmarkEnd w:id="58"/>
      <w:r>
        <w:rPr>
          <w:lang w:bidi="ar"/>
        </w:rPr>
        <w:t>%</w:t>
      </w:r>
      <w:r>
        <w:rPr>
          <w:rFonts w:hint="eastAsia"/>
          <w:lang w:bidi="ar"/>
        </w:rPr>
        <w:t>。乡村发展区包含村庄建设区、一般农业区等二级规划分区。</w:t>
      </w:r>
    </w:p>
    <w:bookmarkEnd w:id="56"/>
    <w:p>
      <w:pPr>
        <w:ind w:firstLine="640"/>
      </w:pPr>
      <w:bookmarkStart w:id="59" w:name="_Hlk200561984"/>
      <w:r>
        <w:rPr>
          <w:rFonts w:hint="eastAsia"/>
        </w:rPr>
        <w:t>1</w:t>
      </w:r>
      <w:r>
        <w:t>.</w:t>
      </w:r>
      <w:r>
        <w:rPr>
          <w:rFonts w:hint="eastAsia"/>
        </w:rPr>
        <w:t>村庄建设区</w:t>
      </w:r>
    </w:p>
    <w:p>
      <w:pPr>
        <w:spacing w:before="65"/>
        <w:ind w:firstLine="640"/>
      </w:pPr>
      <w:r>
        <w:rPr>
          <w:rFonts w:hint="eastAsia"/>
        </w:rPr>
        <w:t>全镇划定村庄建设区面积</w:t>
      </w:r>
      <w:r>
        <w:t>776.63公顷，占全域</w:t>
      </w:r>
      <w:r>
        <w:rPr>
          <w:rFonts w:hint="eastAsia"/>
        </w:rPr>
        <w:t>乡村发展区</w:t>
      </w:r>
      <w:r>
        <w:t>面积的29.90 %。</w:t>
      </w:r>
    </w:p>
    <w:bookmarkEnd w:id="59"/>
    <w:p>
      <w:pPr>
        <w:spacing w:before="65"/>
        <w:ind w:firstLine="640"/>
      </w:pPr>
      <w:r>
        <w:rPr>
          <w:lang w:bidi="ar"/>
        </w:rPr>
        <w:t>（</w:t>
      </w:r>
      <w:r>
        <w:rPr>
          <w:rFonts w:hint="eastAsia"/>
          <w:lang w:bidi="ar"/>
        </w:rPr>
        <w:t>1）用途准入</w:t>
      </w:r>
    </w:p>
    <w:p>
      <w:pPr>
        <w:spacing w:before="65"/>
        <w:ind w:firstLine="640"/>
      </w:pPr>
      <w:r>
        <w:rPr>
          <w:rFonts w:hint="eastAsia"/>
          <w:lang w:bidi="ar"/>
        </w:rPr>
        <w:t>村庄建设区的准入应符合国土空间规划和其他相关规划。在符合国土空间规划和其他相关规划的前提下，村庄建设区准入宅基地、农村公共服务设施、交通市政基础设施、农产品加工仓储、农家乐、民宿、创意办公、休闲农业、乡村旅游配套设施等农村生产、生活相关的用途。</w:t>
      </w:r>
    </w:p>
    <w:p>
      <w:pPr>
        <w:spacing w:before="65"/>
        <w:ind w:firstLine="640"/>
      </w:pPr>
      <w:r>
        <w:rPr>
          <w:rFonts w:hint="eastAsia"/>
          <w:lang w:bidi="ar"/>
        </w:rPr>
        <w:t>已批准村庄规划覆盖的区域，村庄建设区的准入应符合村庄规划的要求，优先保障农村宅基地和公共服务设施用地的建设需求，宅基地建设应依法落实“一户一宅”要求，遵守地方宅基地建设标准；公共服务设施应严格按照国土空间规划明确的公共服务设施建设标准和布局要求进行建设。</w:t>
      </w:r>
    </w:p>
    <w:p>
      <w:pPr>
        <w:spacing w:before="65"/>
        <w:ind w:firstLine="640"/>
      </w:pPr>
      <w:r>
        <w:rPr>
          <w:lang w:bidi="ar"/>
        </w:rPr>
        <w:t>（</w:t>
      </w:r>
      <w:r>
        <w:rPr>
          <w:rFonts w:hint="eastAsia"/>
          <w:lang w:bidi="ar"/>
        </w:rPr>
        <w:t>2）用途退出</w:t>
      </w:r>
    </w:p>
    <w:p>
      <w:pPr>
        <w:spacing w:before="65"/>
        <w:ind w:firstLine="640"/>
      </w:pPr>
      <w:r>
        <w:rPr>
          <w:rFonts w:hint="eastAsia"/>
          <w:lang w:bidi="ar"/>
        </w:rPr>
        <w:t>对村民生产、生活有负面影响的生产、开发活动应当通过国土空间规划的编制和实施逐步退出。</w:t>
      </w:r>
    </w:p>
    <w:p>
      <w:pPr>
        <w:ind w:firstLine="640"/>
      </w:pPr>
      <w:bookmarkStart w:id="60" w:name="_Hlk200561993"/>
      <w:r>
        <w:rPr>
          <w:rFonts w:hint="eastAsia"/>
        </w:rPr>
        <w:t>2</w:t>
      </w:r>
      <w:r>
        <w:t>.</w:t>
      </w:r>
      <w:r>
        <w:rPr>
          <w:rFonts w:hint="eastAsia"/>
        </w:rPr>
        <w:t>一般农业区</w:t>
      </w:r>
    </w:p>
    <w:p>
      <w:pPr>
        <w:spacing w:before="65"/>
        <w:ind w:firstLine="640"/>
      </w:pPr>
      <w:r>
        <w:rPr>
          <w:rFonts w:hint="eastAsia"/>
          <w:lang w:bidi="ar"/>
        </w:rPr>
        <w:t>全镇划定一般农业区面积</w:t>
      </w:r>
      <w:r>
        <w:rPr>
          <w:lang w:bidi="ar"/>
        </w:rPr>
        <w:t>1820.87公顷，占全域乡村发展区面积的70.10%。</w:t>
      </w:r>
    </w:p>
    <w:bookmarkEnd w:id="60"/>
    <w:p>
      <w:pPr>
        <w:spacing w:before="65"/>
        <w:ind w:firstLine="640"/>
      </w:pPr>
      <w:r>
        <w:rPr>
          <w:lang w:bidi="ar"/>
        </w:rPr>
        <w:t>（</w:t>
      </w:r>
      <w:r>
        <w:rPr>
          <w:rFonts w:hint="eastAsia"/>
          <w:lang w:bidi="ar"/>
        </w:rPr>
        <w:t>1）用途准入</w:t>
      </w:r>
    </w:p>
    <w:p>
      <w:pPr>
        <w:spacing w:before="65"/>
        <w:ind w:firstLine="640"/>
        <w:rPr>
          <w:lang w:bidi="ar"/>
        </w:rPr>
      </w:pPr>
      <w:r>
        <w:rPr>
          <w:rFonts w:hint="eastAsia"/>
          <w:lang w:bidi="ar"/>
        </w:rPr>
        <w:t>一般农业区中的耕地按照《土地管理法》、《土地管理法实施条例》、《关于坚决制止耕地“非农化”防止耕地“非粮化”稳定发展粮食生产的意见》等法律法规、文件的要求进行管控。</w:t>
      </w:r>
    </w:p>
    <w:p>
      <w:pPr>
        <w:spacing w:before="65"/>
        <w:ind w:firstLine="640"/>
      </w:pPr>
      <w:r>
        <w:rPr>
          <w:rFonts w:hint="eastAsia"/>
          <w:lang w:bidi="ar"/>
        </w:rPr>
        <w:t>一般农业区内的耕地优先用于粮食和棉、油、糖、蔬菜等农产品生产。一般农业区内鼓励依据国土空间规划、全域土地综合整治规划等相关规划开展土地整治，提升耕地质量，促进区内建设用地、其他农用地整治为耕地。一般农业区中。</w:t>
      </w:r>
    </w:p>
    <w:p>
      <w:pPr>
        <w:spacing w:before="65"/>
        <w:ind w:firstLine="640"/>
      </w:pPr>
      <w:r>
        <w:rPr>
          <w:rFonts w:hint="eastAsia"/>
          <w:lang w:bidi="ar"/>
        </w:rPr>
        <w:t>在符合国土空间规划和其他相关规划的前提下，一般农业区允许农业设施建设用地准入，使用后必须恢复原用途。严格控制农业设施建设用地转化为非农建设用地。</w:t>
      </w:r>
    </w:p>
    <w:p>
      <w:pPr>
        <w:spacing w:before="65"/>
        <w:ind w:firstLine="640"/>
      </w:pPr>
      <w:r>
        <w:rPr>
          <w:rFonts w:hint="eastAsia"/>
          <w:lang w:bidi="ar"/>
        </w:rPr>
        <w:t>一般农业区中的永久基本农田储备耕地在补划为永久基本农田前，按照一般耕地管理和使用，并及时进行补充更新。重大建设项目或整改补划永久基本农田的，可直接在永久基本农田储备耕地中进行补划。</w:t>
      </w:r>
    </w:p>
    <w:p>
      <w:pPr>
        <w:spacing w:before="65"/>
        <w:ind w:firstLine="640"/>
      </w:pPr>
      <w:r>
        <w:rPr>
          <w:lang w:bidi="ar"/>
        </w:rPr>
        <w:t>（</w:t>
      </w:r>
      <w:r>
        <w:rPr>
          <w:rFonts w:hint="eastAsia"/>
          <w:lang w:bidi="ar"/>
        </w:rPr>
        <w:t>2）用途退出</w:t>
      </w:r>
    </w:p>
    <w:p>
      <w:pPr>
        <w:spacing w:before="65"/>
        <w:ind w:firstLine="640"/>
      </w:pPr>
      <w:r>
        <w:rPr>
          <w:rFonts w:hint="eastAsia"/>
          <w:lang w:bidi="ar"/>
        </w:rPr>
        <w:t>下列用途应通过国土空间规划的编制和实施有序退出，并限期恢复种植条件，规划期间确实不能恢复种植条件的，允许保留现状用途，但不得扩大面积。包括：一般农业区内破坏、污染耕地的开发生产活动；违法违规占用耕地的用途；零星的建设用地等用途。</w:t>
      </w:r>
    </w:p>
    <w:p>
      <w:pPr>
        <w:pStyle w:val="4"/>
      </w:pPr>
      <w:r>
        <w:rPr>
          <w:rFonts w:hint="eastAsia"/>
        </w:rPr>
        <w:t>矿产能源发展区</w:t>
      </w:r>
    </w:p>
    <w:p>
      <w:pPr>
        <w:ind w:firstLine="640"/>
      </w:pPr>
      <w:r>
        <w:rPr>
          <w:rFonts w:hint="eastAsia"/>
        </w:rPr>
        <w:t>1</w:t>
      </w:r>
      <w:r>
        <w:t>.矿产能源发展区划定</w:t>
      </w:r>
    </w:p>
    <w:p>
      <w:pPr>
        <w:spacing w:before="65"/>
        <w:ind w:firstLine="640"/>
      </w:pPr>
      <w:r>
        <w:rPr>
          <w:rFonts w:hint="eastAsia"/>
          <w:lang w:bidi="ar"/>
        </w:rPr>
        <w:t>全镇划定矿产能源发展区面积</w:t>
      </w:r>
      <w:r>
        <w:rPr>
          <w:lang w:bidi="ar"/>
        </w:rPr>
        <w:t>543.40公顷，占全域面积的1.92%</w:t>
      </w:r>
      <w:r>
        <w:rPr>
          <w:rFonts w:hint="eastAsia"/>
          <w:lang w:bidi="ar"/>
        </w:rPr>
        <w:t>。</w:t>
      </w:r>
    </w:p>
    <w:p>
      <w:pPr>
        <w:ind w:firstLine="640"/>
      </w:pPr>
      <w:r>
        <w:rPr>
          <w:rFonts w:hint="eastAsia"/>
        </w:rPr>
        <w:t>2</w:t>
      </w:r>
      <w:r>
        <w:t>.管控规则</w:t>
      </w:r>
    </w:p>
    <w:p>
      <w:pPr>
        <w:spacing w:before="65"/>
        <w:ind w:firstLine="640"/>
      </w:pPr>
      <w:r>
        <w:rPr>
          <w:lang w:bidi="ar"/>
        </w:rPr>
        <w:t>（</w:t>
      </w:r>
      <w:r>
        <w:rPr>
          <w:rFonts w:hint="eastAsia"/>
          <w:lang w:bidi="ar"/>
        </w:rPr>
        <w:t>1）用途准入</w:t>
      </w:r>
    </w:p>
    <w:p>
      <w:pPr>
        <w:spacing w:before="65"/>
        <w:ind w:firstLine="640"/>
      </w:pPr>
      <w:r>
        <w:rPr>
          <w:rFonts w:hint="eastAsia"/>
          <w:lang w:bidi="ar"/>
        </w:rPr>
        <w:t>在符合国土空间规划和其他相关规划的前提下，矿产能源发展区允许矿产资源的勘探、开采、初加工以及相关的配套设施建设，禁止大规模的城镇建设。</w:t>
      </w:r>
    </w:p>
    <w:p>
      <w:pPr>
        <w:spacing w:before="65"/>
        <w:ind w:firstLine="640"/>
      </w:pPr>
      <w:r>
        <w:rPr>
          <w:rFonts w:hint="eastAsia"/>
          <w:lang w:bidi="ar"/>
        </w:rPr>
        <w:t>在符合国土空间规划和其他相关规划的前提下，矿产能源发展区允许开展农用地整理和其他土地整治工程的实施，鼓励生态修复和生态建设工程。</w:t>
      </w:r>
    </w:p>
    <w:p>
      <w:pPr>
        <w:spacing w:before="65"/>
        <w:ind w:firstLine="640"/>
      </w:pPr>
      <w:r>
        <w:rPr>
          <w:lang w:bidi="ar"/>
        </w:rPr>
        <w:t>（</w:t>
      </w:r>
      <w:r>
        <w:rPr>
          <w:rFonts w:hint="eastAsia"/>
          <w:lang w:bidi="ar"/>
        </w:rPr>
        <w:t>2）用途退出</w:t>
      </w:r>
    </w:p>
    <w:p>
      <w:pPr>
        <w:spacing w:before="65"/>
        <w:ind w:firstLine="640"/>
        <w:rPr>
          <w:lang w:bidi="ar"/>
        </w:rPr>
      </w:pPr>
      <w:r>
        <w:rPr>
          <w:rFonts w:hint="eastAsia"/>
          <w:lang w:bidi="ar"/>
        </w:rPr>
        <w:t>在符合国土空间规划和其他相关规划的前提下，不符合准入规则、影响矿产能源勘探和开采的用途应有序退出。</w:t>
      </w:r>
    </w:p>
    <w:p>
      <w:pPr>
        <w:spacing w:before="65"/>
        <w:ind w:firstLine="640"/>
        <w:rPr>
          <w:lang w:bidi="ar"/>
        </w:rPr>
      </w:pPr>
      <w:r>
        <w:rPr>
          <w:rFonts w:hint="eastAsia"/>
          <w:lang w:bidi="ar"/>
        </w:rPr>
        <w:t>规划分区详见附表3。</w:t>
      </w:r>
    </w:p>
    <w:p>
      <w:pPr>
        <w:spacing w:before="65"/>
        <w:ind w:firstLine="640"/>
        <w:rPr>
          <w:lang w:bidi="ar"/>
        </w:rPr>
      </w:pPr>
      <w:r>
        <w:rPr>
          <w:lang w:bidi="ar"/>
        </w:rPr>
        <w:br w:type="page"/>
      </w:r>
    </w:p>
    <w:p>
      <w:pPr>
        <w:spacing w:before="65"/>
        <w:ind w:firstLine="640"/>
        <w:rPr>
          <w:lang w:bidi="ar"/>
        </w:rPr>
      </w:pPr>
    </w:p>
    <w:p>
      <w:pPr>
        <w:pStyle w:val="2"/>
      </w:pPr>
      <w:bookmarkStart w:id="61" w:name="_Toc221004619"/>
      <w:r>
        <w:rPr>
          <w:rFonts w:hint="eastAsia"/>
        </w:rPr>
        <w:t>国土空间功能结构调整</w:t>
      </w:r>
      <w:bookmarkEnd w:id="61"/>
    </w:p>
    <w:p>
      <w:pPr>
        <w:pStyle w:val="3"/>
      </w:pPr>
      <w:bookmarkStart w:id="62" w:name="_Toc185606054"/>
      <w:r>
        <w:rPr>
          <w:rFonts w:hint="eastAsia"/>
        </w:rPr>
        <w:t>国土空间功能结构调整</w:t>
      </w:r>
      <w:bookmarkEnd w:id="62"/>
    </w:p>
    <w:bookmarkEnd w:id="36"/>
    <w:p>
      <w:pPr>
        <w:pStyle w:val="4"/>
      </w:pPr>
      <w:r>
        <w:rPr>
          <w:rFonts w:hint="eastAsia"/>
        </w:rPr>
        <w:t>优化国土空间功能结构调整</w:t>
      </w:r>
    </w:p>
    <w:p>
      <w:pPr>
        <w:widowControl w:val="0"/>
        <w:spacing w:before="48" w:after="163" w:afterLines="50"/>
        <w:ind w:firstLine="640"/>
        <w:rPr>
          <w:lang w:bidi="ar"/>
        </w:rPr>
      </w:pPr>
      <w:r>
        <w:rPr>
          <w:rFonts w:hint="eastAsia" w:ascii="Times New Roman" w:cs="宋体"/>
          <w:lang w:bidi="ar"/>
        </w:rPr>
        <w:t>规划</w:t>
      </w:r>
      <w:r>
        <w:rPr>
          <w:rFonts w:ascii="Times New Roman" w:cs="宋体"/>
          <w:lang w:bidi="ar"/>
        </w:rPr>
        <w:t>期内</w:t>
      </w:r>
      <w:r>
        <w:rPr>
          <w:rFonts w:hint="eastAsia" w:ascii="Times New Roman" w:cs="宋体"/>
          <w:lang w:bidi="ar"/>
        </w:rPr>
        <w:t>，耕地面积不低于</w:t>
      </w:r>
      <w:r>
        <w:t>3797.91</w:t>
      </w:r>
      <w:r>
        <w:rPr>
          <w:rFonts w:hint="eastAsia" w:ascii="Times New Roman" w:cs="宋体"/>
          <w:lang w:bidi="ar"/>
        </w:rPr>
        <w:t>公顷（耕地保有量）；</w:t>
      </w:r>
      <w:r>
        <w:rPr>
          <w:rFonts w:ascii="Times New Roman" w:cs="宋体"/>
          <w:lang w:bidi="ar"/>
        </w:rPr>
        <w:t>规划至2035年</w:t>
      </w:r>
      <w:r>
        <w:rPr>
          <w:rFonts w:hint="eastAsia" w:ascii="Times New Roman" w:cs="宋体"/>
          <w:lang w:bidi="ar"/>
        </w:rPr>
        <w:t>园地面积适量减少，林地面积保持稳定；草地面积</w:t>
      </w:r>
      <w:bookmarkStart w:id="63" w:name="OLE_LINK5"/>
      <w:bookmarkStart w:id="64" w:name="OLE_LINK4"/>
      <w:r>
        <w:rPr>
          <w:rFonts w:hint="eastAsia" w:ascii="Times New Roman" w:cs="宋体"/>
          <w:lang w:bidi="ar"/>
        </w:rPr>
        <w:t>适度减少</w:t>
      </w:r>
      <w:bookmarkEnd w:id="63"/>
      <w:bookmarkEnd w:id="64"/>
      <w:r>
        <w:rPr>
          <w:rFonts w:hint="eastAsia" w:ascii="Times New Roman" w:cs="宋体"/>
          <w:lang w:bidi="ar"/>
        </w:rPr>
        <w:t>；湿地保持稳定；农业设施建设用地适度增加；城镇用地面积不超过</w:t>
      </w:r>
      <w:r>
        <w:t>307.46</w:t>
      </w:r>
      <w:r>
        <w:rPr>
          <w:rFonts w:hint="eastAsia" w:ascii="Times New Roman" w:cs="宋体"/>
          <w:lang w:bidi="ar"/>
        </w:rPr>
        <w:t>公顷；</w:t>
      </w:r>
      <w:r>
        <w:rPr>
          <w:rFonts w:hint="eastAsia"/>
        </w:rPr>
        <w:t>村庄用地规模不得超过城镇开发边界外村庄用地总规模</w:t>
      </w:r>
      <w:r>
        <w:t>786.61公顷</w:t>
      </w:r>
      <w:r>
        <w:rPr>
          <w:rFonts w:hint="eastAsia" w:ascii="Times New Roman" w:cs="宋体"/>
          <w:lang w:bidi="ar"/>
        </w:rPr>
        <w:t>；区域基础设施用地面积持续增加；其他建设用地面积适度增加；陆地水域</w:t>
      </w:r>
      <w:r>
        <w:rPr>
          <w:rFonts w:hint="eastAsia"/>
          <w:lang w:bidi="ar"/>
        </w:rPr>
        <w:t>保持稳定</w:t>
      </w:r>
      <w:r>
        <w:rPr>
          <w:rFonts w:hint="eastAsia" w:ascii="Times New Roman" w:cs="宋体"/>
          <w:lang w:bidi="ar"/>
        </w:rPr>
        <w:t>（</w:t>
      </w:r>
      <w:r>
        <w:rPr>
          <w:rFonts w:hint="eastAsia"/>
          <w:lang w:val="zh-CN" w:bidi="ar"/>
        </w:rPr>
        <w:t>详见附表</w:t>
      </w:r>
      <w:r>
        <w:rPr>
          <w:lang w:val="zh-CN" w:bidi="ar"/>
        </w:rPr>
        <w:t>4</w:t>
      </w:r>
      <w:r>
        <w:rPr>
          <w:rFonts w:hint="eastAsia" w:ascii="Times New Roman" w:cs="宋体"/>
          <w:lang w:bidi="ar"/>
        </w:rPr>
        <w:t>）。</w:t>
      </w:r>
    </w:p>
    <w:p>
      <w:pPr>
        <w:pStyle w:val="5"/>
        <w:ind w:firstLine="640"/>
      </w:pPr>
      <w:bookmarkStart w:id="65" w:name="_Hlk206605833"/>
      <w:r>
        <w:rPr>
          <w:rFonts w:hint="eastAsia"/>
        </w:rPr>
        <w:t>优化农用地结构</w:t>
      </w:r>
    </w:p>
    <w:bookmarkEnd w:id="65"/>
    <w:p>
      <w:pPr>
        <w:widowControl w:val="0"/>
        <w:spacing w:before="48" w:after="163" w:afterLines="50"/>
        <w:ind w:firstLine="640"/>
        <w:rPr>
          <w:lang w:bidi="ar"/>
        </w:rPr>
      </w:pPr>
      <w:r>
        <w:rPr>
          <w:rFonts w:hint="eastAsia"/>
          <w:lang w:bidi="ar"/>
        </w:rPr>
        <w:t>耕地：规划期内全镇耕地面积不低于在“三区三线”划定成果中确定的耕地保护目标</w:t>
      </w:r>
      <w:r>
        <w:t>3797.91</w:t>
      </w:r>
      <w:r>
        <w:rPr>
          <w:rFonts w:hint="eastAsia"/>
          <w:lang w:bidi="ar"/>
        </w:rPr>
        <w:t>公顷。</w:t>
      </w:r>
    </w:p>
    <w:p>
      <w:pPr>
        <w:widowControl w:val="0"/>
        <w:spacing w:before="48" w:after="163" w:afterLines="50"/>
        <w:ind w:firstLine="640"/>
        <w:rPr>
          <w:lang w:bidi="ar"/>
        </w:rPr>
      </w:pPr>
      <w:r>
        <w:rPr>
          <w:rFonts w:hint="eastAsia"/>
          <w:lang w:bidi="ar"/>
        </w:rPr>
        <w:t>园地：规划至2035年，园地面积适度减少。</w:t>
      </w:r>
    </w:p>
    <w:p>
      <w:pPr>
        <w:widowControl w:val="0"/>
        <w:spacing w:before="48" w:after="163" w:afterLines="50"/>
        <w:ind w:firstLine="640"/>
        <w:rPr>
          <w:lang w:bidi="ar"/>
        </w:rPr>
      </w:pPr>
      <w:r>
        <w:rPr>
          <w:rFonts w:hint="eastAsia"/>
          <w:lang w:bidi="ar"/>
        </w:rPr>
        <w:t>林地：规划期内，林地面积保持稳定。</w:t>
      </w:r>
    </w:p>
    <w:p>
      <w:pPr>
        <w:widowControl w:val="0"/>
        <w:spacing w:before="48" w:after="163" w:afterLines="50"/>
        <w:ind w:firstLine="640"/>
        <w:rPr>
          <w:lang w:bidi="ar"/>
        </w:rPr>
      </w:pPr>
      <w:r>
        <w:rPr>
          <w:rFonts w:hint="eastAsia"/>
          <w:lang w:bidi="ar"/>
        </w:rPr>
        <w:t>草地：规划至2035年，草地面积结合土地综合整治项目</w:t>
      </w:r>
      <w:r>
        <w:rPr>
          <w:rFonts w:hint="eastAsia" w:ascii="Times New Roman" w:cs="宋体"/>
          <w:lang w:bidi="ar"/>
        </w:rPr>
        <w:t>适度减少</w:t>
      </w:r>
      <w:r>
        <w:rPr>
          <w:rFonts w:hint="eastAsia"/>
          <w:lang w:bidi="ar"/>
        </w:rPr>
        <w:t>。</w:t>
      </w:r>
    </w:p>
    <w:p>
      <w:pPr>
        <w:widowControl w:val="0"/>
        <w:spacing w:before="48" w:after="163" w:afterLines="50"/>
        <w:ind w:firstLine="640"/>
        <w:rPr>
          <w:lang w:bidi="ar"/>
        </w:rPr>
      </w:pPr>
      <w:r>
        <w:rPr>
          <w:rFonts w:hint="eastAsia"/>
          <w:lang w:bidi="ar"/>
        </w:rPr>
        <w:t>湿地：规划至</w:t>
      </w:r>
      <w:r>
        <w:rPr>
          <w:lang w:bidi="ar"/>
        </w:rPr>
        <w:t>2035年，</w:t>
      </w:r>
      <w:r>
        <w:rPr>
          <w:rFonts w:hint="eastAsia"/>
          <w:lang w:bidi="ar"/>
        </w:rPr>
        <w:t>湿地</w:t>
      </w:r>
      <w:r>
        <w:rPr>
          <w:lang w:bidi="ar"/>
        </w:rPr>
        <w:t>面积</w:t>
      </w:r>
      <w:r>
        <w:rPr>
          <w:rFonts w:hint="eastAsia"/>
          <w:lang w:bidi="ar"/>
        </w:rPr>
        <w:t>保持稳定。</w:t>
      </w:r>
    </w:p>
    <w:p>
      <w:pPr>
        <w:ind w:firstLine="640"/>
      </w:pPr>
      <w:r>
        <w:rPr>
          <w:rFonts w:hint="eastAsia"/>
        </w:rPr>
        <w:t>农业设施建设用地：根据《河南省人民政府办公厅关于印发河南省因地制宜发展设施种植业促进农民增收三年行动方案（2025—2027年）的通知》，结合每个行政村的实际需求，分批分步安排100亩左右相对集中的一般耕地，保障设施种植业稳步发展。因此农业设施建设用地适度增加。</w:t>
      </w:r>
    </w:p>
    <w:p>
      <w:pPr>
        <w:pStyle w:val="5"/>
        <w:ind w:firstLine="640"/>
      </w:pPr>
      <w:bookmarkStart w:id="66" w:name="_Hlk206605851"/>
      <w:r>
        <w:rPr>
          <w:rFonts w:hint="eastAsia"/>
        </w:rPr>
        <w:t>优化建设用地结构</w:t>
      </w:r>
      <w:bookmarkEnd w:id="66"/>
    </w:p>
    <w:p>
      <w:pPr>
        <w:spacing w:before="48"/>
        <w:ind w:firstLine="640"/>
        <w:rPr>
          <w:lang w:bidi="ar"/>
        </w:rPr>
      </w:pPr>
      <w:r>
        <w:rPr>
          <w:rFonts w:hint="eastAsia"/>
          <w:lang w:bidi="ar"/>
        </w:rPr>
        <w:t>城镇用地：</w:t>
      </w:r>
      <w:r>
        <w:rPr>
          <w:lang w:bidi="ar"/>
        </w:rPr>
        <w:t>规划至2035年城镇用地规模不得超过</w:t>
      </w:r>
      <w:r>
        <w:t>307.46</w:t>
      </w:r>
      <w:r>
        <w:rPr>
          <w:lang w:bidi="ar"/>
        </w:rPr>
        <w:t>公顷</w:t>
      </w:r>
      <w:r>
        <w:rPr>
          <w:rFonts w:hint="eastAsia"/>
          <w:lang w:bidi="ar"/>
        </w:rPr>
        <w:t>。</w:t>
      </w:r>
    </w:p>
    <w:p>
      <w:pPr>
        <w:spacing w:before="48"/>
        <w:ind w:firstLine="640"/>
      </w:pPr>
      <w:r>
        <w:rPr>
          <w:rFonts w:hint="eastAsia"/>
          <w:lang w:bidi="ar"/>
        </w:rPr>
        <w:t>村庄用地：规划至2</w:t>
      </w:r>
      <w:r>
        <w:rPr>
          <w:lang w:bidi="ar"/>
        </w:rPr>
        <w:t>035</w:t>
      </w:r>
      <w:r>
        <w:rPr>
          <w:rFonts w:hint="eastAsia"/>
          <w:lang w:bidi="ar"/>
        </w:rPr>
        <w:t>年,村庄用地</w:t>
      </w:r>
      <w:r>
        <w:rPr>
          <w:lang w:bidi="ar"/>
        </w:rPr>
        <w:t>规模不得超过城镇开发边界外村庄用地总规模</w:t>
      </w:r>
      <w:r>
        <w:t>786.61</w:t>
      </w:r>
      <w:r>
        <w:rPr>
          <w:lang w:bidi="ar"/>
        </w:rPr>
        <w:t>公顷</w:t>
      </w:r>
      <w:r>
        <w:rPr>
          <w:rFonts w:hint="eastAsia"/>
          <w:lang w:bidi="ar"/>
        </w:rPr>
        <w:t>。</w:t>
      </w:r>
    </w:p>
    <w:p>
      <w:pPr>
        <w:spacing w:before="48"/>
        <w:ind w:firstLine="640"/>
      </w:pPr>
      <w:bookmarkStart w:id="67" w:name="_Hlk206605887"/>
      <w:r>
        <w:rPr>
          <w:rFonts w:hint="eastAsia"/>
          <w:lang w:bidi="ar"/>
        </w:rPr>
        <w:t>区域基础设施用地：</w:t>
      </w:r>
      <w:bookmarkEnd w:id="67"/>
      <w:r>
        <w:rPr>
          <w:rFonts w:hint="eastAsia"/>
          <w:lang w:bidi="ar"/>
        </w:rPr>
        <w:t>规划期内，严格落实国家、省、市级重点项目用地需求，规划期内区域基础设施用地根据实际需求增加。</w:t>
      </w:r>
    </w:p>
    <w:p>
      <w:pPr>
        <w:ind w:firstLine="640"/>
      </w:pPr>
      <w:bookmarkStart w:id="68" w:name="_Hlk206605897"/>
      <w:r>
        <w:t>其他建设用地</w:t>
      </w:r>
      <w:r>
        <w:rPr>
          <w:rFonts w:hint="eastAsia"/>
        </w:rPr>
        <w:t>：</w:t>
      </w:r>
      <w:r>
        <w:rPr>
          <w:rFonts w:hint="eastAsia"/>
          <w:lang w:bidi="ar"/>
        </w:rPr>
        <w:t>落实部门</w:t>
      </w:r>
      <w:r>
        <w:rPr>
          <w:lang w:bidi="ar"/>
        </w:rPr>
        <w:t>相关</w:t>
      </w:r>
      <w:r>
        <w:rPr>
          <w:rFonts w:hint="eastAsia"/>
          <w:lang w:bidi="ar"/>
        </w:rPr>
        <w:t>规划，矿产、旅游、民生等用地需求，规划期内其他建设用地适度增加。</w:t>
      </w:r>
    </w:p>
    <w:bookmarkEnd w:id="68"/>
    <w:p>
      <w:pPr>
        <w:pStyle w:val="5"/>
        <w:ind w:firstLine="640"/>
      </w:pPr>
      <w:bookmarkStart w:id="69" w:name="_Hlk206605870"/>
      <w:r>
        <w:rPr>
          <w:rFonts w:hint="eastAsia"/>
        </w:rPr>
        <w:t>合理利用其他土地</w:t>
      </w:r>
      <w:bookmarkEnd w:id="69"/>
    </w:p>
    <w:p>
      <w:pPr>
        <w:ind w:firstLine="640"/>
        <w:rPr>
          <w:lang w:bidi="ar"/>
        </w:rPr>
      </w:pPr>
      <w:r>
        <w:rPr>
          <w:rFonts w:hint="eastAsia"/>
          <w:lang w:bidi="ar"/>
        </w:rPr>
        <w:t>严格河湖水域岸线管理保护，积极开展默河、花北河、梅子河以及农村</w:t>
      </w:r>
      <w:r>
        <w:rPr>
          <w:lang w:bidi="ar"/>
        </w:rPr>
        <w:t>水系沟渠连通治理工程，提高河道防洪能力，规划期末陆地水域面积保持稳定</w:t>
      </w:r>
      <w:r>
        <w:rPr>
          <w:rFonts w:hint="eastAsia"/>
          <w:lang w:bidi="ar"/>
        </w:rPr>
        <w:t>。</w:t>
      </w:r>
    </w:p>
    <w:p>
      <w:pPr>
        <w:pStyle w:val="3"/>
      </w:pPr>
      <w:bookmarkStart w:id="70" w:name="_Toc185606055"/>
      <w:r>
        <w:rPr>
          <w:rFonts w:hint="eastAsia"/>
        </w:rPr>
        <w:t>留白用地</w:t>
      </w:r>
      <w:bookmarkEnd w:id="70"/>
    </w:p>
    <w:p>
      <w:pPr>
        <w:pStyle w:val="4"/>
      </w:pPr>
      <w:r>
        <w:rPr>
          <w:rFonts w:hint="eastAsia"/>
        </w:rPr>
        <w:t>留白用地</w:t>
      </w:r>
    </w:p>
    <w:p>
      <w:pPr>
        <w:spacing w:before="65"/>
        <w:ind w:firstLine="640"/>
      </w:pPr>
      <w:r>
        <w:rPr>
          <w:rFonts w:hint="eastAsia"/>
        </w:rPr>
        <w:t>村庄规划阶段可按照现状村庄建设用地的</w:t>
      </w:r>
      <w:r>
        <w:t>5%作为规划留白，用于暂时无法确定用途或位置的乡镇域内农村公益设施、乡村文旅设施、农村一二三产融合发展用地等。规划留白不得占用永久基本农田、生态保护红线。</w:t>
      </w:r>
    </w:p>
    <w:p>
      <w:pPr>
        <w:spacing w:before="65"/>
        <w:ind w:firstLine="640"/>
      </w:pPr>
      <w:r>
        <w:br w:type="page"/>
      </w:r>
    </w:p>
    <w:p>
      <w:pPr>
        <w:spacing w:before="65"/>
        <w:ind w:firstLine="640"/>
      </w:pPr>
    </w:p>
    <w:p>
      <w:pPr>
        <w:pStyle w:val="2"/>
        <w:spacing w:before="489" w:beforeLines="150" w:after="489" w:afterLines="150"/>
      </w:pPr>
      <w:bookmarkStart w:id="71" w:name="_Toc185606056"/>
      <w:bookmarkStart w:id="72" w:name="_Toc211258493"/>
      <w:bookmarkStart w:id="73" w:name="_Toc221004620"/>
      <w:r>
        <w:rPr>
          <w:rFonts w:hint="eastAsia"/>
        </w:rPr>
        <w:t>自然资源保护与利用</w:t>
      </w:r>
      <w:bookmarkEnd w:id="71"/>
      <w:bookmarkEnd w:id="72"/>
      <w:bookmarkEnd w:id="73"/>
    </w:p>
    <w:p>
      <w:pPr>
        <w:pStyle w:val="3"/>
        <w:spacing w:before="326" w:beforeLines="100" w:after="326" w:afterLines="100"/>
      </w:pPr>
      <w:bookmarkStart w:id="74" w:name="_Toc185606057"/>
      <w:r>
        <w:rPr>
          <w:rFonts w:hint="eastAsia"/>
        </w:rPr>
        <w:t>耕地资源保护与利用</w:t>
      </w:r>
      <w:bookmarkEnd w:id="74"/>
    </w:p>
    <w:p>
      <w:pPr>
        <w:pStyle w:val="4"/>
      </w:pPr>
      <w:r>
        <w:rPr>
          <w:rFonts w:hint="eastAsia"/>
        </w:rPr>
        <w:t>严格落实耕地保护责任</w:t>
      </w:r>
    </w:p>
    <w:p>
      <w:pPr>
        <w:spacing w:before="65"/>
        <w:ind w:firstLine="640"/>
        <w:rPr>
          <w:lang w:bidi="ar"/>
        </w:rPr>
      </w:pPr>
      <w:r>
        <w:rPr>
          <w:rFonts w:hint="eastAsia"/>
          <w:lang w:bidi="ar"/>
        </w:rPr>
        <w:t>落实“合理利用土地、切实保护耕地”的基本国策，落实耕地保护目标，严守耕地保护红线，保证面积不减少、质量有提升、生态有改善。</w:t>
      </w:r>
      <w:r>
        <w:rPr>
          <w:rFonts w:hint="eastAsia"/>
          <w:u w:val="single"/>
          <w:lang w:bidi="ar"/>
        </w:rPr>
        <w:t>规划至2035年，全镇耕地保有量不低于</w:t>
      </w:r>
      <w:r>
        <w:rPr>
          <w:u w:val="single"/>
          <w:lang w:bidi="ar"/>
        </w:rPr>
        <w:t>3797.91</w:t>
      </w:r>
      <w:r>
        <w:rPr>
          <w:rFonts w:hint="eastAsia"/>
          <w:u w:val="single"/>
          <w:lang w:bidi="ar"/>
        </w:rPr>
        <w:t>公顷</w:t>
      </w:r>
      <w:r>
        <w:rPr>
          <w:u w:val="single"/>
          <w:lang w:bidi="ar"/>
        </w:rPr>
        <w:t>，</w:t>
      </w:r>
      <w:r>
        <w:rPr>
          <w:rFonts w:hint="eastAsia"/>
          <w:u w:val="single"/>
        </w:rPr>
        <w:t>上位规划传导马山口镇永久基本农田红线</w:t>
      </w:r>
      <w:r>
        <w:rPr>
          <w:u w:val="single"/>
        </w:rPr>
        <w:t>3599.69公顷</w:t>
      </w:r>
      <w:r>
        <w:t>，</w:t>
      </w:r>
      <w:r>
        <w:rPr>
          <w:lang w:bidi="ar"/>
        </w:rPr>
        <w:t>根据永久基本农田核实处置成果，</w:t>
      </w:r>
      <w:r>
        <w:t>实际落实永久基本农田保护红线3531.26公顷。</w:t>
      </w:r>
      <w:r>
        <w:rPr>
          <w:rFonts w:hint="eastAsia"/>
          <w:lang w:bidi="ar"/>
        </w:rPr>
        <w:t>严格落实</w:t>
      </w:r>
      <w:r>
        <w:rPr>
          <w:lang w:bidi="ar"/>
        </w:rPr>
        <w:t>划定</w:t>
      </w:r>
      <w:r>
        <w:rPr>
          <w:rFonts w:hint="eastAsia"/>
          <w:lang w:bidi="ar"/>
        </w:rPr>
        <w:t>的耕地保护图斑，</w:t>
      </w:r>
      <w:r>
        <w:t>足额带位置</w:t>
      </w:r>
      <w:r>
        <w:rPr>
          <w:rFonts w:hint="eastAsia"/>
        </w:rPr>
        <w:t>落实</w:t>
      </w:r>
      <w:r>
        <w:t>到</w:t>
      </w:r>
      <w:r>
        <w:rPr>
          <w:rFonts w:hint="eastAsia"/>
        </w:rPr>
        <w:t>村庄</w:t>
      </w:r>
      <w:r>
        <w:t>、到地块，上图入库、建档立卡，守住耕地保护和粮食安全底线。</w:t>
      </w:r>
      <w:r>
        <w:rPr>
          <w:rFonts w:hint="eastAsia"/>
          <w:lang w:bidi="ar"/>
        </w:rPr>
        <w:t>落实“长牙齿”的耕地保护措施，</w:t>
      </w:r>
      <w:r>
        <w:rPr>
          <w:lang w:bidi="ar"/>
        </w:rPr>
        <w:t>落实</w:t>
      </w:r>
      <w:r>
        <w:rPr>
          <w:rFonts w:hint="eastAsia"/>
          <w:lang w:bidi="ar"/>
        </w:rPr>
        <w:t>耕地保护责任目标考核机制，</w:t>
      </w:r>
      <w:r>
        <w:rPr>
          <w:lang w:bidi="ar"/>
        </w:rPr>
        <w:t>落实</w:t>
      </w:r>
      <w:r>
        <w:rPr>
          <w:rFonts w:hint="eastAsia"/>
          <w:lang w:bidi="ar"/>
        </w:rPr>
        <w:t>耕地保护党政同责、终生追责。</w:t>
      </w:r>
      <w:r>
        <w:rPr>
          <w:lang w:bidi="ar"/>
        </w:rPr>
        <w:t>严格落实</w:t>
      </w:r>
      <w:r>
        <w:rPr>
          <w:rFonts w:hint="eastAsia"/>
          <w:lang w:bidi="ar"/>
        </w:rPr>
        <w:t>推进“非农化”问题排查整治，严格控制耕地转为林地、草地、园地等其他农用地。</w:t>
      </w:r>
    </w:p>
    <w:p>
      <w:pPr>
        <w:pStyle w:val="4"/>
      </w:pPr>
      <w:r>
        <w:t>严格落实耕地种植用途管控</w:t>
      </w:r>
    </w:p>
    <w:p>
      <w:pPr>
        <w:spacing w:before="65"/>
        <w:ind w:firstLine="640"/>
        <w:rPr>
          <w:lang w:bidi="ar"/>
        </w:rPr>
      </w:pPr>
      <w:r>
        <w:rPr>
          <w:lang w:bidi="ar"/>
        </w:rPr>
        <w:t>落实耕地种植制度，耕地主要用于粮食和棉、油、糖、蔬菜等农产品生产以及饲草饲料生产，永久基本农田重点用于粮食生产，高标准农田原则上全部用于粮食生产。严守永久基本农田保护红线，严禁擅自占用和改变用途。全面落实田长制，建立多层级网格化管理的耕地保护监督机制，加强耕地执法监督,坚决遏制耕地“非农化”、防止“非粮化”。</w:t>
      </w:r>
    </w:p>
    <w:p>
      <w:pPr>
        <w:pStyle w:val="4"/>
      </w:pPr>
      <w:r>
        <w:rPr>
          <w:rFonts w:hint="eastAsia"/>
        </w:rPr>
        <w:t>严格落实占补平衡</w:t>
      </w:r>
    </w:p>
    <w:p>
      <w:pPr>
        <w:spacing w:before="48"/>
        <w:ind w:firstLine="640"/>
        <w:rPr>
          <w:lang w:bidi="ar"/>
        </w:rPr>
      </w:pPr>
      <w:r>
        <w:rPr>
          <w:rFonts w:hint="eastAsia"/>
          <w:lang w:bidi="ar"/>
        </w:rPr>
        <w:t>严格实行“以补定占”，在实现耕地总量动态平衡前提下，将镇域内稳定利用耕地净增加量作为下年度非农建设允许占用耕地规模上限控制，对违法建设占用耕地相应冻结补充耕地指标。将非农建设、造林种树、种果种茶等各类占用耕地行为统一纳入耕地占补平衡管理；补充耕地坚持以恢复优质耕地为主、新开垦耕地为辅的原则，在符合国土空间规划和生态环境保护要求的前提下，优先将适宜恢复为优质耕地的园地、林地、草地等其他农用地以及低效闲置建设用地统筹作为补充耕地来源。各类实施主体将非耕地垦造、恢复为耕地的，符合规定的可作为补充耕地。</w:t>
      </w:r>
    </w:p>
    <w:p>
      <w:pPr>
        <w:spacing w:before="48"/>
        <w:ind w:firstLine="640"/>
        <w:rPr>
          <w:lang w:bidi="ar"/>
        </w:rPr>
      </w:pPr>
      <w:r>
        <w:rPr>
          <w:rFonts w:hint="eastAsia"/>
          <w:lang w:bidi="ar"/>
        </w:rPr>
        <w:t>拓宽补充耕地来源，规划期内积极稳妥有序开展农村</w:t>
      </w:r>
      <w:r>
        <w:rPr>
          <w:lang w:bidi="ar"/>
        </w:rPr>
        <w:t>建设用地整治，重点推进镇域内“空心村”、闲置宅基地整治，</w:t>
      </w:r>
      <w:bookmarkStart w:id="75" w:name="_Hlk200562350"/>
      <w:r>
        <w:rPr>
          <w:rFonts w:ascii="Times New Roman" w:hAnsi="Times New Roman"/>
          <w:lang w:bidi="ar"/>
        </w:rPr>
        <w:t>规划期内安排农用地</w:t>
      </w:r>
      <w:r>
        <w:rPr>
          <w:rFonts w:hint="eastAsia" w:ascii="Times New Roman" w:hAnsi="Times New Roman"/>
          <w:lang w:bidi="ar"/>
        </w:rPr>
        <w:t>整理</w:t>
      </w:r>
      <w:r>
        <w:rPr>
          <w:rFonts w:ascii="Times New Roman" w:hAnsi="Times New Roman"/>
          <w:lang w:bidi="ar"/>
        </w:rPr>
        <w:t>补充耕地任务238.15公顷，后备资源开发补充耕地任务32.51公顷，安排</w:t>
      </w:r>
      <w:r>
        <w:rPr>
          <w:rFonts w:hint="eastAsia" w:ascii="Times New Roman" w:hAnsi="Times New Roman"/>
          <w:lang w:bidi="ar"/>
        </w:rPr>
        <w:t>农村</w:t>
      </w:r>
      <w:r>
        <w:rPr>
          <w:rFonts w:ascii="Times New Roman" w:hAnsi="Times New Roman"/>
          <w:lang w:bidi="ar"/>
        </w:rPr>
        <w:t>建设用地整治补充耕地106.73公顷</w:t>
      </w:r>
      <w:bookmarkEnd w:id="75"/>
      <w:r>
        <w:rPr>
          <w:rFonts w:hint="eastAsia"/>
          <w:lang w:bidi="ar"/>
        </w:rPr>
        <w:t>。</w:t>
      </w:r>
    </w:p>
    <w:p>
      <w:pPr>
        <w:pStyle w:val="3"/>
      </w:pPr>
      <w:bookmarkStart w:id="76" w:name="_Toc185606058"/>
      <w:r>
        <w:rPr>
          <w:rFonts w:hint="eastAsia"/>
        </w:rPr>
        <w:t>森林资源保护与利用</w:t>
      </w:r>
      <w:bookmarkEnd w:id="76"/>
    </w:p>
    <w:p>
      <w:pPr>
        <w:pStyle w:val="4"/>
      </w:pPr>
      <w:r>
        <w:rPr>
          <w:rFonts w:hint="eastAsia"/>
        </w:rPr>
        <w:t>落实</w:t>
      </w:r>
      <w:r>
        <w:t>森林资源</w:t>
      </w:r>
      <w:r>
        <w:rPr>
          <w:rFonts w:hint="eastAsia"/>
        </w:rPr>
        <w:t>保护任务</w:t>
      </w:r>
    </w:p>
    <w:p>
      <w:pPr>
        <w:spacing w:before="65"/>
        <w:ind w:firstLine="640"/>
      </w:pPr>
      <w:r>
        <w:t>以水源涵养和生物多样性功能提升为目标，不断提高森林覆盖率，巩固和扩大生态空间。</w:t>
      </w:r>
      <w:r>
        <w:rPr>
          <w:rFonts w:hint="eastAsia"/>
        </w:rPr>
        <w:t>优化</w:t>
      </w:r>
      <w:r>
        <w:t>林业生产</w:t>
      </w:r>
      <w:r>
        <w:rPr>
          <w:rFonts w:hint="eastAsia"/>
        </w:rPr>
        <w:t>布局</w:t>
      </w:r>
      <w:r>
        <w:t>，针对</w:t>
      </w:r>
      <w:r>
        <w:rPr>
          <w:rFonts w:hint="eastAsia"/>
        </w:rPr>
        <w:t>镇域</w:t>
      </w:r>
      <w:r>
        <w:t>北部</w:t>
      </w:r>
      <w:r>
        <w:rPr>
          <w:rFonts w:hint="eastAsia"/>
        </w:rPr>
        <w:t>河口村、花北村、默河沿岸</w:t>
      </w:r>
      <w:r>
        <w:t>周边</w:t>
      </w:r>
      <w:r>
        <w:rPr>
          <w:rFonts w:hint="eastAsia"/>
        </w:rPr>
        <w:t>等</w:t>
      </w:r>
      <w:r>
        <w:t>重点区域</w:t>
      </w:r>
      <w:r>
        <w:rPr>
          <w:rFonts w:hint="eastAsia"/>
        </w:rPr>
        <w:t>，</w:t>
      </w:r>
      <w:r>
        <w:t>精准落实绿化空间、科学开展国土绿化</w:t>
      </w:r>
      <w:r>
        <w:rPr>
          <w:rFonts w:hint="eastAsia"/>
        </w:rPr>
        <w:t>。</w:t>
      </w:r>
      <w:bookmarkStart w:id="77" w:name="_Hlk200635027"/>
      <w:r>
        <w:t>至</w:t>
      </w:r>
      <w:r>
        <w:rPr>
          <w:rFonts w:hint="eastAsia"/>
        </w:rPr>
        <w:t>2035年</w:t>
      </w:r>
      <w:r>
        <w:t>，落实造林绿化空间217.55</w:t>
      </w:r>
      <w:r>
        <w:rPr>
          <w:rFonts w:hint="eastAsia"/>
        </w:rPr>
        <w:t>公顷</w:t>
      </w:r>
      <w:r>
        <w:t>。</w:t>
      </w:r>
      <w:bookmarkEnd w:id="77"/>
    </w:p>
    <w:p>
      <w:pPr>
        <w:pStyle w:val="4"/>
      </w:pPr>
      <w:r>
        <w:rPr>
          <w:rFonts w:hint="eastAsia"/>
        </w:rPr>
        <w:t>落实完善</w:t>
      </w:r>
      <w:r>
        <w:t>林地分类保护</w:t>
      </w:r>
      <w:r>
        <w:rPr>
          <w:rFonts w:hint="eastAsia"/>
        </w:rPr>
        <w:t>机制</w:t>
      </w:r>
    </w:p>
    <w:p>
      <w:pPr>
        <w:spacing w:before="65"/>
        <w:ind w:firstLine="640"/>
      </w:pPr>
      <w:r>
        <w:rPr>
          <w:rFonts w:hint="eastAsia"/>
        </w:rPr>
        <w:t>全镇天然林面积</w:t>
      </w:r>
      <w:r>
        <w:t>20220.20公顷，占镇域面积的71.39%，主要分布于北部山区和西部丘陵区；全镇生态公益林面积100.95公顷，占镇域面积的0.36%，全部位于关帝坪村、三岔河村、杏树坪村3个村庄范围内</w:t>
      </w:r>
      <w:r>
        <w:rPr>
          <w:rFonts w:hint="eastAsia"/>
        </w:rPr>
        <w:t>。</w:t>
      </w:r>
    </w:p>
    <w:p>
      <w:pPr>
        <w:spacing w:before="65"/>
        <w:ind w:firstLine="640"/>
      </w:pPr>
      <w:r>
        <w:rPr>
          <w:rFonts w:hint="eastAsia"/>
        </w:rPr>
        <w:t>科学合理进行森林经营，严格遵守限额采伐和凭证采伐的管理制度，全面停止天然林商业性采伐，不得将天然林改造为人工林，不得擅自将公益林改为商品林。巩固提升生态系统碳汇能力，加强重大林业有害生物防治，保护古树名木及其自然环境，助推内乡县森林城市建设。</w:t>
      </w:r>
    </w:p>
    <w:p>
      <w:pPr>
        <w:pStyle w:val="4"/>
      </w:pPr>
      <w:r>
        <w:rPr>
          <w:rFonts w:hint="eastAsia"/>
        </w:rPr>
        <w:t>促进</w:t>
      </w:r>
      <w:r>
        <w:t>森林资源生态产品价值实现</w:t>
      </w:r>
    </w:p>
    <w:p>
      <w:pPr>
        <w:spacing w:before="65"/>
        <w:ind w:firstLine="640"/>
      </w:pPr>
      <w:r>
        <w:rPr>
          <w:rFonts w:hint="eastAsia"/>
        </w:rPr>
        <w:t>依托马山口镇丰富的森林资源，重点</w:t>
      </w:r>
      <w:r>
        <w:t>在镇域北部</w:t>
      </w:r>
      <w:r>
        <w:rPr>
          <w:rFonts w:hint="eastAsia"/>
        </w:rPr>
        <w:t>推进特色经济林、林下经济、森林旅游等产业化集群建设。以马山口镇传统</w:t>
      </w:r>
      <w:r>
        <w:t>林果</w:t>
      </w:r>
      <w:r>
        <w:rPr>
          <w:rFonts w:hint="eastAsia"/>
        </w:rPr>
        <w:t>特色产业为</w:t>
      </w:r>
      <w:r>
        <w:t>依托</w:t>
      </w:r>
      <w:r>
        <w:rPr>
          <w:rFonts w:hint="eastAsia"/>
        </w:rPr>
        <w:t>，推动传统产业优化升级，高标准打造马坪村、三岔河村、关帝坪村</w:t>
      </w:r>
      <w:r>
        <w:t>等</w:t>
      </w:r>
      <w:r>
        <w:rPr>
          <w:rFonts w:hint="eastAsia"/>
        </w:rPr>
        <w:t>森林生产基地。努力推进布局区域化、经营规模化、生产标准化、发展产业化，整合优势资源，以基地建设为载体，围绕“绿色、有机”特色，发展中药材、食用菌、禽类养殖等林下经济。构建以云露山为主体的森林旅游体系，重点打造</w:t>
      </w:r>
      <w:r>
        <w:t>观光</w:t>
      </w:r>
      <w:r>
        <w:rPr>
          <w:rFonts w:hint="eastAsia"/>
        </w:rPr>
        <w:t>旅游体验，建设和完善接待、餐饮、消防、环卫等设施，提高服务保障能力，加快森林旅游产业发展。推进林业一二三产业融合发展，加快林业产业绿色化、优质化、特色化、品牌化建设。</w:t>
      </w:r>
    </w:p>
    <w:p>
      <w:pPr>
        <w:pStyle w:val="3"/>
      </w:pPr>
      <w:bookmarkStart w:id="78" w:name="_Toc200550527"/>
      <w:bookmarkStart w:id="79" w:name="_Hlk200562617"/>
      <w:r>
        <w:rPr>
          <w:rFonts w:hint="eastAsia"/>
        </w:rPr>
        <w:t>落实自然保护地体系</w:t>
      </w:r>
      <w:bookmarkEnd w:id="78"/>
    </w:p>
    <w:p>
      <w:pPr>
        <w:pStyle w:val="4"/>
      </w:pPr>
      <w:r>
        <w:rPr>
          <w:rFonts w:hint="eastAsia"/>
        </w:rPr>
        <w:t>落实自然保护地体系</w:t>
      </w:r>
    </w:p>
    <w:p>
      <w:pPr>
        <w:spacing w:before="65"/>
        <w:ind w:firstLine="640"/>
      </w:pPr>
      <w:r>
        <w:rPr>
          <w:rFonts w:hint="eastAsia"/>
        </w:rPr>
        <w:t>落实分类科学、布局合理、保护有力、管理有效的以国家公园为主体的自然保护地体系，确保重要自然生态系统、自然遗迹、自然景观和生物多样性及其演化过程得到系统性保护，提升生态产品供给能力。充分发挥自然保护地在生态文明建设中的重大作用，推进自然保护地体系构建工作。</w:t>
      </w:r>
    </w:p>
    <w:p>
      <w:pPr>
        <w:spacing w:before="65"/>
        <w:ind w:firstLine="640"/>
      </w:pPr>
      <w:r>
        <w:rPr>
          <w:rFonts w:hint="eastAsia"/>
        </w:rPr>
        <w:t>落实上位规划，马山口镇自然保护地共2处，总面积</w:t>
      </w:r>
      <w:r>
        <w:t>10800.68公顷。其中，河南内乡宝天曼国家级地质公园面积6695.98公顷，分布于</w:t>
      </w:r>
      <w:r>
        <w:rPr>
          <w:rFonts w:hint="eastAsia"/>
        </w:rPr>
        <w:t>杏树坪村、三岔河村、关帝坪村、石庙村、朱庙村、杜洛庄村</w:t>
      </w:r>
      <w:r>
        <w:t>；河南南阳恐龙蛋化石群国家级自然保护区面积4104.70公顷，分布于</w:t>
      </w:r>
      <w:r>
        <w:rPr>
          <w:rFonts w:hint="eastAsia"/>
        </w:rPr>
        <w:t>唐河村、马坪村、李井村、白庙村、打磨岗村、王场村、河口村、寺山庙村、庵北村</w:t>
      </w:r>
      <w:r>
        <w:t>。详见附表5。</w:t>
      </w:r>
    </w:p>
    <w:p>
      <w:pPr>
        <w:pStyle w:val="4"/>
      </w:pPr>
      <w:r>
        <w:t>加强自然保护地管控</w:t>
      </w:r>
    </w:p>
    <w:p>
      <w:pPr>
        <w:spacing w:before="65"/>
        <w:ind w:firstLine="640"/>
      </w:pPr>
      <w:r>
        <w:rPr>
          <w:rFonts w:hint="eastAsia"/>
        </w:rPr>
        <w:t>以加强自然生态系统原真性、完整性、系统性保护为原则，有序化解自然保护地各类矛盾冲突，大力推进山水林田湖草沙一体化保护和系统治理，强化水源涵养和生物多样性保护，维护自然生态系统健康稳定。以自然恢复为主，分区分类开展受损自然生态系统修复。基于各类自然保护地功能分区，制定建设项目负面清单与人为活动的限制要求，对自然保护地核心保护区和一般控制区实行差别化管控。</w:t>
      </w:r>
    </w:p>
    <w:p>
      <w:pPr>
        <w:spacing w:before="65"/>
        <w:ind w:firstLine="640"/>
      </w:pPr>
      <w:r>
        <w:rPr>
          <w:rFonts w:hint="eastAsia"/>
        </w:rPr>
        <w:t>位于河南南阳恐龙蛋化石群国家级自然保护区等自然保护区内的人类活动，在自然保护地整合优化方案批复前，须严格执行《自然保护区条例》规定，符合自然保护区管理的相关要求。</w:t>
      </w:r>
    </w:p>
    <w:bookmarkEnd w:id="79"/>
    <w:p>
      <w:pPr>
        <w:pStyle w:val="3"/>
      </w:pPr>
      <w:bookmarkStart w:id="80" w:name="_Toc185606059"/>
      <w:r>
        <w:rPr>
          <w:rFonts w:hint="eastAsia"/>
        </w:rPr>
        <w:t>湿地资源保护与利用</w:t>
      </w:r>
      <w:bookmarkEnd w:id="80"/>
    </w:p>
    <w:p>
      <w:pPr>
        <w:pStyle w:val="4"/>
      </w:pPr>
      <w:r>
        <w:rPr>
          <w:rFonts w:hint="eastAsia"/>
        </w:rPr>
        <w:t>落实湿地资源保护责任</w:t>
      </w:r>
    </w:p>
    <w:p>
      <w:pPr>
        <w:spacing w:before="65"/>
        <w:ind w:firstLine="640"/>
      </w:pPr>
      <w:r>
        <w:t>加强</w:t>
      </w:r>
      <w:r>
        <w:rPr>
          <w:rFonts w:hint="eastAsia"/>
        </w:rPr>
        <w:t>镇</w:t>
      </w:r>
      <w:r>
        <w:t>域湿地资源保护</w:t>
      </w:r>
      <w:r>
        <w:rPr>
          <w:rFonts w:hint="eastAsia"/>
        </w:rPr>
        <w:t>，严格保障湿地生态空间，落实</w:t>
      </w:r>
      <w:r>
        <w:t>湿地资源</w:t>
      </w:r>
      <w:r>
        <w:rPr>
          <w:rFonts w:hint="eastAsia"/>
        </w:rPr>
        <w:t>保护</w:t>
      </w:r>
      <w:r>
        <w:t>责任。</w:t>
      </w:r>
      <w:r>
        <w:rPr>
          <w:rFonts w:hint="eastAsia"/>
        </w:rPr>
        <w:t>全镇</w:t>
      </w:r>
      <w:r>
        <w:t>湿地面积36.04</w:t>
      </w:r>
      <w:r>
        <w:rPr>
          <w:rFonts w:hint="eastAsia"/>
        </w:rPr>
        <w:t>公顷，</w:t>
      </w:r>
      <w:r>
        <w:t>主要</w:t>
      </w:r>
      <w:r>
        <w:rPr>
          <w:rFonts w:hint="eastAsia"/>
        </w:rPr>
        <w:t>分布于</w:t>
      </w:r>
      <w:r>
        <w:rPr>
          <w:rFonts w:hint="eastAsia" w:cs="宋体"/>
        </w:rPr>
        <w:t>默河、花北河、打磨岗水库、庵山水库等</w:t>
      </w:r>
      <w:r>
        <w:rPr>
          <w:rFonts w:cs="宋体"/>
        </w:rPr>
        <w:t>河湖水库周边。</w:t>
      </w:r>
    </w:p>
    <w:p>
      <w:pPr>
        <w:pStyle w:val="4"/>
      </w:pPr>
      <w:r>
        <w:rPr>
          <w:rFonts w:hint="eastAsia"/>
        </w:rPr>
        <w:t>加强湿地保护</w:t>
      </w:r>
      <w:r>
        <w:t>管理</w:t>
      </w:r>
    </w:p>
    <w:p>
      <w:pPr>
        <w:spacing w:before="65"/>
        <w:ind w:firstLine="640"/>
      </w:pPr>
      <w:r>
        <w:rPr>
          <w:rFonts w:hint="eastAsia" w:cs="宋体"/>
        </w:rPr>
        <w:t>加强</w:t>
      </w:r>
      <w:r>
        <w:rPr>
          <w:rFonts w:cs="宋体"/>
        </w:rPr>
        <w:t>湿地管理、</w:t>
      </w:r>
      <w:r>
        <w:rPr>
          <w:rFonts w:hint="eastAsia" w:cs="宋体"/>
        </w:rPr>
        <w:t>监测和</w:t>
      </w:r>
      <w:r>
        <w:rPr>
          <w:rFonts w:cs="宋体"/>
        </w:rPr>
        <w:t>科普宣教</w:t>
      </w:r>
      <w:r>
        <w:rPr>
          <w:rFonts w:hint="eastAsia" w:cs="宋体"/>
        </w:rPr>
        <w:t>，着力</w:t>
      </w:r>
      <w:r>
        <w:rPr>
          <w:rFonts w:cs="宋体"/>
        </w:rPr>
        <w:t>保护与恢复，提升湿地生态系统多样性、稳定性、持续性，层层落实湿地管理保护责任。严格控制</w:t>
      </w:r>
      <w:r>
        <w:rPr>
          <w:rFonts w:hint="eastAsia" w:cs="宋体"/>
        </w:rPr>
        <w:t>默河、花北河、打磨岗水库、庵山水库</w:t>
      </w:r>
      <w:r>
        <w:rPr>
          <w:rFonts w:cs="宋体"/>
        </w:rPr>
        <w:t>等河湖湿地</w:t>
      </w:r>
      <w:r>
        <w:rPr>
          <w:rFonts w:hint="eastAsia" w:cs="宋体"/>
        </w:rPr>
        <w:t>周边</w:t>
      </w:r>
      <w:r>
        <w:rPr>
          <w:rFonts w:cs="宋体"/>
        </w:rPr>
        <w:t>农业面源</w:t>
      </w:r>
      <w:r>
        <w:rPr>
          <w:rFonts w:hint="eastAsia" w:cs="宋体"/>
        </w:rPr>
        <w:t>污染</w:t>
      </w:r>
      <w:r>
        <w:rPr>
          <w:rFonts w:cs="宋体"/>
        </w:rPr>
        <w:t>、工业污染和城镇生活生产污染，定期对湿地周边区域的废弃物进行清理和集中处理，合理有序开展湿地资源生态化利用，全面保护湿地资源和实现可持续发展。</w:t>
      </w:r>
    </w:p>
    <w:p>
      <w:pPr>
        <w:pStyle w:val="3"/>
        <w:spacing w:before="326" w:beforeLines="100" w:after="326" w:afterLines="100"/>
      </w:pPr>
      <w:bookmarkStart w:id="81" w:name="_Toc185606060"/>
      <w:r>
        <w:t>建设用地节约集约利用</w:t>
      </w:r>
      <w:bookmarkEnd w:id="81"/>
    </w:p>
    <w:p>
      <w:pPr>
        <w:pStyle w:val="4"/>
      </w:pPr>
      <w:r>
        <w:rPr>
          <w:rFonts w:hint="eastAsia"/>
        </w:rPr>
        <w:t>实行总量控制，保障建设</w:t>
      </w:r>
      <w:r>
        <w:t>用地需求。</w:t>
      </w:r>
    </w:p>
    <w:p>
      <w:pPr>
        <w:spacing w:before="48" w:after="163" w:afterLines="50"/>
        <w:ind w:firstLine="640"/>
        <w:rPr>
          <w:rFonts w:cs="宋体"/>
          <w:lang w:bidi="ar"/>
        </w:rPr>
      </w:pPr>
      <w:bookmarkStart w:id="82" w:name="_Hlk207123797"/>
      <w:r>
        <w:rPr>
          <w:rFonts w:hint="eastAsia" w:cs="宋体"/>
          <w:lang w:bidi="ar"/>
        </w:rPr>
        <w:t>严控新增城乡用地规模。规划期末，城镇建设用地规模不超过4</w:t>
      </w:r>
      <w:r>
        <w:rPr>
          <w:rFonts w:cs="宋体"/>
          <w:lang w:bidi="ar"/>
        </w:rPr>
        <w:t>82.49</w:t>
      </w:r>
      <w:r>
        <w:rPr>
          <w:rFonts w:hint="eastAsia" w:cs="宋体"/>
          <w:lang w:bidi="ar"/>
        </w:rPr>
        <w:t>公顷，村庄建设用地不超过1</w:t>
      </w:r>
      <w:r>
        <w:rPr>
          <w:rFonts w:cs="宋体"/>
          <w:lang w:bidi="ar"/>
        </w:rPr>
        <w:t>260.32</w:t>
      </w:r>
      <w:r>
        <w:rPr>
          <w:rFonts w:hint="eastAsia" w:cs="宋体"/>
          <w:lang w:bidi="ar"/>
        </w:rPr>
        <w:t>公顷。严格按照城镇开发边界范围开展集中建设，凡不符合国土空间规划、国家区域政策、产业政策和供地政策的建设项目，不得开展城镇建设利用活动</w:t>
      </w:r>
      <w:r>
        <w:rPr>
          <w:rFonts w:cs="宋体"/>
          <w:lang w:bidi="ar"/>
        </w:rPr>
        <w:t>。</w:t>
      </w:r>
      <w:r>
        <w:rPr>
          <w:rFonts w:hint="eastAsia" w:cs="宋体"/>
          <w:lang w:bidi="ar"/>
        </w:rPr>
        <w:t>精准</w:t>
      </w:r>
      <w:r>
        <w:rPr>
          <w:rFonts w:cs="宋体"/>
          <w:lang w:bidi="ar"/>
        </w:rPr>
        <w:t>有效配置新增指标，实现</w:t>
      </w:r>
      <w:r>
        <w:rPr>
          <w:rFonts w:hint="eastAsia" w:cs="宋体"/>
          <w:lang w:bidi="ar"/>
        </w:rPr>
        <w:t>“优地</w:t>
      </w:r>
      <w:r>
        <w:rPr>
          <w:rFonts w:cs="宋体"/>
          <w:lang w:bidi="ar"/>
        </w:rPr>
        <w:t>优用</w:t>
      </w:r>
      <w:r>
        <w:rPr>
          <w:rFonts w:hint="eastAsia" w:cs="宋体"/>
          <w:lang w:bidi="ar"/>
        </w:rPr>
        <w:t>”，</w:t>
      </w:r>
      <w:r>
        <w:rPr>
          <w:rFonts w:cs="宋体"/>
          <w:lang w:bidi="ar"/>
        </w:rPr>
        <w:t>加大存量挖掘潜力，推进城镇建设用地混合开发和空间复合利用。</w:t>
      </w:r>
      <w:r>
        <w:rPr>
          <w:rFonts w:hint="eastAsia" w:cs="宋体"/>
          <w:lang w:bidi="ar"/>
        </w:rPr>
        <w:t>规范</w:t>
      </w:r>
      <w:r>
        <w:rPr>
          <w:rFonts w:cs="宋体"/>
          <w:lang w:bidi="ar"/>
        </w:rPr>
        <w:t>利用，盘活村庄建设用地。</w:t>
      </w:r>
      <w:r>
        <w:rPr>
          <w:rFonts w:hint="eastAsia" w:cs="宋体"/>
          <w:lang w:bidi="ar"/>
        </w:rPr>
        <w:t>有序</w:t>
      </w:r>
      <w:r>
        <w:rPr>
          <w:rFonts w:cs="宋体"/>
          <w:lang w:bidi="ar"/>
        </w:rPr>
        <w:t>引导、稳妥推进村庄建设用地节约集约利用，完善鼓励机制，鼓励农村</w:t>
      </w:r>
      <w:r>
        <w:rPr>
          <w:rFonts w:hint="eastAsia" w:cs="宋体"/>
          <w:lang w:bidi="ar"/>
        </w:rPr>
        <w:t>闲置</w:t>
      </w:r>
      <w:r>
        <w:rPr>
          <w:rFonts w:cs="宋体"/>
          <w:lang w:bidi="ar"/>
        </w:rPr>
        <w:t>宅基地有偿退出和村庄低效建设用地</w:t>
      </w:r>
      <w:r>
        <w:rPr>
          <w:rFonts w:hint="eastAsia" w:cs="宋体"/>
          <w:lang w:bidi="ar"/>
        </w:rPr>
        <w:t>再利用</w:t>
      </w:r>
      <w:r>
        <w:rPr>
          <w:rFonts w:cs="宋体"/>
          <w:lang w:bidi="ar"/>
        </w:rPr>
        <w:t>。鼓励</w:t>
      </w:r>
      <w:r>
        <w:rPr>
          <w:rFonts w:hint="eastAsia" w:cs="宋体"/>
          <w:lang w:bidi="ar"/>
        </w:rPr>
        <w:t>对</w:t>
      </w:r>
      <w:r>
        <w:rPr>
          <w:rFonts w:cs="宋体"/>
          <w:lang w:bidi="ar"/>
        </w:rPr>
        <w:t>依法登记</w:t>
      </w:r>
      <w:r>
        <w:rPr>
          <w:rFonts w:hint="eastAsia" w:cs="宋体"/>
          <w:lang w:bidi="ar"/>
        </w:rPr>
        <w:t>的村庄建设</w:t>
      </w:r>
      <w:r>
        <w:rPr>
          <w:rFonts w:cs="宋体"/>
          <w:lang w:bidi="ar"/>
        </w:rPr>
        <w:t>用地进行</w:t>
      </w:r>
      <w:r>
        <w:rPr>
          <w:rFonts w:hint="eastAsia" w:cs="宋体"/>
          <w:lang w:bidi="ar"/>
        </w:rPr>
        <w:t>复合</w:t>
      </w:r>
      <w:r>
        <w:rPr>
          <w:rFonts w:cs="宋体"/>
          <w:lang w:bidi="ar"/>
        </w:rPr>
        <w:t>利用，发展乡村振兴产业，提高经济收益。</w:t>
      </w:r>
    </w:p>
    <w:p>
      <w:pPr>
        <w:spacing w:before="65" w:after="163" w:afterLines="50"/>
        <w:ind w:firstLine="640"/>
        <w:rPr>
          <w:rFonts w:cs="宋体"/>
          <w:kern w:val="0"/>
          <w:lang w:bidi="ar"/>
        </w:rPr>
      </w:pPr>
      <w:r>
        <w:rPr>
          <w:rFonts w:hint="eastAsia" w:cs="宋体"/>
          <w:lang w:bidi="ar"/>
        </w:rPr>
        <w:t>保障区域基础设施用地和其他建设用地需求</w:t>
      </w:r>
      <w:r>
        <w:rPr>
          <w:rFonts w:cs="宋体"/>
          <w:lang w:bidi="ar"/>
        </w:rPr>
        <w:t>。</w:t>
      </w:r>
      <w:r>
        <w:rPr>
          <w:rFonts w:hint="eastAsia" w:cs="宋体"/>
          <w:lang w:bidi="ar"/>
        </w:rPr>
        <w:t>强化保障交通</w:t>
      </w:r>
      <w:r>
        <w:rPr>
          <w:rFonts w:cs="宋体"/>
          <w:lang w:bidi="ar"/>
        </w:rPr>
        <w:t>、水利、</w:t>
      </w:r>
      <w:r>
        <w:rPr>
          <w:rFonts w:hint="eastAsia" w:cs="宋体"/>
          <w:lang w:bidi="ar"/>
        </w:rPr>
        <w:t>能源等基础</w:t>
      </w:r>
      <w:r>
        <w:rPr>
          <w:rFonts w:cs="宋体"/>
          <w:lang w:bidi="ar"/>
        </w:rPr>
        <w:t>设施用地</w:t>
      </w:r>
      <w:r>
        <w:rPr>
          <w:rFonts w:hint="eastAsia" w:cs="宋体"/>
          <w:lang w:bidi="ar"/>
        </w:rPr>
        <w:t>需求，全力</w:t>
      </w:r>
      <w:r>
        <w:rPr>
          <w:rFonts w:cs="宋体"/>
          <w:lang w:bidi="ar"/>
        </w:rPr>
        <w:t>提升自然资源要素保障能力</w:t>
      </w:r>
      <w:r>
        <w:rPr>
          <w:rFonts w:hint="eastAsia" w:cs="宋体"/>
          <w:lang w:bidi="ar"/>
        </w:rPr>
        <w:t>；加强</w:t>
      </w:r>
      <w:r>
        <w:rPr>
          <w:rFonts w:cs="宋体"/>
          <w:lang w:bidi="ar"/>
        </w:rPr>
        <w:t>殡葬用地保障力度，</w:t>
      </w:r>
      <w:r>
        <w:rPr>
          <w:rFonts w:hint="eastAsia" w:cs="宋体"/>
          <w:lang w:bidi="ar"/>
        </w:rPr>
        <w:t>镇域</w:t>
      </w:r>
      <w:r>
        <w:rPr>
          <w:rFonts w:cs="宋体"/>
          <w:lang w:bidi="ar"/>
        </w:rPr>
        <w:t>范围内预留不少于</w:t>
      </w:r>
      <w:r>
        <w:rPr>
          <w:rFonts w:hint="eastAsia" w:cs="宋体"/>
          <w:lang w:bidi="ar"/>
        </w:rPr>
        <w:t>3.33公顷</w:t>
      </w:r>
      <w:r>
        <w:rPr>
          <w:rFonts w:cs="宋体"/>
          <w:lang w:bidi="ar"/>
        </w:rPr>
        <w:t>（</w:t>
      </w:r>
      <w:r>
        <w:rPr>
          <w:rFonts w:hint="eastAsia" w:cs="宋体"/>
          <w:lang w:bidi="ar"/>
        </w:rPr>
        <w:t>50亩</w:t>
      </w:r>
      <w:r>
        <w:rPr>
          <w:rFonts w:cs="宋体"/>
          <w:lang w:bidi="ar"/>
        </w:rPr>
        <w:t>）</w:t>
      </w:r>
      <w:r>
        <w:rPr>
          <w:rFonts w:hint="eastAsia" w:cs="宋体"/>
          <w:lang w:bidi="ar"/>
        </w:rPr>
        <w:t>的</w:t>
      </w:r>
      <w:r>
        <w:rPr>
          <w:rFonts w:cs="宋体"/>
          <w:lang w:bidi="ar"/>
        </w:rPr>
        <w:t>公益性公墓用地，鼓励与其他乡镇</w:t>
      </w:r>
      <w:r>
        <w:rPr>
          <w:rFonts w:hint="eastAsia" w:cs="宋体"/>
          <w:lang w:bidi="ar"/>
        </w:rPr>
        <w:t>联合</w:t>
      </w:r>
      <w:r>
        <w:rPr>
          <w:rFonts w:cs="宋体"/>
          <w:lang w:bidi="ar"/>
        </w:rPr>
        <w:t>建立</w:t>
      </w:r>
      <w:r>
        <w:rPr>
          <w:rFonts w:hint="eastAsia" w:cs="宋体"/>
          <w:lang w:bidi="ar"/>
        </w:rPr>
        <w:t>公墓</w:t>
      </w:r>
      <w:bookmarkEnd w:id="82"/>
      <w:r>
        <w:rPr>
          <w:rFonts w:cs="宋体"/>
          <w:lang w:bidi="ar"/>
        </w:rPr>
        <w:t>。</w:t>
      </w:r>
    </w:p>
    <w:p>
      <w:pPr>
        <w:pStyle w:val="4"/>
      </w:pPr>
      <w:r>
        <w:t>盘活建设用地存量</w:t>
      </w:r>
    </w:p>
    <w:p>
      <w:pPr>
        <w:ind w:firstLine="640"/>
        <w:rPr>
          <w:rFonts w:ascii="仿宋_GB2312"/>
        </w:rPr>
      </w:pPr>
      <w:r>
        <w:rPr>
          <w:rFonts w:hint="eastAsia" w:ascii="仿宋_GB2312"/>
        </w:rPr>
        <w:t>推进闲置地、废弃地等存量建设用地盘活利用，遏制村庄用地“沿路跑”和“空心化”现象，鼓励村民在旧房屋原址上新建房屋。分类施策，实施存量建设用地功能转换，对闲置宅基地和住宅进行整理，因地制宜盘活利用。闲置宅基地可建成游园、文化广场，闲置住宅可建成村史馆、图书室、活动室等村民活动场所，对有利用价值的闲置住宅倡导发展文化旅游和开展农事体验活动等。对低效城镇用地进行用地调整，满足商业服务、公共服务设施、城镇住宅等用地需求，提高存量建设用地使用效率。</w:t>
      </w:r>
    </w:p>
    <w:p>
      <w:pPr>
        <w:pStyle w:val="4"/>
      </w:pPr>
      <w:r>
        <w:t>提升建设用地节约集约利用水平</w:t>
      </w:r>
    </w:p>
    <w:p>
      <w:pPr>
        <w:ind w:firstLine="640"/>
      </w:pPr>
      <w:r>
        <w:rPr>
          <w:rFonts w:hint="eastAsia"/>
        </w:rPr>
        <w:t>落实农村宅基地“一户一宅”规定，新增宅基地应优先利</w:t>
      </w:r>
      <w:r>
        <w:t>用原有宅基地和村内空闲地，建立健全闲置宅基地退出机制和再利用机制。对于农村新建、改建、扩建、翻建住房的，按照《</w:t>
      </w:r>
      <w:r>
        <w:rPr>
          <w:rFonts w:hint="eastAsia"/>
        </w:rPr>
        <w:t>内乡县农村宅基地和村民自建住房管理办法（试行）</w:t>
      </w:r>
      <w:r>
        <w:t>》规定执行。村民自建住房原则上以不超过三层的低层住宅为主</w:t>
      </w:r>
      <w:r>
        <w:rPr>
          <w:rFonts w:hint="eastAsia"/>
        </w:rPr>
        <w:t>。城填郊区和人均耕地少于</w:t>
      </w:r>
      <w:r>
        <w:t>667平方米的平原地区，每户宅基地面积不得超过134平方米；人均耕地667平方米以上的平原地区，每户宅基地面积不得超过167平方米；</w:t>
      </w:r>
      <w:r>
        <w:rPr>
          <w:rFonts w:hint="eastAsia"/>
        </w:rPr>
        <w:t>山区、丘陵地区</w:t>
      </w:r>
      <w:r>
        <w:t>每户宅基地面积不得超过200平方米。按照村庄规划引导农民依法建房，优化农村居民点布局，提高土地利用效益。严格</w:t>
      </w:r>
      <w:r>
        <w:rPr>
          <w:rFonts w:hint="eastAsia"/>
        </w:rPr>
        <w:t>执行建设项目用地标准控制制度，合理提高建设用地开发强度，创新节地模式，推广节地技术。</w:t>
      </w:r>
    </w:p>
    <w:p>
      <w:pPr>
        <w:pStyle w:val="3"/>
      </w:pPr>
      <w:bookmarkStart w:id="83" w:name="_Toc185606061"/>
      <w:r>
        <w:rPr>
          <w:rFonts w:hint="eastAsia"/>
        </w:rPr>
        <w:t>水资源保护与利用</w:t>
      </w:r>
      <w:bookmarkEnd w:id="83"/>
    </w:p>
    <w:p>
      <w:pPr>
        <w:pStyle w:val="4"/>
      </w:pPr>
      <w:r>
        <w:rPr>
          <w:rFonts w:hint="eastAsia"/>
        </w:rPr>
        <w:t>落实水源保护范围</w:t>
      </w:r>
    </w:p>
    <w:p>
      <w:pPr>
        <w:spacing w:before="65"/>
        <w:ind w:firstLine="640"/>
      </w:pPr>
      <w:bookmarkStart w:id="84" w:name="_Hlk207124065"/>
      <w:r>
        <w:rPr>
          <w:rFonts w:hint="eastAsia"/>
        </w:rPr>
        <w:t>落实内乡县马山口镇茨园地下水井群、打磨岗水库范围</w:t>
      </w:r>
      <w:r>
        <w:t>30.13</w:t>
      </w:r>
      <w:r>
        <w:rPr>
          <w:rFonts w:hint="eastAsia"/>
        </w:rPr>
        <w:t>公顷，为一级保护区</w:t>
      </w:r>
      <w:bookmarkEnd w:id="84"/>
      <w:r>
        <w:t>。</w:t>
      </w:r>
      <w:r>
        <w:rPr>
          <w:rFonts w:hint="eastAsia"/>
        </w:rPr>
        <w:t>其中茨园地下水井群位于茨园村，打磨岗水库位于打磨岗水库、李井村、打磨岗村和花北村。</w:t>
      </w:r>
    </w:p>
    <w:p>
      <w:pPr>
        <w:pStyle w:val="4"/>
      </w:pPr>
      <w:r>
        <w:rPr>
          <w:rFonts w:hint="eastAsia"/>
        </w:rPr>
        <w:t>加强河湖水域岸线空间管控及水生态治理</w:t>
      </w:r>
    </w:p>
    <w:p>
      <w:pPr>
        <w:spacing w:before="65"/>
        <w:ind w:firstLine="640"/>
      </w:pPr>
      <w:r>
        <w:rPr>
          <w:rFonts w:hint="eastAsia"/>
        </w:rPr>
        <w:t>落实河湖水系范围，包括花北河、江沟河、军营河、梅子河、默河、潭沟河及庵山水库、打磨岗水库、郭庄水库、花石岗水库、徐庄水库、薛家二库、云露湖水库，管理范围面积</w:t>
      </w:r>
      <w:r>
        <w:t>9.25平方千米，水库保护范围面积3.14平方千米。</w:t>
      </w:r>
      <w:r>
        <w:rPr>
          <w:rFonts w:hint="eastAsia"/>
        </w:rPr>
        <w:t>严格河湖水域岸线用途管制，强化涉河建设项目管理，规范各类涉水行为，限制或禁止各种损害生态系统水源涵养功能的经济社会活动和生产方式。开展妨碍河道行洪突出问题排查整治，全面落实采砂管理责任，规范河道砂石利用管理，开展河道非法采砂专项整治。加快水生态修复，开展默河生态修复及安全建设项目、骨干河道水环境综合治理项目等生态修复工作，全面推进河湖水域岸线生态修复，保障河流生态水量，建设沿岸生态廊道。</w:t>
      </w:r>
    </w:p>
    <w:p>
      <w:pPr>
        <w:pStyle w:val="4"/>
      </w:pPr>
      <w:r>
        <w:rPr>
          <w:rFonts w:hint="eastAsia"/>
        </w:rPr>
        <w:t>加强水资源节约利用</w:t>
      </w:r>
    </w:p>
    <w:p>
      <w:pPr>
        <w:spacing w:before="65"/>
        <w:ind w:firstLine="640"/>
      </w:pPr>
      <w:r>
        <w:rPr>
          <w:rFonts w:hint="eastAsia"/>
        </w:rPr>
        <w:t>优先保障城乡居民生活用水，合理安排工业和农业用水，建立多种水源联合调配机制，优先利地表水，在保证乡镇生活用水的前提下，严格控制地下水开采程度，加大再生水和雨水资源化利用。加快城镇供水管网节水改造，减低供水管网漏损率。全面开展节水型单位、居民小区创建活动，持续推广普及生活节水器具，加强学校、医院、宾馆、餐饮、洗浴等重点行业节水技术改造。</w:t>
      </w:r>
    </w:p>
    <w:p>
      <w:pPr>
        <w:spacing w:before="65"/>
        <w:ind w:firstLine="640"/>
      </w:pPr>
      <w:r>
        <w:rPr>
          <w:rFonts w:hint="eastAsia"/>
        </w:rPr>
        <w:t>坚持节水优先，推进节水型社会建设。优化调整产业结构与布局，按照清洁生产和循环经济的标准，凡是生产规模、工艺不符合国家产业政策要求的企业，应坚决予以关停。加强农业节水建设，大力发展高效节水灌溉农业。加强供水管网维护管理，大力推广普及节水器具和产品，提高水资源利用效率。重点做好灌区提升工程、生态水系工程等重点项目，创建一批节水型示范企业。加快灌溉工程的配套、挖潜与改造，推广管道输水灌溉、喷灌、微灌等高效节水灌溉技术。</w:t>
      </w:r>
    </w:p>
    <w:p>
      <w:pPr>
        <w:pStyle w:val="4"/>
      </w:pPr>
      <w:r>
        <w:rPr>
          <w:rFonts w:hint="eastAsia"/>
        </w:rPr>
        <w:t>加强水污染防治</w:t>
      </w:r>
    </w:p>
    <w:p>
      <w:pPr>
        <w:spacing w:before="65"/>
        <w:ind w:firstLine="640"/>
      </w:pPr>
      <w:r>
        <w:rPr>
          <w:rFonts w:hint="eastAsia"/>
        </w:rPr>
        <w:t>强化水污染治理</w:t>
      </w:r>
      <w:r>
        <w:t>。推进农村生活污水处理设施和管网建设。持续推进化肥、农药的减量化，积极开展试点地块实施化肥农药利用率测算。严控涉水工业项目，加强企业监管。</w:t>
      </w:r>
    </w:p>
    <w:p>
      <w:pPr>
        <w:spacing w:before="65"/>
        <w:ind w:firstLine="640"/>
      </w:pPr>
      <w:r>
        <w:rPr>
          <w:rFonts w:hint="eastAsia"/>
        </w:rPr>
        <w:t>保障饮用水水源水质安全。强化饮用水水源风险防控，完善饮用水水源污染事故应急预案，确保镇集中式饮用水源地取水、供水厂、用水水龙头水质达标率</w:t>
      </w:r>
      <w:r>
        <w:t>100%，集中式饮用水源地水质优良比例100%，农村饮用水达标人口覆盖率100%。</w:t>
      </w:r>
    </w:p>
    <w:p>
      <w:pPr>
        <w:spacing w:before="65"/>
        <w:ind w:firstLine="640"/>
      </w:pPr>
      <w:r>
        <w:rPr>
          <w:rFonts w:hint="eastAsia"/>
        </w:rPr>
        <w:t>控制工业水污染物排放。切实执行排污许可证制度。强化工业企业水污染深度治理和工艺技术改造力度，配合完善先进制造业开发区污水处理管网，大力开展污水深度处理。</w:t>
      </w:r>
    </w:p>
    <w:p>
      <w:pPr>
        <w:spacing w:before="65"/>
        <w:ind w:firstLine="640"/>
      </w:pPr>
      <w:r>
        <w:rPr>
          <w:rFonts w:hint="eastAsia"/>
        </w:rPr>
        <w:t>强化河流综合整治力度。以“河长制”落实“河常治”，对于纳入河长制管理范围的</w:t>
      </w:r>
      <w:r>
        <w:t>河流、水库，保持巡河力度，强化日常监管。持续开展河湖库塘清淤，加强淤泥检测、清理、排放、运输、处置的全过程管理，探索建立清淤轮疏长效机制。</w:t>
      </w:r>
    </w:p>
    <w:p>
      <w:pPr>
        <w:spacing w:before="65"/>
        <w:ind w:firstLine="640"/>
      </w:pPr>
      <w:r>
        <w:rPr>
          <w:rFonts w:hint="eastAsia"/>
        </w:rPr>
        <w:t>开展农村黑臭水体排查与整治。积极开展农村黑臭水体综合整治专项行动，对镇域内黑臭水体进行梳理盘点、实地勘查，通过集体研究、分类施策。切实加强对黑臭水体的日常管理和巡查管控，严管向黑臭水体倾倒垃圾、污水、废弃物等不文明行为，并通过村级公示栏、村民微信群进行曝光，增强群众爱护环境的思想意识和行为自觉，确保黑臭水体有人清、有人管，实现水环境的长期干净、整洁。到</w:t>
      </w:r>
      <w:r>
        <w:t>2025年，实现</w:t>
      </w:r>
      <w:r>
        <w:rPr>
          <w:rFonts w:hint="eastAsia"/>
        </w:rPr>
        <w:t>全镇</w:t>
      </w:r>
      <w:r>
        <w:t>农村黑臭水体得到治理；规划期，确保农村黑臭水体动态清零。</w:t>
      </w:r>
    </w:p>
    <w:p>
      <w:pPr>
        <w:spacing w:before="65"/>
        <w:ind w:firstLine="640"/>
      </w:pPr>
      <w:r>
        <w:rPr>
          <w:rFonts w:hint="eastAsia"/>
        </w:rPr>
        <w:t>提高农村无害化厕所普及率。科学选择改厕技术模式，积极引进适合本地实际的改厕技术和产品。持续开展农村厕所革命“回头看”，改造提升未按标准规范建设的卫生厕所。加强粪污处理利用，鼓励联村、联户、村镇一体处理；鼓励因户制宜推进农户黑灰水就地处理利用。推进农村厕所粪污资源化利用。加强集中污水处理设施及厕所粪后段集中处理设施建设，委托第三方进行后期管护，增设公益岗位，持续完成上级目标任务。</w:t>
      </w:r>
    </w:p>
    <w:p>
      <w:pPr>
        <w:spacing w:before="65"/>
        <w:ind w:firstLine="640"/>
      </w:pPr>
      <w:r>
        <w:rPr>
          <w:rFonts w:hint="eastAsia"/>
        </w:rPr>
        <w:t>加强水生态建设，维护水系健康。加强河湖水域岸线管理，对河道、水库、湖泊等水域空间及其防护空间进行重点保护，严格建设管控。开展滨水带、重点湖库及小流域水土流失综合治理，保护水生态安全。落实矿产资源</w:t>
      </w:r>
      <w:r>
        <w:t>保护利用</w:t>
      </w:r>
      <w:r>
        <w:rPr>
          <w:rFonts w:hint="eastAsia"/>
        </w:rPr>
        <w:t>布局</w:t>
      </w:r>
    </w:p>
    <w:p>
      <w:pPr>
        <w:pStyle w:val="3"/>
      </w:pPr>
      <w:bookmarkStart w:id="85" w:name="_Toc200550531"/>
      <w:bookmarkStart w:id="86" w:name="_Toc200524219"/>
      <w:r>
        <w:rPr>
          <w:rFonts w:hint="eastAsia"/>
        </w:rPr>
        <w:t>矿产资源保护和利用</w:t>
      </w:r>
      <w:bookmarkEnd w:id="85"/>
      <w:bookmarkEnd w:id="86"/>
    </w:p>
    <w:p>
      <w:pPr>
        <w:pStyle w:val="4"/>
      </w:pPr>
      <w:r>
        <w:t>保护与利用目标</w:t>
      </w:r>
    </w:p>
    <w:p>
      <w:pPr>
        <w:ind w:firstLine="640"/>
      </w:pPr>
      <w:r>
        <w:rPr>
          <w:rFonts w:hint="eastAsia"/>
        </w:rPr>
        <w:t>统筹协调矿产资源开发与保护的关系，严格控制矿产资源开发强度，优化矿产资源勘查和开发利用布局，提高矿产资源综合利用效率，推进矿山地质环境恢复治理体系建设。</w:t>
      </w:r>
    </w:p>
    <w:p>
      <w:pPr>
        <w:ind w:firstLine="640"/>
      </w:pPr>
      <w:r>
        <w:rPr>
          <w:rFonts w:hint="eastAsia"/>
        </w:rPr>
        <w:t>确定矿产资源开发的主要区域。划定河南省内乡县板厂一带铜多金属矿详查为重点开采区，在重点开采区内加强统筹部署，优先出让采矿权，积极引导各类要素向重点开采区集聚。</w:t>
      </w:r>
    </w:p>
    <w:p>
      <w:pPr>
        <w:ind w:firstLine="640"/>
      </w:pPr>
      <w:r>
        <w:rPr>
          <w:rFonts w:hint="eastAsia"/>
        </w:rPr>
        <w:t>明确矿产开发的“三率”指标。大力推动主要矿种生产矿产采用先进的采选技术和设备，矿产资源利用指标不得低于国家规定、行业标准和自然资源部门制定的最低“三率”指标要求。煤炭回采率不低于</w:t>
      </w:r>
      <w:r>
        <w:t>80%，煤矸石综合利用率不低</w:t>
      </w:r>
      <w:r>
        <w:rPr>
          <w:rFonts w:hint="eastAsia"/>
        </w:rPr>
        <w:t>于</w:t>
      </w:r>
      <w:r>
        <w:t>75%。到2035年，矿产资源保障程度进一步提升，资源</w:t>
      </w:r>
      <w:r>
        <w:rPr>
          <w:rFonts w:hint="eastAsia"/>
        </w:rPr>
        <w:t>供应能力持续稳定，矿区生态环境实现根本好转，矿业实现全面转型升级和绿色发展，生态保护和矿业高质量发展相协调的发展格局全面形成。</w:t>
      </w:r>
    </w:p>
    <w:p>
      <w:pPr>
        <w:pStyle w:val="4"/>
      </w:pPr>
      <w:r>
        <w:t>加快推进绿色矿区建设</w:t>
      </w:r>
    </w:p>
    <w:p>
      <w:pPr>
        <w:ind w:firstLine="640"/>
      </w:pPr>
      <w:r>
        <w:rPr>
          <w:rFonts w:hint="eastAsia"/>
        </w:rPr>
        <w:t>以矿产开发综合利用、生态环境保护和促进矿地和谐为主要目标，督促和支持企业统筹矿产开采与环境保护、企业发展与社区建设的关系，通过创建绿色矿业示范单位，带动和推进绿色矿区、和谐矿区建设。规划期内，建立完善的绿色矿区建设和管理制度，研究形成配套绿色矿区建设的激励政策。</w:t>
      </w:r>
    </w:p>
    <w:p>
      <w:pPr>
        <w:pStyle w:val="4"/>
      </w:pPr>
      <w:r>
        <w:t>提高矿产资源开发利用水平</w:t>
      </w:r>
    </w:p>
    <w:p>
      <w:pPr>
        <w:ind w:firstLine="640"/>
      </w:pPr>
      <w:r>
        <w:rPr>
          <w:rFonts w:hint="eastAsia"/>
        </w:rPr>
        <w:t>合理处置</w:t>
      </w:r>
      <w:r>
        <w:rPr>
          <w:rFonts w:hint="eastAsia" w:ascii="仿宋_GB2312" w:hAnsi="仿宋_GB2312" w:cs="仿宋_GB2312"/>
        </w:rPr>
        <w:t>现状矿业权，促进产业转型升级，提高资源集</w:t>
      </w:r>
      <w:r>
        <w:rPr>
          <w:rFonts w:hint="eastAsia"/>
        </w:rPr>
        <w:t>中度，规模会、集约化开发利用矿产资源。强化资源高效利用技术、废石尾矿资源化利用技术及节能环保关键技术的应用，向无尾矿、无废弃物矿产发展。加强共生矿、伴生矿等各类资源综合利用情况调查与可利用评价，支撑矿产资源综合利用、梯次利用、循环利用。</w:t>
      </w:r>
      <w:r>
        <w:br w:type="page"/>
      </w:r>
    </w:p>
    <w:p>
      <w:pPr>
        <w:spacing w:before="65"/>
        <w:ind w:firstLine="640"/>
      </w:pPr>
    </w:p>
    <w:p>
      <w:pPr>
        <w:pStyle w:val="2"/>
        <w:spacing w:before="489" w:beforeLines="150" w:after="489" w:afterLines="150"/>
      </w:pPr>
      <w:bookmarkStart w:id="87" w:name="_Toc221004621"/>
      <w:bookmarkStart w:id="88" w:name="_Toc211258494"/>
      <w:bookmarkStart w:id="89" w:name="_Toc185606062"/>
      <w:r>
        <w:rPr>
          <w:rFonts w:hint="eastAsia"/>
        </w:rPr>
        <w:t>产业规划</w:t>
      </w:r>
      <w:bookmarkEnd w:id="87"/>
      <w:bookmarkEnd w:id="88"/>
      <w:bookmarkEnd w:id="89"/>
    </w:p>
    <w:p>
      <w:pPr>
        <w:pStyle w:val="3"/>
        <w:spacing w:before="326" w:beforeLines="100" w:after="326" w:afterLines="100"/>
      </w:pPr>
      <w:bookmarkStart w:id="90" w:name="_Toc185606063"/>
      <w:r>
        <w:rPr>
          <w:rFonts w:hint="eastAsia"/>
        </w:rPr>
        <w:t>产业规划</w:t>
      </w:r>
      <w:bookmarkEnd w:id="90"/>
    </w:p>
    <w:p>
      <w:pPr>
        <w:pStyle w:val="4"/>
      </w:pPr>
      <w:r>
        <w:rPr>
          <w:rFonts w:hint="eastAsia"/>
        </w:rPr>
        <w:t>产业发展策略</w:t>
      </w:r>
    </w:p>
    <w:p>
      <w:pPr>
        <w:spacing w:before="65"/>
        <w:ind w:firstLine="640"/>
      </w:pPr>
      <w:r>
        <w:t>优化第一产业</w:t>
      </w:r>
      <w:r>
        <w:rPr>
          <w:rFonts w:hint="eastAsia"/>
        </w:rPr>
        <w:t>，优化种植结构，建设粮食、烟叶、林果、畜牧养殖等生产基地，实现农业生产的专业化、现代化；与二三产结合，发展农产品加工及深加工、农业观光体验等，提高农产品附加值，形成特色化、多元化的产业发展模式。</w:t>
      </w:r>
    </w:p>
    <w:p>
      <w:pPr>
        <w:spacing w:before="65"/>
        <w:ind w:firstLine="640"/>
      </w:pPr>
      <w:r>
        <w:t>发展壮大第二产业</w:t>
      </w:r>
      <w:r>
        <w:rPr>
          <w:rFonts w:hint="eastAsia"/>
        </w:rPr>
        <w:t>，依托现状机械加工、建材产业，继续发展壮大第二产业；大力发展农副产品加工，规划在镇区形成中药材加工基地、木材加工基地等。</w:t>
      </w:r>
    </w:p>
    <w:p>
      <w:pPr>
        <w:spacing w:before="65"/>
        <w:ind w:firstLine="640"/>
      </w:pPr>
      <w:r>
        <w:t>强化第三产业</w:t>
      </w:r>
      <w:r>
        <w:rPr>
          <w:rFonts w:hint="eastAsia"/>
        </w:rPr>
        <w:t>，整合现状的红色文化资源、文物资源、云露山国家</w:t>
      </w:r>
      <w:r>
        <w:t>4A景区等自然资源，积极拓展周围旅游观光空间和价值，发展旅游业；规划在镇区西侧形成旅游服务中心，完善相关配套设施建设，逐步提高游客接待能力，带动周边商业和服务业的发展。</w:t>
      </w:r>
    </w:p>
    <w:p>
      <w:pPr>
        <w:spacing w:before="65"/>
        <w:ind w:firstLine="640"/>
      </w:pPr>
      <w:r>
        <w:rPr>
          <w:rFonts w:hint="eastAsia"/>
        </w:rPr>
        <w:t>依托特色农业的建设和文化资源，以民俗体验、农业观光带动乡村农旅发展，构建全域农业景观，大力发展休闲农业等旅游业，推动一产的“接二连三”，实现全域产业的循环发展，构建产城融合的全产业链和循环经济模式，形成以“文旅</w:t>
      </w:r>
      <w:r>
        <w:t>+生态”为主导的旅游产业生态系统。</w:t>
      </w:r>
    </w:p>
    <w:p>
      <w:pPr>
        <w:spacing w:before="65"/>
        <w:ind w:firstLine="640"/>
      </w:pPr>
      <w:r>
        <w:t>完善中心镇区各项公共服务职能，提升镇区综合服务水平</w:t>
      </w:r>
      <w:r>
        <w:rPr>
          <w:rFonts w:hint="eastAsia"/>
        </w:rPr>
        <w:t>。完善马山口镇中心镇区各项公共服务职能，加快推进旅游服务的相关配套设施建设，提升镇区综合服务水平，为马山口镇产业发展提供强有力的支撑。</w:t>
      </w:r>
    </w:p>
    <w:p>
      <w:pPr>
        <w:pStyle w:val="4"/>
      </w:pPr>
      <w:bookmarkStart w:id="91" w:name="_Hlk200635407"/>
      <w:r>
        <w:rPr>
          <w:rFonts w:hint="eastAsia"/>
        </w:rPr>
        <w:t>产业功能定位</w:t>
      </w:r>
    </w:p>
    <w:p>
      <w:pPr>
        <w:spacing w:before="65"/>
        <w:ind w:firstLine="640"/>
      </w:pPr>
      <w:r>
        <w:rPr>
          <w:rFonts w:hint="eastAsia"/>
        </w:rPr>
        <w:t>马山口镇产业发展规划为以巩固农业基础地位为根本，大力发展特色农产品；加大工业投入力度，提升中草药、菌菇等特色农产品加工，形成产业链；以城镇的红色旅游建设、商贸基础和云露山休闲旅游为基础，加快第三产业的发展。</w:t>
      </w:r>
    </w:p>
    <w:p>
      <w:pPr>
        <w:spacing w:before="65"/>
        <w:ind w:firstLine="640"/>
      </w:pPr>
      <w:r>
        <w:rPr>
          <w:rFonts w:hint="eastAsia"/>
        </w:rPr>
        <w:t>结合上位规划和现有发展条件及优势，马山口镇产业功能定位为</w:t>
      </w:r>
      <w:bookmarkStart w:id="92" w:name="_Hlk200557598"/>
      <w:r>
        <w:rPr>
          <w:rFonts w:hint="eastAsia"/>
        </w:rPr>
        <w:t>红色+生态旅游基地、高效农业示范基地、农副产品（中草药、烟、木材等）生产加工基地</w:t>
      </w:r>
      <w:bookmarkEnd w:id="92"/>
      <w:r>
        <w:rPr>
          <w:rFonts w:hint="eastAsia"/>
        </w:rPr>
        <w:t>。</w:t>
      </w:r>
    </w:p>
    <w:bookmarkEnd w:id="91"/>
    <w:p>
      <w:pPr>
        <w:pStyle w:val="4"/>
      </w:pPr>
      <w:r>
        <w:rPr>
          <w:rFonts w:hint="eastAsia"/>
        </w:rPr>
        <w:t>优化产业布局</w:t>
      </w:r>
    </w:p>
    <w:p>
      <w:pPr>
        <w:spacing w:before="65"/>
        <w:ind w:firstLine="640"/>
      </w:pPr>
      <w:r>
        <w:rPr>
          <w:rFonts w:hint="eastAsia"/>
        </w:rPr>
        <w:t>统筹产业发展方向及产业用地布局，规划形成“一心、两轴、三区、多基地”的产业布局。</w:t>
      </w:r>
    </w:p>
    <w:p>
      <w:pPr>
        <w:spacing w:before="65"/>
        <w:ind w:firstLine="640"/>
      </w:pPr>
      <w:r>
        <w:rPr>
          <w:rFonts w:hint="eastAsia"/>
        </w:rPr>
        <w:t>一心：主要结合镇区公共服务设施和旅游服务设施形成的旅游服务中心。</w:t>
      </w:r>
    </w:p>
    <w:p>
      <w:pPr>
        <w:spacing w:before="65"/>
        <w:ind w:firstLine="640"/>
      </w:pPr>
      <w:r>
        <w:rPr>
          <w:rFonts w:hint="eastAsia"/>
        </w:rPr>
        <w:t>两轴：依托</w:t>
      </w:r>
      <w:r>
        <w:t>S240、X002形成两条产业发展轴，串联各村庄。</w:t>
      </w:r>
    </w:p>
    <w:p>
      <w:pPr>
        <w:spacing w:before="65"/>
        <w:ind w:firstLine="640"/>
      </w:pPr>
      <w:r>
        <w:rPr>
          <w:rFonts w:hint="eastAsia"/>
        </w:rPr>
        <w:t>三区：依托现状条件形成的北部生态康养区、中部特色农业种植区、南部高效农业种植区。</w:t>
      </w:r>
    </w:p>
    <w:p>
      <w:pPr>
        <w:spacing w:before="65"/>
        <w:ind w:firstLine="640"/>
      </w:pPr>
      <w:r>
        <w:rPr>
          <w:rFonts w:hint="eastAsia"/>
        </w:rPr>
        <w:t>多基地：各分区内的发展基地，包括发展旅游的云露山风景区、朱岗仰韶文化遗址等，特色农业木瓜种植基地、甜柿种植基地等，农产品加工药材加工基地、木材加工基地等。</w:t>
      </w:r>
    </w:p>
    <w:p>
      <w:pPr>
        <w:pStyle w:val="3"/>
      </w:pPr>
      <w:bookmarkStart w:id="93" w:name="_Toc200524222"/>
      <w:bookmarkStart w:id="94" w:name="_Toc200550534"/>
      <w:bookmarkStart w:id="95" w:name="_Hlk200635653"/>
      <w:bookmarkStart w:id="96" w:name="_Hlk200563381"/>
      <w:r>
        <w:rPr>
          <w:rFonts w:hint="eastAsia"/>
        </w:rPr>
        <w:t>产业用地保障</w:t>
      </w:r>
      <w:bookmarkEnd w:id="93"/>
      <w:bookmarkEnd w:id="94"/>
    </w:p>
    <w:p>
      <w:pPr>
        <w:pStyle w:val="4"/>
      </w:pPr>
      <w:r>
        <w:rPr>
          <w:rFonts w:hint="eastAsia"/>
        </w:rPr>
        <w:t>产业准入清单</w:t>
      </w:r>
    </w:p>
    <w:p>
      <w:pPr>
        <w:spacing w:before="65"/>
        <w:ind w:firstLine="640"/>
      </w:pPr>
      <w:r>
        <w:rPr>
          <w:rFonts w:hint="eastAsia"/>
        </w:rPr>
        <w:t>在城镇开发边界和村庄建设边界外，主要布局农、林、牧、渔业。</w:t>
      </w:r>
    </w:p>
    <w:p>
      <w:pPr>
        <w:spacing w:before="65"/>
        <w:ind w:firstLine="640"/>
      </w:pPr>
      <w:r>
        <w:rPr>
          <w:rFonts w:hint="eastAsia"/>
        </w:rPr>
        <w:t>在城镇开发边界内，主要布局污染较小或无污染的制造业，建筑业，批发和零售业，交通运输、仓储和邮政业，住宿和餐饮业，信息传输、软件和信息技术服务业，金融业，房地产业，租赁和商业服务业，技术服务业，环境和公共设施管理业，居民服务、修理和其他服务业，教育、卫生和社会工作，文化、体育和娱乐业等。</w:t>
      </w:r>
    </w:p>
    <w:p>
      <w:pPr>
        <w:spacing w:before="65"/>
        <w:ind w:firstLine="640"/>
      </w:pPr>
      <w:r>
        <w:rPr>
          <w:rFonts w:hint="eastAsia"/>
        </w:rPr>
        <w:t>在村庄建设边界内，主要布局直接服务种植养殖业的</w:t>
      </w:r>
      <w:bookmarkStart w:id="97" w:name="_Hlk207382782"/>
      <w:r>
        <w:rPr>
          <w:rFonts w:hint="eastAsia"/>
        </w:rPr>
        <w:t>农产品加工、电子商务、仓储保鲜冷链、产地低温直销配送等一二三产融合发展项目</w:t>
      </w:r>
      <w:bookmarkEnd w:id="97"/>
      <w:r>
        <w:rPr>
          <w:rFonts w:hint="eastAsia"/>
        </w:rPr>
        <w:t>，不得布局对居民生活产生较大影响和污染严重的产业。</w:t>
      </w:r>
    </w:p>
    <w:p>
      <w:pPr>
        <w:spacing w:before="65"/>
        <w:ind w:firstLine="640"/>
      </w:pPr>
      <w:r>
        <w:rPr>
          <w:rFonts w:hint="eastAsia"/>
        </w:rPr>
        <w:t>在乡镇范围内，原则上不得布局三类工业、危化品生产存储以及其他污染严重的产业，确需布局的，应征得马山口镇人民政府或内乡县自然资源局以及相关主管部门的同意。</w:t>
      </w:r>
    </w:p>
    <w:p>
      <w:pPr>
        <w:pStyle w:val="4"/>
      </w:pPr>
      <w:bookmarkStart w:id="98" w:name="_Hlk207462364"/>
      <w:r>
        <w:t>产业负面清单</w:t>
      </w:r>
    </w:p>
    <w:p>
      <w:pPr>
        <w:spacing w:before="65"/>
        <w:ind w:firstLine="640"/>
      </w:pPr>
      <w:r>
        <w:rPr>
          <w:rFonts w:hint="eastAsia"/>
        </w:rPr>
        <w:t>乡村产业发展应与财政、金融、人才、土地等相关政策</w:t>
      </w:r>
      <w:r>
        <w:t>相衔接，根据乡村资源特色及区域优势，选择适合本地发展的产业类型。要严控乡村产业准入，严格遵守《产业结构调整指导目录》文件的相关要求，将限制类、淘汰类产业列入产业负面清单，禁止发展该类产业。对于列入国家禁止类产业目录的、污染环境的项目，不得进入乡村。</w:t>
      </w:r>
    </w:p>
    <w:p>
      <w:pPr>
        <w:spacing w:before="65"/>
        <w:ind w:firstLine="640"/>
      </w:pPr>
      <w:r>
        <w:t>农村产业融合发展用地禁止用于商品住宅、别墅、酒店、公</w:t>
      </w:r>
      <w:r>
        <w:rPr>
          <w:rFonts w:hint="eastAsia"/>
        </w:rPr>
        <w:t>寓等房地产开发，禁止擅自改变用途或分割转让转租。禁止擅自将农业设施建设用地改变用途用于产业项目建设。</w:t>
      </w:r>
    </w:p>
    <w:bookmarkEnd w:id="98"/>
    <w:p>
      <w:pPr>
        <w:pStyle w:val="4"/>
      </w:pPr>
      <w:r>
        <w:rPr>
          <w:rFonts w:hint="eastAsia"/>
        </w:rPr>
        <w:t>产业用地管控</w:t>
      </w:r>
    </w:p>
    <w:p>
      <w:pPr>
        <w:spacing w:before="65"/>
        <w:ind w:firstLine="640"/>
      </w:pPr>
      <w:r>
        <w:rPr>
          <w:rFonts w:hint="eastAsia"/>
        </w:rPr>
        <w:t>乡镇级国土空间规划应安排不少于</w:t>
      </w:r>
      <w:r>
        <w:t>10%的建设用地指标，重点保障乡村产业发展用地。根据产业发展规律，在城乡之间合理安排产业用地布局。工业企业要向产业集聚区、专业园区集聚；具有一定规模的农产品加工要向</w:t>
      </w:r>
      <w:r>
        <w:rPr>
          <w:rFonts w:hint="eastAsia"/>
        </w:rPr>
        <w:t>中心城区</w:t>
      </w:r>
      <w:r>
        <w:t>或乡镇城镇开发边界内集聚；对直接服务种植养殖业的农产品加工、电子商务、仓储保鲜冷链、产地低温直销配送等产业，应优先利用村内空闲地和闲置宅基地，原则上集中在村庄建设边界内；对利用农村本地资源开展农产品分拣、初加工、发展休闲观光旅游而必须的配套设施建设，在不侵占永久基本农田和生态保护红线、不突破国土空间规划建</w:t>
      </w:r>
      <w:r>
        <w:rPr>
          <w:rFonts w:hint="eastAsia"/>
        </w:rPr>
        <w:t>设用地指标等约束条件、不破坏自然环境和历史风貌的条件下，可在村庄建设边界外安排少量建设用地。在符合国土空间规划前提下，鼓励对依法登记的宅基地等农村建设用地进行复合利用，发展乡村民宿、农产品初加工、电子商务等农村产业。农业生产中直接用于作物种植和畜禽水产养殖的设施用地，按照自然资源部相关</w:t>
      </w:r>
      <w:r>
        <w:t>要求使用。</w:t>
      </w:r>
      <w:bookmarkEnd w:id="95"/>
      <w:bookmarkStart w:id="99" w:name="_Hlk200523747"/>
    </w:p>
    <w:p>
      <w:pPr>
        <w:spacing w:before="65"/>
        <w:ind w:firstLine="640"/>
      </w:pPr>
      <w:bookmarkStart w:id="100" w:name="_Hlk200524039"/>
      <w:r>
        <w:rPr>
          <w:rFonts w:hint="eastAsia"/>
        </w:rPr>
        <w:t>因马山口镇中部位于地质灾害高风险区内，符合准入标准的产业项目应先开展地质灾害危险性评估，确定不位于地质灾害高/极高风险区内方可进行规划建设。</w:t>
      </w:r>
    </w:p>
    <w:bookmarkEnd w:id="96"/>
    <w:bookmarkEnd w:id="99"/>
    <w:bookmarkEnd w:id="100"/>
    <w:p>
      <w:pPr>
        <w:spacing w:before="65"/>
        <w:ind w:firstLine="640"/>
      </w:pPr>
      <w:r>
        <w:br w:type="page"/>
      </w:r>
    </w:p>
    <w:p>
      <w:pPr>
        <w:spacing w:before="65"/>
        <w:ind w:firstLine="640"/>
      </w:pPr>
    </w:p>
    <w:p>
      <w:pPr>
        <w:pStyle w:val="2"/>
        <w:spacing w:before="489" w:beforeLines="150" w:after="489" w:afterLines="150"/>
      </w:pPr>
      <w:bookmarkStart w:id="101" w:name="_Toc221004622"/>
      <w:bookmarkStart w:id="102" w:name="_Toc211258495"/>
      <w:bookmarkStart w:id="103" w:name="_Toc185606064"/>
      <w:r>
        <w:rPr>
          <w:rFonts w:hint="eastAsia"/>
        </w:rPr>
        <w:t>村庄布局</w:t>
      </w:r>
      <w:bookmarkEnd w:id="101"/>
      <w:bookmarkEnd w:id="102"/>
      <w:bookmarkEnd w:id="103"/>
    </w:p>
    <w:p>
      <w:pPr>
        <w:pStyle w:val="3"/>
        <w:spacing w:before="326" w:beforeLines="100" w:after="326" w:afterLines="100"/>
      </w:pPr>
      <w:bookmarkStart w:id="104" w:name="_Toc185606065"/>
      <w:r>
        <w:rPr>
          <w:rFonts w:hint="eastAsia"/>
        </w:rPr>
        <w:t>人口与城镇化水平预测</w:t>
      </w:r>
      <w:bookmarkEnd w:id="104"/>
    </w:p>
    <w:p>
      <w:pPr>
        <w:pStyle w:val="4"/>
        <w:rPr>
          <w:lang w:val="zh-CN"/>
        </w:rPr>
      </w:pPr>
      <w:r>
        <w:rPr>
          <w:rFonts w:hint="eastAsia"/>
          <w:lang w:val="zh-CN"/>
        </w:rPr>
        <w:t>人口规模预测</w:t>
      </w:r>
    </w:p>
    <w:p>
      <w:pPr>
        <w:ind w:firstLine="640"/>
      </w:pPr>
      <w:r>
        <w:rPr>
          <w:rFonts w:hint="eastAsia"/>
        </w:rPr>
        <w:t>1</w:t>
      </w:r>
      <w:r>
        <w:t>.</w:t>
      </w:r>
      <w:r>
        <w:rPr>
          <w:rFonts w:hint="eastAsia"/>
        </w:rPr>
        <w:t>镇</w:t>
      </w:r>
      <w:r>
        <w:t>域户籍人口</w:t>
      </w:r>
    </w:p>
    <w:p>
      <w:pPr>
        <w:ind w:firstLine="640"/>
        <w:rPr>
          <w:rFonts w:ascii="Times New Roman" w:hAnsi="Times New Roman"/>
        </w:rPr>
      </w:pPr>
      <w:r>
        <w:rPr>
          <w:rFonts w:ascii="Times New Roman" w:hAnsi="Times New Roman"/>
        </w:rPr>
        <w:t>规划基期年，</w:t>
      </w:r>
      <w:r>
        <w:rPr>
          <w:rFonts w:hint="eastAsia" w:ascii="Times New Roman" w:hAnsi="Times New Roman"/>
        </w:rPr>
        <w:t>镇</w:t>
      </w:r>
      <w:r>
        <w:rPr>
          <w:rFonts w:ascii="Times New Roman" w:hAnsi="Times New Roman"/>
        </w:rPr>
        <w:t>域户籍总人口</w:t>
      </w:r>
      <w:r>
        <w:t>61170</w:t>
      </w:r>
      <w:r>
        <w:rPr>
          <w:rFonts w:ascii="Times New Roman" w:hAnsi="Times New Roman"/>
        </w:rPr>
        <w:t>人。至2025年，</w:t>
      </w:r>
      <w:r>
        <w:rPr>
          <w:rFonts w:hint="eastAsia" w:ascii="Times New Roman" w:hAnsi="Times New Roman"/>
        </w:rPr>
        <w:t>镇</w:t>
      </w:r>
      <w:r>
        <w:rPr>
          <w:rFonts w:ascii="Times New Roman" w:hAnsi="Times New Roman"/>
        </w:rPr>
        <w:t>域户籍总人口6.12</w:t>
      </w:r>
      <w:r>
        <w:rPr>
          <w:rFonts w:hint="eastAsia" w:ascii="Times New Roman" w:hAnsi="Times New Roman"/>
        </w:rPr>
        <w:t>万</w:t>
      </w:r>
      <w:r>
        <w:rPr>
          <w:rFonts w:ascii="Times New Roman" w:hAnsi="Times New Roman"/>
        </w:rPr>
        <w:t>人；至2035年，</w:t>
      </w:r>
      <w:r>
        <w:rPr>
          <w:rFonts w:hint="eastAsia" w:ascii="Times New Roman" w:hAnsi="Times New Roman"/>
        </w:rPr>
        <w:t>镇</w:t>
      </w:r>
      <w:r>
        <w:rPr>
          <w:rFonts w:ascii="Times New Roman" w:hAnsi="Times New Roman"/>
        </w:rPr>
        <w:t>域户籍总人口6.12</w:t>
      </w:r>
      <w:r>
        <w:rPr>
          <w:rFonts w:hint="eastAsia" w:ascii="Times New Roman" w:hAnsi="Times New Roman"/>
        </w:rPr>
        <w:t>万</w:t>
      </w:r>
      <w:r>
        <w:rPr>
          <w:rFonts w:ascii="Times New Roman" w:hAnsi="Times New Roman"/>
        </w:rPr>
        <w:t>人。</w:t>
      </w:r>
    </w:p>
    <w:p>
      <w:pPr>
        <w:ind w:firstLine="640"/>
      </w:pPr>
      <w:r>
        <w:rPr>
          <w:rFonts w:hint="eastAsia"/>
        </w:rPr>
        <w:t>2</w:t>
      </w:r>
      <w:r>
        <w:t>.</w:t>
      </w:r>
      <w:r>
        <w:rPr>
          <w:rFonts w:hint="eastAsia"/>
        </w:rPr>
        <w:t>镇</w:t>
      </w:r>
      <w:r>
        <w:t>域常住人口</w:t>
      </w:r>
    </w:p>
    <w:p>
      <w:pPr>
        <w:ind w:firstLine="640"/>
        <w:rPr>
          <w:rFonts w:ascii="Times New Roman" w:hAnsi="Times New Roman"/>
        </w:rPr>
      </w:pPr>
      <w:r>
        <w:rPr>
          <w:rFonts w:ascii="Times New Roman" w:hAnsi="Times New Roman"/>
        </w:rPr>
        <w:t>规划基期年，</w:t>
      </w:r>
      <w:r>
        <w:rPr>
          <w:rFonts w:hint="eastAsia" w:ascii="Times New Roman" w:hAnsi="Times New Roman"/>
        </w:rPr>
        <w:t>镇</w:t>
      </w:r>
      <w:r>
        <w:rPr>
          <w:rFonts w:ascii="Times New Roman" w:hAnsi="Times New Roman"/>
        </w:rPr>
        <w:t>域常住总人口</w:t>
      </w:r>
      <w:r>
        <w:t>42067</w:t>
      </w:r>
      <w:r>
        <w:rPr>
          <w:rFonts w:ascii="Times New Roman" w:hAnsi="Times New Roman"/>
        </w:rPr>
        <w:t>人。至2025年，</w:t>
      </w:r>
      <w:r>
        <w:rPr>
          <w:rFonts w:hint="eastAsia" w:ascii="Times New Roman" w:hAnsi="Times New Roman"/>
        </w:rPr>
        <w:t>镇</w:t>
      </w:r>
      <w:r>
        <w:rPr>
          <w:rFonts w:ascii="Times New Roman" w:hAnsi="Times New Roman"/>
        </w:rPr>
        <w:t>域常住总人口3.70</w:t>
      </w:r>
      <w:r>
        <w:rPr>
          <w:rFonts w:hint="eastAsia" w:ascii="Times New Roman" w:hAnsi="Times New Roman"/>
        </w:rPr>
        <w:t>万</w:t>
      </w:r>
      <w:r>
        <w:rPr>
          <w:rFonts w:ascii="Times New Roman" w:hAnsi="Times New Roman"/>
        </w:rPr>
        <w:t>人；至2035年，</w:t>
      </w:r>
      <w:r>
        <w:rPr>
          <w:rFonts w:hint="eastAsia" w:ascii="Times New Roman" w:hAnsi="Times New Roman"/>
        </w:rPr>
        <w:t>镇</w:t>
      </w:r>
      <w:r>
        <w:rPr>
          <w:rFonts w:ascii="Times New Roman" w:hAnsi="Times New Roman"/>
        </w:rPr>
        <w:t>域常住总人口3.35</w:t>
      </w:r>
      <w:r>
        <w:rPr>
          <w:rFonts w:hint="eastAsia" w:ascii="Times New Roman" w:hAnsi="Times New Roman"/>
        </w:rPr>
        <w:t>万</w:t>
      </w:r>
      <w:r>
        <w:rPr>
          <w:rFonts w:ascii="Times New Roman" w:hAnsi="Times New Roman"/>
        </w:rPr>
        <w:t>人。</w:t>
      </w:r>
    </w:p>
    <w:p>
      <w:pPr>
        <w:pStyle w:val="4"/>
        <w:rPr>
          <w:lang w:val="zh-CN"/>
        </w:rPr>
      </w:pPr>
      <w:r>
        <w:rPr>
          <w:rFonts w:hint="eastAsia"/>
          <w:lang w:val="zh-CN"/>
        </w:rPr>
        <w:t>城镇化水平预测</w:t>
      </w:r>
    </w:p>
    <w:p>
      <w:pPr>
        <w:spacing w:before="65"/>
        <w:ind w:firstLine="640"/>
        <w:rPr>
          <w:rFonts w:ascii="Times New Roman" w:hAnsi="Times New Roman"/>
        </w:rPr>
      </w:pPr>
      <w:r>
        <w:rPr>
          <w:rFonts w:ascii="Times New Roman" w:hAnsi="Times New Roman"/>
        </w:rPr>
        <w:t>基期年，</w:t>
      </w:r>
      <w:r>
        <w:rPr>
          <w:rFonts w:hint="eastAsia" w:ascii="Times New Roman" w:hAnsi="Times New Roman"/>
        </w:rPr>
        <w:t>镇</w:t>
      </w:r>
      <w:r>
        <w:rPr>
          <w:rFonts w:ascii="Times New Roman" w:hAnsi="Times New Roman"/>
        </w:rPr>
        <w:t>域城镇人口18000人，城镇化水平43%。至2025年，</w:t>
      </w:r>
      <w:r>
        <w:rPr>
          <w:rFonts w:hint="eastAsia" w:ascii="Times New Roman" w:hAnsi="Times New Roman"/>
        </w:rPr>
        <w:t>镇</w:t>
      </w:r>
      <w:r>
        <w:rPr>
          <w:rFonts w:ascii="Times New Roman" w:hAnsi="Times New Roman"/>
        </w:rPr>
        <w:t>域城镇人口</w:t>
      </w:r>
      <w:r>
        <w:rPr>
          <w:rFonts w:hint="eastAsia"/>
        </w:rPr>
        <w:t>1</w:t>
      </w:r>
      <w:r>
        <w:t>.78</w:t>
      </w:r>
      <w:r>
        <w:rPr>
          <w:rFonts w:hint="eastAsia"/>
        </w:rPr>
        <w:t>万</w:t>
      </w:r>
      <w:r>
        <w:rPr>
          <w:rFonts w:ascii="Times New Roman" w:hAnsi="Times New Roman"/>
        </w:rPr>
        <w:t>人，城镇化水平达到48%，；至2035年，</w:t>
      </w:r>
      <w:r>
        <w:rPr>
          <w:rFonts w:hint="eastAsia" w:ascii="Times New Roman" w:hAnsi="Times New Roman"/>
        </w:rPr>
        <w:t>镇</w:t>
      </w:r>
      <w:r>
        <w:rPr>
          <w:rFonts w:ascii="Times New Roman" w:hAnsi="Times New Roman"/>
        </w:rPr>
        <w:t>域城镇人口2.12</w:t>
      </w:r>
      <w:r>
        <w:rPr>
          <w:rFonts w:hint="eastAsia" w:ascii="Times New Roman" w:hAnsi="Times New Roman"/>
        </w:rPr>
        <w:t>万</w:t>
      </w:r>
      <w:r>
        <w:rPr>
          <w:rFonts w:ascii="Times New Roman" w:hAnsi="Times New Roman"/>
        </w:rPr>
        <w:t>人，城镇化水平达到63%左右。</w:t>
      </w:r>
    </w:p>
    <w:p>
      <w:pPr>
        <w:pStyle w:val="3"/>
        <w:spacing w:before="326" w:beforeLines="100" w:after="326" w:afterLines="100"/>
      </w:pPr>
      <w:bookmarkStart w:id="105" w:name="_Toc185606066"/>
      <w:r>
        <w:rPr>
          <w:rFonts w:hint="eastAsia"/>
        </w:rPr>
        <w:t>村庄分类布局</w:t>
      </w:r>
      <w:bookmarkEnd w:id="105"/>
    </w:p>
    <w:p>
      <w:pPr>
        <w:pStyle w:val="4"/>
      </w:pPr>
      <w:r>
        <w:rPr>
          <w:rFonts w:hint="eastAsia"/>
        </w:rPr>
        <w:t>村庄分类</w:t>
      </w:r>
    </w:p>
    <w:p>
      <w:pPr>
        <w:spacing w:before="65"/>
        <w:ind w:firstLine="640"/>
      </w:pPr>
      <w:r>
        <w:rPr>
          <w:rFonts w:hint="eastAsia"/>
        </w:rPr>
        <w:t>马山口镇共有</w:t>
      </w:r>
      <w:r>
        <w:t>24</w:t>
      </w:r>
      <w:r>
        <w:rPr>
          <w:rFonts w:hint="eastAsia"/>
        </w:rPr>
        <w:t>个行政村，其中</w:t>
      </w:r>
      <w:r>
        <w:t>5</w:t>
      </w:r>
      <w:r>
        <w:rPr>
          <w:rFonts w:hint="eastAsia"/>
        </w:rPr>
        <w:t>个城郊融合类、</w:t>
      </w:r>
      <w:r>
        <w:t>5</w:t>
      </w:r>
      <w:r>
        <w:rPr>
          <w:rFonts w:hint="eastAsia"/>
        </w:rPr>
        <w:t>个集聚提升类、</w:t>
      </w:r>
      <w:r>
        <w:t>4</w:t>
      </w:r>
      <w:r>
        <w:rPr>
          <w:rFonts w:hint="eastAsia"/>
        </w:rPr>
        <w:t>个特色保护类和</w:t>
      </w:r>
      <w:r>
        <w:t>5</w:t>
      </w:r>
      <w:r>
        <w:rPr>
          <w:rFonts w:hint="eastAsia"/>
        </w:rPr>
        <w:t>个整治改善类。</w:t>
      </w:r>
    </w:p>
    <w:p>
      <w:pPr>
        <w:pStyle w:val="4"/>
      </w:pPr>
      <w:r>
        <w:rPr>
          <w:rFonts w:hint="eastAsia"/>
        </w:rPr>
        <w:t>村庄</w:t>
      </w:r>
      <w:r>
        <w:t>发展引导</w:t>
      </w:r>
    </w:p>
    <w:p>
      <w:pPr>
        <w:spacing w:before="65"/>
        <w:ind w:firstLine="640"/>
      </w:pPr>
      <w:r>
        <w:rPr>
          <w:rFonts w:hint="eastAsia"/>
        </w:rPr>
        <w:t>庵北村、大寨村、河西村、岳岗村、郑湾村等城郊融合类村庄应综合考虑工业化、城镇化和村庄自身发展需要，加快城乡产业融合发展、基础设施互联互通、公共服务共建共享，在形态上保留乡村风貌，在治理上体现城镇水平，逐步强化服务城镇发展、承接城镇功能外溢的作用。</w:t>
      </w:r>
    </w:p>
    <w:p>
      <w:pPr>
        <w:spacing w:before="65"/>
        <w:ind w:firstLine="640"/>
      </w:pPr>
      <w:r>
        <w:rPr>
          <w:rFonts w:hint="eastAsia"/>
        </w:rPr>
        <w:t>打磨岗村、樊岗村、花北村等</w:t>
      </w:r>
      <w:r>
        <w:t>集聚提升类村庄重点完善乡村基本服务单元功能，提升村庄公共设施和基础设施服务能力和水平。做强特色优势产业，延伸主导产业链条，推进一二三产业融合发展，提供就业岗位，增加村民和村集体收入。</w:t>
      </w:r>
    </w:p>
    <w:p>
      <w:pPr>
        <w:spacing w:before="65"/>
        <w:ind w:firstLine="640"/>
      </w:pPr>
      <w:r>
        <w:rPr>
          <w:rFonts w:hint="eastAsia"/>
        </w:rPr>
        <w:t>茨园村、关帝坪村等</w:t>
      </w:r>
      <w:r>
        <w:t>特色保护类村庄</w:t>
      </w:r>
      <w:r>
        <w:rPr>
          <w:rFonts w:hint="eastAsia"/>
        </w:rPr>
        <w:t>应以</w:t>
      </w:r>
      <w:r>
        <w:t>保护优先，活化利用，重点完善旅游配套、提升服务产业</w:t>
      </w:r>
      <w:r>
        <w:rPr>
          <w:rFonts w:hint="eastAsia"/>
        </w:rPr>
        <w:t>，</w:t>
      </w:r>
      <w:r>
        <w:t>统筹保护、利用与发展的关系，努力保持村庄的完整性、真实性和延续性。</w:t>
      </w:r>
      <w:r>
        <w:rPr>
          <w:rFonts w:hint="eastAsia"/>
        </w:rPr>
        <w:t>茨园村</w:t>
      </w:r>
      <w:r>
        <w:t>以美丽乡村</w:t>
      </w:r>
      <w:r>
        <w:rPr>
          <w:rFonts w:hint="eastAsia"/>
        </w:rPr>
        <w:t>建设为基础、关帝坪村以</w:t>
      </w:r>
      <w:r>
        <w:t>发展</w:t>
      </w:r>
      <w:r>
        <w:rPr>
          <w:rFonts w:hint="eastAsia"/>
        </w:rPr>
        <w:t>特色</w:t>
      </w:r>
      <w:r>
        <w:t>产业</w:t>
      </w:r>
      <w:r>
        <w:rPr>
          <w:rFonts w:hint="eastAsia"/>
        </w:rPr>
        <w:t>为基础</w:t>
      </w:r>
      <w:r>
        <w:t>，加快改善村庄基础设施和公共环境，合理利用村庄特色资源，发展乡村旅游和特色产业</w:t>
      </w:r>
      <w:r>
        <w:rPr>
          <w:rFonts w:hint="eastAsia"/>
        </w:rPr>
        <w:t>。</w:t>
      </w:r>
    </w:p>
    <w:p>
      <w:pPr>
        <w:spacing w:before="65"/>
        <w:ind w:firstLine="640"/>
      </w:pPr>
      <w:r>
        <w:rPr>
          <w:rFonts w:hint="eastAsia"/>
        </w:rPr>
        <w:t>杜洛庄村、老庄村等整治改善类村庄应着重</w:t>
      </w:r>
      <w:r>
        <w:t>于</w:t>
      </w:r>
      <w:r>
        <w:rPr>
          <w:rFonts w:hint="eastAsia"/>
        </w:rPr>
        <w:t>村庄危房改造、人居环境整治、基础设施与公共服务设施提升、土地整治、生态保护与修复等，满足建设需要。</w:t>
      </w:r>
    </w:p>
    <w:p>
      <w:pPr>
        <w:spacing w:before="65"/>
        <w:ind w:firstLine="640"/>
      </w:pPr>
      <w:r>
        <w:rPr>
          <w:rFonts w:hint="eastAsia"/>
        </w:rPr>
        <w:t>白庙村、马坪村、三岔河村等搬迁撤并类村庄根据村民意愿，通过市场化运作和配套政策相结合的方式，采用土地置换等多种方式和措施，逐步引导村民向城镇或保留并重点发展的村庄集聚。</w:t>
      </w:r>
    </w:p>
    <w:p>
      <w:pPr>
        <w:pStyle w:val="3"/>
      </w:pPr>
      <w:bookmarkStart w:id="106" w:name="_Toc200550538"/>
      <w:bookmarkStart w:id="107" w:name="_Toc200524226"/>
      <w:bookmarkStart w:id="108" w:name="_Hlk200635723"/>
      <w:r>
        <w:rPr>
          <w:rFonts w:hint="eastAsia"/>
        </w:rPr>
        <w:t>镇村体系规划</w:t>
      </w:r>
      <w:bookmarkEnd w:id="106"/>
      <w:bookmarkEnd w:id="107"/>
    </w:p>
    <w:p>
      <w:pPr>
        <w:pStyle w:val="4"/>
      </w:pPr>
      <w:r>
        <w:rPr>
          <w:rFonts w:hint="eastAsia"/>
        </w:rPr>
        <w:t>镇村体系</w:t>
      </w:r>
    </w:p>
    <w:p>
      <w:pPr>
        <w:spacing w:before="65"/>
        <w:ind w:firstLine="640"/>
      </w:pPr>
      <w:bookmarkStart w:id="109" w:name="_Hlk200544817"/>
      <w:r>
        <w:rPr>
          <w:rFonts w:hint="eastAsia"/>
        </w:rPr>
        <w:t>强化集镇区的核心地位，同时结合村庄的实际发展条件，以均衡布局为原则，构建“镇区</w:t>
      </w:r>
      <w:r>
        <w:t>+</w:t>
      </w:r>
      <w:r>
        <w:rPr>
          <w:rFonts w:hint="eastAsia"/>
        </w:rPr>
        <w:t>中心村</w:t>
      </w:r>
      <w:r>
        <w:t>+基层村”三级镇村体</w:t>
      </w:r>
      <w:r>
        <w:rPr>
          <w:rFonts w:hint="eastAsia"/>
        </w:rPr>
        <w:t>系。</w:t>
      </w:r>
    </w:p>
    <w:p>
      <w:pPr>
        <w:spacing w:before="65"/>
        <w:ind w:firstLine="640"/>
      </w:pPr>
      <w:r>
        <w:rPr>
          <w:rFonts w:hint="eastAsia"/>
        </w:rPr>
        <w:t>镇区为</w:t>
      </w:r>
      <w:bookmarkStart w:id="110" w:name="_Hlk200558583"/>
      <w:r>
        <w:rPr>
          <w:rFonts w:hint="eastAsia"/>
        </w:rPr>
        <w:t>马山口镇居民委员会、郑湾村、河西村、大寨村</w:t>
      </w:r>
      <w:bookmarkEnd w:id="110"/>
      <w:r>
        <w:t>；</w:t>
      </w:r>
      <w:r>
        <w:rPr>
          <w:rFonts w:hint="eastAsia"/>
        </w:rPr>
        <w:t>中心村</w:t>
      </w:r>
      <w:r>
        <w:t>为</w:t>
      </w:r>
      <w:r>
        <w:rPr>
          <w:rFonts w:hint="eastAsia"/>
        </w:rPr>
        <w:t>石庙村、王场村、樊岗村</w:t>
      </w:r>
      <w:r>
        <w:t>；基层村</w:t>
      </w:r>
      <w:r>
        <w:rPr>
          <w:rFonts w:hint="eastAsia"/>
        </w:rPr>
        <w:t>为其他</w:t>
      </w:r>
      <w:r>
        <w:t>18个行政村。</w:t>
      </w:r>
    </w:p>
    <w:p>
      <w:pPr>
        <w:spacing w:before="65"/>
        <w:ind w:firstLine="640"/>
      </w:pPr>
      <w:r>
        <w:rPr>
          <w:rFonts w:hint="eastAsia"/>
        </w:rPr>
        <w:t>进一步完善城乡要素平等交换、双向流动的政策体系，引导人口、产业向镇区、中心村集聚，带动镇域社会经济发展。</w:t>
      </w:r>
    </w:p>
    <w:bookmarkEnd w:id="109"/>
    <w:p>
      <w:pPr>
        <w:pStyle w:val="4"/>
      </w:pPr>
      <w:r>
        <w:t>村庄职能结构</w:t>
      </w:r>
    </w:p>
    <w:p>
      <w:pPr>
        <w:ind w:firstLine="640"/>
      </w:pPr>
      <w:r>
        <w:rPr>
          <w:rFonts w:hint="eastAsia"/>
        </w:rPr>
        <w:t>此次规划中，将关帝坪村、杜洛庄村、石庙村、朱庙村、杏树坪村、三岔河村、马坪村、唐河村规划为北部生态保育区，主要发展旅游及食用菌的种植；将王场村、李井村、打磨岗村、花北村、河口村、寺山庙村、庵北村、白庙村规划为中部特色种植区，主要林果等特色种植及建材加工；将大寨村、河西村、岳岗村、郑湾村、茨园村、闫岗村、老庄村、樊岗村规划为南部高效农业区，主要发展小麦、玉米等粮食作物种植及烟叶、月季特色种植等。</w:t>
      </w:r>
    </w:p>
    <w:bookmarkEnd w:id="108"/>
    <w:p>
      <w:pPr>
        <w:pStyle w:val="4"/>
        <w:ind w:left="0" w:firstLine="640" w:firstLineChars="200"/>
      </w:pPr>
      <w:bookmarkStart w:id="111" w:name="_Hlk207291743"/>
      <w:r>
        <w:rPr>
          <w:rFonts w:hint="eastAsia"/>
        </w:rPr>
        <w:t>乡村建设引导</w:t>
      </w:r>
    </w:p>
    <w:p>
      <w:pPr>
        <w:ind w:firstLine="640"/>
      </w:pPr>
      <w:r>
        <w:t>构建“</w:t>
      </w:r>
      <w:r>
        <w:rPr>
          <w:rFonts w:hint="eastAsia"/>
        </w:rPr>
        <w:t>镇区</w:t>
      </w:r>
      <w:r>
        <w:t>-</w:t>
      </w:r>
      <w:r>
        <w:rPr>
          <w:rFonts w:hint="eastAsia"/>
        </w:rPr>
        <w:t>中心村</w:t>
      </w:r>
      <w:r>
        <w:t>-</w:t>
      </w:r>
      <w:r>
        <w:rPr>
          <w:rFonts w:hint="eastAsia"/>
        </w:rPr>
        <w:t>基层</w:t>
      </w:r>
      <w:r>
        <w:t>村”三级体系</w:t>
      </w:r>
      <w:r>
        <w:rPr>
          <w:rFonts w:hint="eastAsia"/>
        </w:rPr>
        <w:t>，强化镇区的核心地位，培育中心村</w:t>
      </w:r>
      <w:r>
        <w:t>，引导择周边自然村和基层村的人口向其适度集中，提供高于</w:t>
      </w:r>
      <w:r>
        <w:rPr>
          <w:rFonts w:hint="eastAsia"/>
        </w:rPr>
        <w:t>基层村</w:t>
      </w:r>
      <w:r>
        <w:t>的公共服务。</w:t>
      </w:r>
      <w:r>
        <w:rPr>
          <w:rFonts w:hint="eastAsia"/>
        </w:rPr>
        <w:t>控制基层村发展，严格控制新增宅基地和产业用地，逐步引导其人口向镇区和中心村转移。</w:t>
      </w:r>
    </w:p>
    <w:p>
      <w:pPr>
        <w:ind w:firstLine="640"/>
      </w:pPr>
      <w:r>
        <w:rPr>
          <w:rFonts w:hint="eastAsia"/>
        </w:rPr>
        <w:t>保障产业集聚空间，引导工业、仓储物流、农产品加工园区朝镇区周边布局，避免“村村点火、户户冒烟”的分散布局。新增宅基地和安置房等应优先布局在镇区和中心村，形成规模效应。提升镇区存量居住用地的品质和容量，提高人口承载力，通过规划和法律手段，严格限制在村庄建设区外和基层村无序新建、扩建住宅。</w:t>
      </w:r>
    </w:p>
    <w:p>
      <w:pPr>
        <w:ind w:firstLine="640"/>
      </w:pPr>
      <w:r>
        <w:rPr>
          <w:rFonts w:hint="eastAsia"/>
        </w:rPr>
        <w:t>提升镇区与中心村、主要交通干道的连接道路等级，优化镇区内路网，开通公交线路。集中建设污水处理厂、垃圾中转站、供水管网、电力电信设施，并向周边中心村延伸覆盖，实现规模效益。</w:t>
      </w:r>
    </w:p>
    <w:p>
      <w:pPr>
        <w:ind w:firstLine="640"/>
      </w:pPr>
      <w:r>
        <w:rPr>
          <w:rFonts w:hint="eastAsia"/>
        </w:rPr>
        <w:t>在镇区集中布局高水平的卫生院、中心小学、幼儿园、养老院、文化活动中心、便民服务中心等。在中心村配置标准化的卫生室、幼儿园、养老院、农家书屋等，形成与镇区互补的服务网络。</w:t>
      </w:r>
    </w:p>
    <w:p>
      <w:pPr>
        <w:ind w:firstLine="640"/>
      </w:pPr>
      <w:r>
        <w:rPr>
          <w:rFonts w:hint="eastAsia"/>
        </w:rPr>
        <w:t>通过空间约束</w:t>
      </w:r>
      <w:r>
        <w:t>和空间激励相结合，配套以有吸引力的政策和优质的公共服务，让市场主体和居民用脚投票，自发地、自愿地向规划确定的</w:t>
      </w:r>
      <w:r>
        <w:rPr>
          <w:rFonts w:hint="eastAsia"/>
        </w:rPr>
        <w:t>镇区和中心村</w:t>
      </w:r>
      <w:r>
        <w:t>集中，最终实现集约、高效、绿色、宜居的乡镇发展新格局。</w:t>
      </w:r>
    </w:p>
    <w:bookmarkEnd w:id="111"/>
    <w:p>
      <w:pPr>
        <w:pStyle w:val="3"/>
      </w:pPr>
      <w:bookmarkStart w:id="112" w:name="_Hlk207292006"/>
      <w:r>
        <w:rPr>
          <w:rFonts w:hint="eastAsia"/>
        </w:rPr>
        <w:t>城乡生活圈构建</w:t>
      </w:r>
    </w:p>
    <w:p>
      <w:pPr>
        <w:pStyle w:val="4"/>
        <w:ind w:left="0" w:firstLine="640" w:firstLineChars="200"/>
      </w:pPr>
      <w:r>
        <w:rPr>
          <w:rFonts w:hint="eastAsia"/>
        </w:rPr>
        <w:t>城乡生活圈划分</w:t>
      </w:r>
    </w:p>
    <w:p>
      <w:pPr>
        <w:spacing w:before="65"/>
        <w:ind w:firstLine="640"/>
      </w:pPr>
      <w:r>
        <w:t>以</w:t>
      </w:r>
      <w:r>
        <w:rPr>
          <w:rFonts w:hint="eastAsia"/>
        </w:rPr>
        <w:t>镇区为中心</w:t>
      </w:r>
      <w:r>
        <w:t>，构建</w:t>
      </w:r>
      <w:r>
        <w:rPr>
          <w:rFonts w:hint="eastAsia"/>
        </w:rPr>
        <w:t>城镇</w:t>
      </w:r>
      <w:r>
        <w:t>生活圈，以</w:t>
      </w:r>
      <w:r>
        <w:rPr>
          <w:rFonts w:hint="eastAsia"/>
        </w:rPr>
        <w:t>中心村</w:t>
      </w:r>
      <w:r>
        <w:t>为中心，构建</w:t>
      </w:r>
      <w:r>
        <w:rPr>
          <w:rFonts w:hint="eastAsia"/>
        </w:rPr>
        <w:t>乡村生活圈。</w:t>
      </w:r>
    </w:p>
    <w:p>
      <w:pPr>
        <w:spacing w:before="65"/>
        <w:ind w:firstLine="640"/>
      </w:pPr>
      <w:r>
        <w:rPr>
          <w:rFonts w:hint="eastAsia"/>
        </w:rPr>
        <w:t>依据行政界线、村庄分类、镇村体系、地理位置等因素，马山口镇共划定</w:t>
      </w:r>
      <w:r>
        <w:t>1</w:t>
      </w:r>
      <w:r>
        <w:rPr>
          <w:rFonts w:hint="eastAsia"/>
        </w:rPr>
        <w:t>个城镇生活圈和</w:t>
      </w:r>
      <w:r>
        <w:t>3个乡村</w:t>
      </w:r>
      <w:r>
        <w:rPr>
          <w:rFonts w:hint="eastAsia"/>
        </w:rPr>
        <w:t>生活圈</w:t>
      </w:r>
      <w:r>
        <w:t>。其中：</w:t>
      </w:r>
    </w:p>
    <w:p>
      <w:pPr>
        <w:spacing w:before="65"/>
        <w:ind w:firstLine="640"/>
      </w:pPr>
      <w:r>
        <w:rPr>
          <w:rFonts w:hint="eastAsia"/>
        </w:rPr>
        <w:t>镇区单元以镇区为中心，包含郑湾村、河西村、大寨村、花北村、茨园村、岳岗村、白庙村、河口村、打磨岗村，以综合服务、生活居住、旅游观光、产城融合发展为主。</w:t>
      </w:r>
    </w:p>
    <w:p>
      <w:pPr>
        <w:spacing w:before="65"/>
        <w:ind w:firstLine="640"/>
      </w:pPr>
      <w:r>
        <w:rPr>
          <w:rFonts w:hint="eastAsia"/>
        </w:rPr>
        <w:t>王场村庄单元以王场村为中心，包含杏树坪村、马坪村、李井村，以发展中草药种植、菌菇种植为主。</w:t>
      </w:r>
    </w:p>
    <w:p>
      <w:pPr>
        <w:spacing w:before="65"/>
        <w:ind w:firstLine="640"/>
      </w:pPr>
      <w:r>
        <w:rPr>
          <w:rFonts w:hint="eastAsia"/>
        </w:rPr>
        <w:t>石庙村庄单元以石庙村为中心，包含朱庙村、杜洛庄村、关帝坪村、三岔河村，以生态观光旅游、菌菇种植为主。</w:t>
      </w:r>
    </w:p>
    <w:p>
      <w:pPr>
        <w:spacing w:before="65"/>
        <w:ind w:firstLine="640"/>
      </w:pPr>
      <w:r>
        <w:rPr>
          <w:rFonts w:hint="eastAsia"/>
        </w:rPr>
        <w:t>樊岗村庄单元以樊岗村为中心，包含闫岗村、老庄村，以特色养殖为主。</w:t>
      </w:r>
    </w:p>
    <w:p>
      <w:pPr>
        <w:pStyle w:val="4"/>
        <w:ind w:left="0" w:firstLine="640" w:firstLineChars="200"/>
      </w:pPr>
      <w:r>
        <w:rPr>
          <w:rFonts w:hint="eastAsia"/>
        </w:rPr>
        <w:t>公共服务设施配建标准</w:t>
      </w:r>
    </w:p>
    <w:p>
      <w:pPr>
        <w:spacing w:before="65" w:after="120"/>
        <w:ind w:firstLine="640"/>
      </w:pPr>
      <w:r>
        <w:rPr>
          <w:rFonts w:hint="eastAsia"/>
        </w:rPr>
        <w:t>规划依据《社区生活圈规划技术指南（TD/T1062-2021）》，结合乡村振兴要求，落实“乡村社区生活圈”理念，兼顾行政管理需求，注重养老育幼设施配置。</w:t>
      </w:r>
    </w:p>
    <w:p>
      <w:pPr>
        <w:pStyle w:val="105"/>
        <w:ind w:firstLine="640"/>
      </w:pPr>
      <w:r>
        <w:rPr>
          <w:rFonts w:hint="eastAsia"/>
        </w:rPr>
        <w:t>注：◇为根据需要配置，◆为必须配置，-为不需配置。旅游特色镇配套旅游服务设施。</w:t>
      </w:r>
    </w:p>
    <w:bookmarkEnd w:id="112"/>
    <w:p>
      <w:pPr>
        <w:spacing w:before="65"/>
        <w:ind w:firstLine="640"/>
      </w:pPr>
    </w:p>
    <w:p>
      <w:pPr>
        <w:spacing w:before="65"/>
        <w:ind w:firstLine="640"/>
      </w:pPr>
    </w:p>
    <w:p>
      <w:pPr>
        <w:spacing w:before="65"/>
        <w:ind w:firstLine="640"/>
      </w:pPr>
      <w:r>
        <w:br w:type="page"/>
      </w:r>
    </w:p>
    <w:p>
      <w:pPr>
        <w:spacing w:before="65"/>
        <w:ind w:firstLine="640"/>
      </w:pPr>
    </w:p>
    <w:p>
      <w:pPr>
        <w:pStyle w:val="2"/>
        <w:spacing w:before="489" w:beforeLines="150" w:after="489" w:afterLines="150"/>
      </w:pPr>
      <w:bookmarkStart w:id="113" w:name="_Toc221004623"/>
      <w:bookmarkStart w:id="114" w:name="_Toc211258496"/>
      <w:bookmarkStart w:id="115" w:name="_Toc185606067"/>
      <w:r>
        <w:rPr>
          <w:rFonts w:hint="eastAsia"/>
        </w:rPr>
        <w:t>支撑体系规划</w:t>
      </w:r>
      <w:bookmarkEnd w:id="113"/>
      <w:bookmarkEnd w:id="114"/>
      <w:bookmarkEnd w:id="115"/>
    </w:p>
    <w:p>
      <w:pPr>
        <w:pStyle w:val="3"/>
      </w:pPr>
      <w:bookmarkStart w:id="116" w:name="_Toc185606068"/>
      <w:bookmarkStart w:id="117" w:name="_Hlk142657734"/>
      <w:bookmarkStart w:id="118" w:name="_Toc129799047"/>
      <w:r>
        <w:rPr>
          <w:rFonts w:hint="eastAsia"/>
        </w:rPr>
        <w:t>道路交通规划</w:t>
      </w:r>
      <w:bookmarkEnd w:id="116"/>
    </w:p>
    <w:p>
      <w:pPr>
        <w:pStyle w:val="4"/>
      </w:pPr>
      <w:bookmarkStart w:id="119" w:name="_Hlk150185677"/>
      <w:r>
        <w:rPr>
          <w:rFonts w:hint="eastAsia"/>
        </w:rPr>
        <w:t>发展目标与策略</w:t>
      </w:r>
    </w:p>
    <w:p>
      <w:pPr>
        <w:spacing w:before="65"/>
        <w:ind w:firstLine="640"/>
      </w:pPr>
      <w:r>
        <w:rPr>
          <w:rFonts w:hint="eastAsia"/>
        </w:rPr>
        <w:t>发展目标：落实干线公路建设，加强县、乡公路与区域性道路的有机衔接；强化马山口镇在全县道路交通体系中的作用、支撑内乡县交通枢纽地位。</w:t>
      </w:r>
    </w:p>
    <w:p>
      <w:pPr>
        <w:spacing w:before="65"/>
        <w:ind w:firstLine="640"/>
        <w:rPr>
          <w:b/>
          <w:bCs/>
        </w:rPr>
      </w:pPr>
      <w:r>
        <w:rPr>
          <w:rFonts w:hint="eastAsia"/>
        </w:rPr>
        <w:t>发展策略：</w:t>
      </w:r>
      <w:r>
        <w:t>构建骨架运输网络，推进</w:t>
      </w:r>
      <w:r>
        <w:rPr>
          <w:rFonts w:hint="eastAsia"/>
        </w:rPr>
        <w:t>全</w:t>
      </w:r>
      <w:r>
        <w:t>域交通一体化发展</w:t>
      </w:r>
      <w:r>
        <w:rPr>
          <w:rFonts w:hint="eastAsia"/>
        </w:rPr>
        <w:t>，加强镇区、中心村、特色村与区域交通干线的衔接，构建“结构清晰、节点突出、互联互通、便捷高效”的交通网络。</w:t>
      </w:r>
    </w:p>
    <w:p>
      <w:pPr>
        <w:pStyle w:val="4"/>
      </w:pPr>
      <w:r>
        <w:rPr>
          <w:rFonts w:hint="eastAsia"/>
        </w:rPr>
        <w:t>区域交通基础设施</w:t>
      </w:r>
    </w:p>
    <w:p>
      <w:pPr>
        <w:spacing w:before="65"/>
        <w:ind w:firstLine="640"/>
      </w:pPr>
      <w:r>
        <w:rPr>
          <w:rFonts w:hint="eastAsia"/>
        </w:rPr>
        <w:t>规划近期对镇域内道路（</w:t>
      </w:r>
      <w:r>
        <w:t>S240、S329、X001）进行升级改造和新建乡道，形成北部山区联通道路；同步实施内城畅通工程、外城骨干路网工程，实现内城交通优化，外城交通拓展</w:t>
      </w:r>
      <w:r>
        <w:rPr>
          <w:rFonts w:hint="eastAsia"/>
        </w:rPr>
        <w:t>。</w:t>
      </w:r>
    </w:p>
    <w:p>
      <w:pPr>
        <w:pStyle w:val="4"/>
      </w:pPr>
      <w:r>
        <w:rPr>
          <w:rFonts w:hint="eastAsia"/>
        </w:rPr>
        <w:t>乡镇道路网布局规划</w:t>
      </w:r>
    </w:p>
    <w:p>
      <w:pPr>
        <w:spacing w:before="65"/>
        <w:ind w:firstLine="640"/>
      </w:pPr>
      <w:r>
        <w:rPr>
          <w:rFonts w:hint="eastAsia"/>
        </w:rPr>
        <w:t>规划形成“一横三纵”省县道体系，其中“一横”为</w:t>
      </w:r>
      <w:r>
        <w:t>S329，“三纵”为S240、X002、Y002。完善加密村庄路网布局，建设“四好农村路”，提升城乡交通一体化水平</w:t>
      </w:r>
      <w:r>
        <w:rPr>
          <w:rFonts w:hint="eastAsia"/>
        </w:rPr>
        <w:t>。</w:t>
      </w:r>
    </w:p>
    <w:p>
      <w:pPr>
        <w:pStyle w:val="4"/>
      </w:pPr>
      <w:r>
        <w:rPr>
          <w:rFonts w:hint="eastAsia"/>
        </w:rPr>
        <w:t>城乡公交站场</w:t>
      </w:r>
    </w:p>
    <w:bookmarkEnd w:id="119"/>
    <w:p>
      <w:pPr>
        <w:spacing w:before="65"/>
        <w:ind w:firstLine="640"/>
      </w:pPr>
      <w:r>
        <w:rPr>
          <w:rFonts w:hint="eastAsia"/>
        </w:rPr>
        <w:t>保留镇区现状汽车客运站。完善城乡公共交通体系建设，到</w:t>
      </w:r>
      <w:r>
        <w:t>2035年实现村村通公交车，在镇区和大型新型农村社区设置城乡公交首末站</w:t>
      </w:r>
      <w:r>
        <w:rPr>
          <w:rFonts w:hint="eastAsia"/>
        </w:rPr>
        <w:t>。</w:t>
      </w:r>
    </w:p>
    <w:p>
      <w:pPr>
        <w:pStyle w:val="3"/>
      </w:pPr>
      <w:bookmarkStart w:id="120" w:name="_Toc185606069"/>
      <w:r>
        <w:rPr>
          <w:rFonts w:hint="eastAsia"/>
        </w:rPr>
        <w:t>市政公用设施规划</w:t>
      </w:r>
      <w:bookmarkEnd w:id="120"/>
    </w:p>
    <w:p>
      <w:pPr>
        <w:pStyle w:val="4"/>
      </w:pPr>
      <w:r>
        <w:rPr>
          <w:rFonts w:hint="eastAsia"/>
        </w:rPr>
        <w:t>给水工程规划</w:t>
      </w:r>
    </w:p>
    <w:p>
      <w:pPr>
        <w:spacing w:before="65"/>
        <w:ind w:firstLine="640"/>
      </w:pPr>
      <w:bookmarkStart w:id="121" w:name="_Hlk147758533"/>
      <w:r>
        <w:rPr>
          <w:rFonts w:hint="eastAsia"/>
        </w:rPr>
        <w:t>预测镇域最高日总用水量为</w:t>
      </w:r>
      <w:r>
        <w:t>0.71</w:t>
      </w:r>
      <w:r>
        <w:rPr>
          <w:rFonts w:hint="eastAsia"/>
        </w:rPr>
        <w:t>万立方米/日。</w:t>
      </w:r>
    </w:p>
    <w:bookmarkEnd w:id="121"/>
    <w:p>
      <w:pPr>
        <w:spacing w:before="65"/>
        <w:ind w:firstLine="640"/>
      </w:pPr>
      <w:r>
        <w:rPr>
          <w:rFonts w:hint="eastAsia"/>
        </w:rPr>
        <w:t>规划扩建马山口水厂，规模为</w:t>
      </w:r>
      <w:r>
        <w:t>6000立方米/日，水源为地下水，备用水源为打磨岗水库水；规划保留茨园水厂，规模为850立方米/日；规划保留寺山庙村、河口村、杜洛庄村、石庙村、朱庙村、白庙村、三岔河村、关帝坪村、李井村、王场村、唐河村、杏树坪村、河西村和郑湾村供水站；规划马山口水厂与茨园水厂、河口村供水站等供水站进行跨村供水，实现全镇多水源统一供水</w:t>
      </w:r>
      <w:r>
        <w:rPr>
          <w:rFonts w:hint="eastAsia"/>
        </w:rPr>
        <w:t>。</w:t>
      </w:r>
    </w:p>
    <w:p>
      <w:pPr>
        <w:pStyle w:val="4"/>
      </w:pPr>
      <w:r>
        <w:rPr>
          <w:rFonts w:hint="eastAsia"/>
        </w:rPr>
        <w:t>排水工程规划</w:t>
      </w:r>
    </w:p>
    <w:p>
      <w:pPr>
        <w:spacing w:before="65"/>
        <w:ind w:firstLine="640"/>
      </w:pPr>
      <w:r>
        <w:rPr>
          <w:rFonts w:hint="eastAsia"/>
        </w:rPr>
        <w:t>规划镇区采用雨污分流制排水系统，村庄一般采用合流制，有条件时采用分流制。</w:t>
      </w:r>
    </w:p>
    <w:p>
      <w:pPr>
        <w:spacing w:before="65"/>
        <w:ind w:firstLine="640"/>
      </w:pPr>
      <w:r>
        <w:rPr>
          <w:rFonts w:hint="eastAsia"/>
        </w:rPr>
        <w:t>预测镇域最高日总污水量为</w:t>
      </w:r>
      <w:r>
        <w:rPr>
          <w:rFonts w:ascii="Times New Roman" w:hAnsi="Times New Roman"/>
        </w:rPr>
        <w:t>0.49</w:t>
      </w:r>
      <w:r>
        <w:rPr>
          <w:rFonts w:hint="eastAsia"/>
        </w:rPr>
        <w:t>万立方米/日。</w:t>
      </w:r>
    </w:p>
    <w:p>
      <w:pPr>
        <w:spacing w:before="65"/>
        <w:ind w:firstLine="640"/>
      </w:pPr>
      <w:r>
        <w:rPr>
          <w:rFonts w:hint="eastAsia"/>
        </w:rPr>
        <w:t>规划马山口镇镇区污水由污水管网收集排入马山口镇污水处理厂，污水厂规模为</w:t>
      </w:r>
      <w:r>
        <w:t>0.5万立方米/日；污水处理厂出水水质要求达到《城镇污水处理厂污染物排放标准》（GB 18918-2002）中规定的一级A标准，处理达标后排入默河。闫岗村、岳岗村、寺山庙村等集中连片的村庄单独建设小型污水处理设施集中处理生活污水；杏树坪村、马坪村等村民居住分散的村庄利用小型污水处理罐进行分户处理</w:t>
      </w:r>
      <w:r>
        <w:rPr>
          <w:rFonts w:hint="eastAsia"/>
        </w:rPr>
        <w:t>。</w:t>
      </w:r>
    </w:p>
    <w:p>
      <w:pPr>
        <w:spacing w:before="65"/>
        <w:ind w:firstLine="640"/>
      </w:pPr>
      <w:r>
        <w:rPr>
          <w:rFonts w:hint="eastAsia"/>
        </w:rPr>
        <w:t>雨水排放系统坚持就近、分散排放的原则。雨水管渠应充分利用自然河流水系、充分尊重原有生态基底，巧妙利用地形地貌实现雨水自然排放，必要时设置排涝泵站。</w:t>
      </w:r>
    </w:p>
    <w:p>
      <w:pPr>
        <w:pStyle w:val="4"/>
      </w:pPr>
      <w:r>
        <w:rPr>
          <w:rFonts w:hint="eastAsia"/>
        </w:rPr>
        <w:t>电力工程规划</w:t>
      </w:r>
    </w:p>
    <w:p>
      <w:pPr>
        <w:spacing w:before="65"/>
        <w:ind w:firstLine="640"/>
      </w:pPr>
      <w:r>
        <w:rPr>
          <w:rFonts w:hint="eastAsia"/>
        </w:rPr>
        <w:t>预测镇域年总用电负荷为</w:t>
      </w:r>
      <w:r>
        <w:t>4020</w:t>
      </w:r>
      <w:r>
        <w:rPr>
          <w:rFonts w:hint="eastAsia"/>
        </w:rPr>
        <w:t>万千瓦时。</w:t>
      </w:r>
      <w:bookmarkStart w:id="122" w:name="_Hlk140846865"/>
    </w:p>
    <w:p>
      <w:pPr>
        <w:spacing w:before="65"/>
        <w:ind w:firstLine="640"/>
      </w:pPr>
      <w:r>
        <w:rPr>
          <w:rFonts w:hint="eastAsia"/>
        </w:rPr>
        <w:t>规划保留现状</w:t>
      </w:r>
      <w:r>
        <w:t>110千伏默河变，供电容量为2×50兆伏安；规划停运现状35千伏郑湾变</w:t>
      </w:r>
      <w:r>
        <w:rPr>
          <w:rFonts w:hint="eastAsia"/>
        </w:rPr>
        <w:t>。</w:t>
      </w:r>
      <w:bookmarkEnd w:id="122"/>
    </w:p>
    <w:p>
      <w:pPr>
        <w:spacing w:before="65"/>
        <w:ind w:firstLine="640"/>
      </w:pPr>
      <w:r>
        <w:rPr>
          <w:rFonts w:hint="eastAsia"/>
        </w:rPr>
        <w:t>依据《城市电力规划规范》（GB/T 50293-2014），220千伏高压线设置40-45米宽的高压走廊；110千伏高压线设置25-30米宽的高压走廊；35千伏高压线设置20-25米宽的高压走廊；高压走廊控制区内严禁各种开发建设活动。</w:t>
      </w:r>
    </w:p>
    <w:p>
      <w:pPr>
        <w:pStyle w:val="4"/>
      </w:pPr>
      <w:r>
        <w:rPr>
          <w:rFonts w:hint="eastAsia"/>
        </w:rPr>
        <w:t>通信工程规划</w:t>
      </w:r>
    </w:p>
    <w:p>
      <w:pPr>
        <w:spacing w:before="65"/>
        <w:ind w:firstLine="640"/>
      </w:pPr>
      <w:r>
        <w:rPr>
          <w:rFonts w:hint="eastAsia"/>
        </w:rPr>
        <w:t>预测镇域固定电话总量为</w:t>
      </w:r>
      <w:r>
        <w:rPr>
          <w:rFonts w:ascii="Times New Roman" w:hAnsi="Times New Roman"/>
        </w:rPr>
        <w:t>1.34</w:t>
      </w:r>
      <w:r>
        <w:rPr>
          <w:rFonts w:hint="eastAsia"/>
        </w:rPr>
        <w:t>万线。</w:t>
      </w:r>
    </w:p>
    <w:p>
      <w:pPr>
        <w:spacing w:before="65"/>
        <w:ind w:firstLine="640"/>
      </w:pPr>
      <w:r>
        <w:rPr>
          <w:rFonts w:hint="eastAsia"/>
        </w:rPr>
        <w:t>积极采用高科技、新技术、新设备，建设完善大容量、高速率、广覆盖的集电信网、数据网及有线广播电视网三网合一的综合通信系统，并且数据传输光缆及电信管道统一规划、建设，适应城镇发展要求。</w:t>
      </w:r>
    </w:p>
    <w:p>
      <w:pPr>
        <w:spacing w:before="65"/>
        <w:ind w:firstLine="640"/>
      </w:pPr>
      <w:r>
        <w:rPr>
          <w:rFonts w:hint="eastAsia"/>
        </w:rPr>
        <w:t>升级完善和合理布局广电设施，提升广电网络功能，推广电视、广播的数字化、高清化和网络化，筹建大功率广播电视发射中心，继续推进“村村通”工程，到2035年实现全镇广播电视人口综合覆盖率100%。</w:t>
      </w:r>
    </w:p>
    <w:p>
      <w:pPr>
        <w:pStyle w:val="4"/>
      </w:pPr>
      <w:r>
        <w:rPr>
          <w:rFonts w:hint="eastAsia"/>
        </w:rPr>
        <w:t>燃气工程规划</w:t>
      </w:r>
    </w:p>
    <w:p>
      <w:pPr>
        <w:spacing w:before="65"/>
        <w:ind w:firstLine="640"/>
      </w:pPr>
      <w:r>
        <w:rPr>
          <w:rFonts w:hint="eastAsia"/>
        </w:rPr>
        <w:t>预测镇域天然气总量为</w:t>
      </w:r>
      <w:r>
        <w:rPr>
          <w:rFonts w:ascii="Times New Roman" w:hAnsi="Times New Roman"/>
        </w:rPr>
        <w:t>191</w:t>
      </w:r>
      <w:r>
        <w:rPr>
          <w:rFonts w:hint="eastAsia"/>
        </w:rPr>
        <w:t>万立方米/年。</w:t>
      </w:r>
    </w:p>
    <w:p>
      <w:pPr>
        <w:spacing w:before="65"/>
        <w:ind w:firstLine="640"/>
      </w:pPr>
      <w:r>
        <w:rPr>
          <w:rFonts w:hint="eastAsia"/>
        </w:rPr>
        <w:t>规划气源接自西气东输三线。规划镇区敷设中压燃气管网，有条件的村庄引入天然气管道。</w:t>
      </w:r>
    </w:p>
    <w:p>
      <w:pPr>
        <w:pStyle w:val="4"/>
      </w:pPr>
      <w:r>
        <w:rPr>
          <w:rFonts w:hint="eastAsia"/>
        </w:rPr>
        <w:t>热力工程规划</w:t>
      </w:r>
    </w:p>
    <w:p>
      <w:pPr>
        <w:spacing w:before="65"/>
        <w:ind w:firstLine="640"/>
      </w:pPr>
      <w:r>
        <w:rPr>
          <w:rFonts w:hint="eastAsia"/>
        </w:rPr>
        <w:t>规划镇区采用分区域集中供热模式，热源为空气源热泵；有条件的村庄可选用天然气等清洁能源分片区集中供热。</w:t>
      </w:r>
    </w:p>
    <w:p>
      <w:pPr>
        <w:pStyle w:val="4"/>
      </w:pPr>
      <w:r>
        <w:rPr>
          <w:rFonts w:hint="eastAsia"/>
        </w:rPr>
        <w:t>环卫工程规划</w:t>
      </w:r>
    </w:p>
    <w:p>
      <w:pPr>
        <w:spacing w:before="65"/>
        <w:ind w:firstLine="640"/>
      </w:pPr>
      <w:r>
        <w:rPr>
          <w:rFonts w:hint="eastAsia"/>
        </w:rPr>
        <w:t>因此至</w:t>
      </w:r>
      <w:r>
        <w:t>2035年，规划预测全镇产生生活垃圾最高日产量为33.5吨/天</w:t>
      </w:r>
      <w:r>
        <w:rPr>
          <w:rFonts w:hint="eastAsia"/>
        </w:rPr>
        <w:t>。</w:t>
      </w:r>
    </w:p>
    <w:p>
      <w:pPr>
        <w:spacing w:before="65"/>
        <w:ind w:firstLine="640"/>
      </w:pPr>
      <w:r>
        <w:rPr>
          <w:rFonts w:hint="eastAsia"/>
        </w:rPr>
        <w:t>建立由垃圾收集点——生活垃圾转运站构成的垃圾收集转运系统。在镇区规划生活垃圾转运站，全镇生活垃圾通过垃圾收集点收集，经过垃圾转运站最终送至垃圾处理设施进行统一处理。</w:t>
      </w:r>
    </w:p>
    <w:p>
      <w:pPr>
        <w:pStyle w:val="3"/>
      </w:pPr>
      <w:bookmarkStart w:id="123" w:name="_Toc185606070"/>
      <w:r>
        <w:rPr>
          <w:rFonts w:hint="eastAsia"/>
        </w:rPr>
        <w:t>公共服务设施规划</w:t>
      </w:r>
      <w:bookmarkEnd w:id="123"/>
    </w:p>
    <w:p>
      <w:pPr>
        <w:pStyle w:val="4"/>
      </w:pPr>
      <w:bookmarkStart w:id="124" w:name="_Hlk200522761"/>
      <w:bookmarkStart w:id="125" w:name="_Toc185606071"/>
      <w:r>
        <w:t>教育设施</w:t>
      </w:r>
    </w:p>
    <w:p>
      <w:pPr>
        <w:spacing w:before="65"/>
        <w:ind w:firstLine="640"/>
      </w:pPr>
      <w:r>
        <w:rPr>
          <w:rFonts w:hint="eastAsia"/>
        </w:rPr>
        <w:t>保留镇区</w:t>
      </w:r>
      <w:r>
        <w:t>2所初中、5所小学、8所幼儿园；规划农村小学逐步集中到镇区，幼儿园按照1所/3000-6000人布局，尽量结合中心村设置</w:t>
      </w:r>
      <w:r>
        <w:rPr>
          <w:rFonts w:hint="eastAsia"/>
        </w:rPr>
        <w:t>；根据生源和政策动态调整各行政村教学点。</w:t>
      </w:r>
    </w:p>
    <w:p>
      <w:pPr>
        <w:pStyle w:val="4"/>
      </w:pPr>
      <w:r>
        <w:t>文化体育设施</w:t>
      </w:r>
    </w:p>
    <w:p>
      <w:pPr>
        <w:spacing w:before="65"/>
        <w:ind w:firstLine="640"/>
        <w:rPr>
          <w:rFonts w:ascii="仿宋_GB2312" w:hAnsi="仿宋_GB2312" w:cs="仿宋_GB2312"/>
        </w:rPr>
      </w:pPr>
      <w:r>
        <w:rPr>
          <w:rFonts w:hint="eastAsia"/>
        </w:rPr>
        <w:t>镇区规划文体中心</w:t>
      </w:r>
      <w:r>
        <w:t>1处。规划各村庄设置文化活动室和农家书屋各1处，宜集合党群服务中心设置。规划各村庄设置健身广场各1处，宜结合文化活动室，村庄广场设置</w:t>
      </w:r>
      <w:r>
        <w:rPr>
          <w:rFonts w:hint="eastAsia"/>
        </w:rPr>
        <w:t>。鼓励石庙村等有民俗文化特色的村庄设置</w:t>
      </w:r>
      <w:r>
        <w:rPr>
          <w:rFonts w:hint="eastAsia" w:ascii="仿宋_GB2312" w:hAnsi="仿宋_GB2312" w:cs="仿宋_GB2312"/>
        </w:rPr>
        <w:t>特色民俗活动点，有条件的村庄</w:t>
      </w:r>
      <w:r>
        <w:rPr>
          <w:rFonts w:hint="eastAsia"/>
        </w:rPr>
        <w:t>可设置</w:t>
      </w:r>
      <w:r>
        <w:rPr>
          <w:rFonts w:hint="eastAsia" w:ascii="仿宋_GB2312" w:hAnsi="仿宋_GB2312" w:cs="仿宋_GB2312"/>
        </w:rPr>
        <w:t>红白喜事厅。</w:t>
      </w:r>
    </w:p>
    <w:p>
      <w:pPr>
        <w:pStyle w:val="4"/>
      </w:pPr>
      <w:r>
        <w:t>医疗卫生设施</w:t>
      </w:r>
    </w:p>
    <w:p>
      <w:pPr>
        <w:spacing w:before="65"/>
        <w:ind w:firstLine="640"/>
      </w:pPr>
      <w:r>
        <w:rPr>
          <w:rFonts w:hint="eastAsia"/>
        </w:rPr>
        <w:t>提升乡镇基层医疗卫生设施服务水平，落实乡镇卫生院中医馆设置</w:t>
      </w:r>
      <w:r>
        <w:rPr>
          <w:rFonts w:hint="eastAsia" w:ascii="仿宋_GB2312" w:hAnsi="仿宋_GB2312" w:cs="仿宋_GB2312"/>
        </w:rPr>
        <w:t>，乡镇卫生院、村卫生室建设和服务能力全部达</w:t>
      </w:r>
      <w:r>
        <w:rPr>
          <w:rFonts w:hint="eastAsia"/>
        </w:rPr>
        <w:t>标等建设任务。完善乡镇基层医疗卫生设施配置。镇区保留</w:t>
      </w:r>
      <w:r>
        <w:t>2处现状卫生院，每处床位数控制在50-200床</w:t>
      </w:r>
      <w:r>
        <w:rPr>
          <w:rFonts w:hint="eastAsia"/>
        </w:rPr>
        <w:t>。规划按照一村一室进行配置村级卫生室，每个村卫生室建设用地约</w:t>
      </w:r>
      <w:r>
        <w:t>1亩。对现有村庄卫</w:t>
      </w:r>
      <w:r>
        <w:rPr>
          <w:rFonts w:hint="eastAsia"/>
        </w:rPr>
        <w:t>生室进行提升，强化基层医疗作用，做到小病不出村。</w:t>
      </w:r>
    </w:p>
    <w:p>
      <w:pPr>
        <w:pStyle w:val="4"/>
      </w:pPr>
      <w:r>
        <w:t>社会福利设施</w:t>
      </w:r>
    </w:p>
    <w:p>
      <w:pPr>
        <w:spacing w:before="65"/>
        <w:ind w:firstLine="640"/>
      </w:pPr>
      <w:r>
        <w:rPr>
          <w:rFonts w:hint="eastAsia"/>
        </w:rPr>
        <w:t>镇区保留现状</w:t>
      </w:r>
      <w:r>
        <w:t>3所敬老院、2所康乐院，床位数控制在200床以内</w:t>
      </w:r>
      <w:r>
        <w:rPr>
          <w:rFonts w:hint="eastAsia"/>
        </w:rPr>
        <w:t>，石庙村、樊岗村、王场村各规划一处养老院，提供老年人日托服务，包括餐饮、文娱、健身、医疗保健等。</w:t>
      </w:r>
      <w:bookmarkStart w:id="126" w:name="_Hlk200545963"/>
      <w:r>
        <w:rPr>
          <w:rFonts w:hint="eastAsia"/>
        </w:rPr>
        <w:t>其他村庄与村委会结合设置1</w:t>
      </w:r>
      <w:r>
        <w:t>2处</w:t>
      </w:r>
      <w:r>
        <w:rPr>
          <w:rFonts w:hint="eastAsia"/>
        </w:rPr>
        <w:t>居家养老服务站，提供居家养老相关服务</w:t>
      </w:r>
      <w:bookmarkEnd w:id="126"/>
      <w:r>
        <w:rPr>
          <w:rFonts w:hint="eastAsia"/>
        </w:rPr>
        <w:t>。</w:t>
      </w:r>
    </w:p>
    <w:p>
      <w:pPr>
        <w:pStyle w:val="4"/>
      </w:pPr>
      <w:r>
        <w:t>商业服务设施</w:t>
      </w:r>
    </w:p>
    <w:p>
      <w:pPr>
        <w:spacing w:before="65"/>
        <w:ind w:firstLine="640"/>
      </w:pPr>
      <w:r>
        <w:rPr>
          <w:rFonts w:hint="eastAsia"/>
        </w:rPr>
        <w:t>延续镇区沿街底商的商业布局，将各类商业布局优化，将特色农产品、文旅产品等分类型进行分区布局，便于游客购物，保留镇区现状部分质量较好、商品丰富的商业服务设施。规划石庙村、樊岗村、王场村建设小型农贸市场及小型百货超市，服务于周边村庄。</w:t>
      </w:r>
    </w:p>
    <w:p>
      <w:pPr>
        <w:pStyle w:val="4"/>
      </w:pPr>
      <w:r>
        <w:t>殡葬设施</w:t>
      </w:r>
    </w:p>
    <w:p>
      <w:pPr>
        <w:spacing w:before="65"/>
        <w:ind w:firstLine="640"/>
      </w:pPr>
      <w:r>
        <w:rPr>
          <w:rFonts w:hint="eastAsia"/>
        </w:rPr>
        <w:t>规划在庵北村建设</w:t>
      </w:r>
      <w:r>
        <w:t>1处占地不少于50亩的公益性公墓。</w:t>
      </w:r>
    </w:p>
    <w:bookmarkEnd w:id="124"/>
    <w:p>
      <w:pPr>
        <w:pStyle w:val="3"/>
      </w:pPr>
      <w:r>
        <w:rPr>
          <w:rFonts w:hint="eastAsia"/>
        </w:rPr>
        <w:t>防灾减灾规划</w:t>
      </w:r>
      <w:bookmarkEnd w:id="125"/>
    </w:p>
    <w:p>
      <w:pPr>
        <w:pStyle w:val="4"/>
      </w:pPr>
      <w:bookmarkStart w:id="127" w:name="_Hlk151384900"/>
      <w:r>
        <w:rPr>
          <w:rFonts w:hint="eastAsia"/>
        </w:rPr>
        <w:t>主要灾害防灾标准</w:t>
      </w:r>
    </w:p>
    <w:bookmarkEnd w:id="127"/>
    <w:p>
      <w:pPr>
        <w:ind w:firstLine="640"/>
      </w:pPr>
      <w:r>
        <w:rPr>
          <w:rFonts w:hint="eastAsia"/>
        </w:rPr>
        <w:t>1</w:t>
      </w:r>
      <w:r>
        <w:t>.</w:t>
      </w:r>
      <w:r>
        <w:rPr>
          <w:rFonts w:hint="eastAsia"/>
        </w:rPr>
        <w:t>防洪标准</w:t>
      </w:r>
    </w:p>
    <w:p>
      <w:pPr>
        <w:ind w:firstLine="640"/>
        <w:rPr>
          <w:u w:val="single"/>
        </w:rPr>
      </w:pPr>
      <w:bookmarkStart w:id="128" w:name="_Hlk151385439"/>
      <w:r>
        <w:rPr>
          <w:rFonts w:hint="eastAsia"/>
          <w:u w:val="single"/>
        </w:rPr>
        <w:t>马山口镇镇区防洪标准为</w:t>
      </w:r>
      <w:r>
        <w:rPr>
          <w:u w:val="single"/>
        </w:rPr>
        <w:t>20年一遇，乡村防洪标准为10年一遇。</w:t>
      </w:r>
    </w:p>
    <w:bookmarkEnd w:id="128"/>
    <w:p>
      <w:pPr>
        <w:ind w:firstLine="640"/>
      </w:pPr>
      <w:r>
        <w:rPr>
          <w:rFonts w:hint="eastAsia"/>
        </w:rPr>
        <w:t>2</w:t>
      </w:r>
      <w:r>
        <w:t>.</w:t>
      </w:r>
      <w:r>
        <w:rPr>
          <w:rFonts w:hint="eastAsia"/>
        </w:rPr>
        <w:t>排涝标准</w:t>
      </w:r>
    </w:p>
    <w:p>
      <w:pPr>
        <w:ind w:firstLine="640"/>
      </w:pPr>
      <w:r>
        <w:rPr>
          <w:rFonts w:hint="eastAsia"/>
          <w:u w:val="single"/>
        </w:rPr>
        <w:t>规划马山口镇镇区内涝防治设计重现期为</w:t>
      </w:r>
      <w:r>
        <w:rPr>
          <w:u w:val="single"/>
        </w:rPr>
        <w:t>20年一遇</w:t>
      </w:r>
      <w:r>
        <w:t>，</w:t>
      </w:r>
      <w:r>
        <w:rPr>
          <w:rFonts w:hint="eastAsia"/>
        </w:rPr>
        <w:t>对超过内涝防治设计重现期的降雨，按照应急预案要求采取应急措施。</w:t>
      </w:r>
    </w:p>
    <w:p>
      <w:pPr>
        <w:ind w:firstLine="640"/>
      </w:pPr>
      <w:r>
        <w:rPr>
          <w:rFonts w:hint="eastAsia"/>
        </w:rPr>
        <w:t>3</w:t>
      </w:r>
      <w:r>
        <w:t>.</w:t>
      </w:r>
      <w:r>
        <w:rPr>
          <w:rFonts w:hint="eastAsia"/>
        </w:rPr>
        <w:t>抗震规划</w:t>
      </w:r>
    </w:p>
    <w:p>
      <w:pPr>
        <w:ind w:firstLine="640"/>
      </w:pPr>
      <w:r>
        <w:rPr>
          <w:rFonts w:hint="eastAsia"/>
          <w:u w:val="single"/>
        </w:rPr>
        <w:t>马山口镇镇区地震烈度为</w:t>
      </w:r>
      <w:r>
        <w:rPr>
          <w:u w:val="single"/>
        </w:rPr>
        <w:t>7度，新建、扩建、改建建设工程应按7度进行抗震设防，重要建筑和生命线工程应按8度标准加强抗震措施。</w:t>
      </w:r>
      <w:r>
        <w:t>重大建设工程、可能产生严重次生灾害的建设工程应当进行地震安全性评价，并根据安全性评价报告确定抗震设防措施。学校、医院等人员密集场所应当按照高于7度标准加强抗震措施。</w:t>
      </w:r>
    </w:p>
    <w:p>
      <w:pPr>
        <w:pStyle w:val="4"/>
      </w:pPr>
      <w:r>
        <w:rPr>
          <w:rFonts w:hint="eastAsia"/>
        </w:rPr>
        <w:t>构建防灾安全空间格局</w:t>
      </w:r>
    </w:p>
    <w:p>
      <w:pPr>
        <w:spacing w:before="65"/>
        <w:ind w:firstLine="640"/>
      </w:pPr>
      <w:r>
        <w:rPr>
          <w:rFonts w:hint="eastAsia"/>
        </w:rPr>
        <w:t>结合全镇主要交通干线，网上镇域救灾感到体系，与全县共同构建县-</w:t>
      </w:r>
      <w:r>
        <w:t>镇（乡）-村</w:t>
      </w:r>
      <w:r>
        <w:rPr>
          <w:rFonts w:hint="eastAsia"/>
        </w:rPr>
        <w:t>三</w:t>
      </w:r>
      <w:r>
        <w:t>级防灾设施体系。</w:t>
      </w:r>
      <w:r>
        <w:rPr>
          <w:rFonts w:hint="eastAsia"/>
        </w:rPr>
        <w:t>镇域境内，国道G</w:t>
      </w:r>
      <w:r>
        <w:t>312</w:t>
      </w:r>
      <w:r>
        <w:rPr>
          <w:rFonts w:hint="eastAsia"/>
        </w:rPr>
        <w:t>、省道</w:t>
      </w:r>
      <w:r>
        <w:t>S243、S239</w:t>
      </w:r>
      <w:r>
        <w:rPr>
          <w:rFonts w:hint="eastAsia"/>
        </w:rPr>
        <w:t>为全县的快速救援通道，疏散主要道路为县道</w:t>
      </w:r>
      <w:r>
        <w:t>X011</w:t>
      </w:r>
      <w:r>
        <w:rPr>
          <w:rFonts w:hint="eastAsia"/>
        </w:rPr>
        <w:t>、</w:t>
      </w:r>
      <w:r>
        <w:t>X042</w:t>
      </w:r>
      <w:r>
        <w:rPr>
          <w:rFonts w:hint="eastAsia"/>
        </w:rPr>
        <w:t>、疏散次干道为乡道Y</w:t>
      </w:r>
      <w:r>
        <w:t>006</w:t>
      </w:r>
      <w:r>
        <w:rPr>
          <w:rFonts w:hint="eastAsia"/>
        </w:rPr>
        <w:t>、Y</w:t>
      </w:r>
      <w:r>
        <w:t>038</w:t>
      </w:r>
      <w:r>
        <w:rPr>
          <w:rFonts w:hint="eastAsia"/>
        </w:rPr>
        <w:t>、</w:t>
      </w:r>
      <w:r>
        <w:t>Y014</w:t>
      </w:r>
      <w:r>
        <w:rPr>
          <w:rFonts w:hint="eastAsia"/>
        </w:rPr>
        <w:t>、</w:t>
      </w:r>
      <w:r>
        <w:t>Y019</w:t>
      </w:r>
      <w:r>
        <w:rPr>
          <w:rFonts w:hint="eastAsia"/>
        </w:rPr>
        <w:t>、</w:t>
      </w:r>
      <w:r>
        <w:t>Y007</w:t>
      </w:r>
      <w:r>
        <w:rPr>
          <w:rFonts w:hint="eastAsia"/>
        </w:rPr>
        <w:t>、</w:t>
      </w:r>
      <w:r>
        <w:t>Y013</w:t>
      </w:r>
      <w:r>
        <w:rPr>
          <w:rFonts w:hint="eastAsia"/>
        </w:rPr>
        <w:t>等组成，规划强化救灾干道防灾性能，</w:t>
      </w:r>
      <w:r>
        <w:t>加强疏散通道沿线地区地质灾害和山洪灾害的工程治理。</w:t>
      </w:r>
    </w:p>
    <w:p>
      <w:pPr>
        <w:pStyle w:val="4"/>
      </w:pPr>
      <w:r>
        <w:rPr>
          <w:rFonts w:hint="eastAsia"/>
        </w:rPr>
        <w:t>重大防灾设施配置</w:t>
      </w:r>
    </w:p>
    <w:p>
      <w:pPr>
        <w:ind w:firstLine="640"/>
      </w:pPr>
      <w:r>
        <w:rPr>
          <w:rFonts w:hint="eastAsia"/>
        </w:rPr>
        <w:t>1</w:t>
      </w:r>
      <w:r>
        <w:t>.应急指挥设施体系</w:t>
      </w:r>
    </w:p>
    <w:p>
      <w:pPr>
        <w:ind w:firstLine="640"/>
      </w:pPr>
      <w:r>
        <w:rPr>
          <w:rFonts w:hint="eastAsia"/>
        </w:rPr>
        <w:t>设置</w:t>
      </w:r>
      <w:r>
        <w:t>镇（乡）-村</w:t>
      </w:r>
      <w:r>
        <w:rPr>
          <w:rFonts w:hint="eastAsia"/>
        </w:rPr>
        <w:t>两</w:t>
      </w:r>
      <w:r>
        <w:t>级防灾应急指挥系统，</w:t>
      </w:r>
      <w:r>
        <w:rPr>
          <w:rFonts w:hint="eastAsia"/>
        </w:rPr>
        <w:t>镇区</w:t>
      </w:r>
      <w:r>
        <w:t>设置应急指挥中心1处，位于</w:t>
      </w:r>
      <w:r>
        <w:rPr>
          <w:rFonts w:hint="eastAsia"/>
        </w:rPr>
        <w:t>马山口镇</w:t>
      </w:r>
      <w:r>
        <w:t>人民政府，村综合防灾应急指挥中心</w:t>
      </w:r>
      <w:r>
        <w:rPr>
          <w:rFonts w:hint="eastAsia"/>
        </w:rPr>
        <w:t>设在各村</w:t>
      </w:r>
      <w:r>
        <w:t>村委会。</w:t>
      </w:r>
    </w:p>
    <w:p>
      <w:pPr>
        <w:ind w:firstLine="640"/>
      </w:pPr>
      <w:r>
        <w:rPr>
          <w:rFonts w:hint="eastAsia"/>
        </w:rPr>
        <w:t>2</w:t>
      </w:r>
      <w:r>
        <w:t>.应急救灾物资储备设施</w:t>
      </w:r>
    </w:p>
    <w:p>
      <w:pPr>
        <w:ind w:firstLine="640"/>
      </w:pPr>
      <w:r>
        <w:rPr>
          <w:rFonts w:hint="eastAsia"/>
        </w:rPr>
        <w:t>镇区设置救灾物资储备库，并配置装卸设备、技防设备、物资保管维护设备、交通工具（应急调度车、救灾物资转运车）与通讯调度设备等。</w:t>
      </w:r>
    </w:p>
    <w:p>
      <w:pPr>
        <w:ind w:firstLine="640"/>
      </w:pPr>
      <w:r>
        <w:rPr>
          <w:rFonts w:hint="eastAsia"/>
        </w:rPr>
        <w:t>3</w:t>
      </w:r>
      <w:r>
        <w:t>.提升应急医疗服务能力</w:t>
      </w:r>
    </w:p>
    <w:p>
      <w:pPr>
        <w:ind w:firstLine="640"/>
      </w:pPr>
      <w:r>
        <w:rPr>
          <w:rFonts w:hint="eastAsia"/>
        </w:rPr>
        <w:t>镇区依托卫生院设置乡镇级应急医疗设施，各村分别规划设置</w:t>
      </w:r>
      <w:r>
        <w:t>1处</w:t>
      </w:r>
      <w:r>
        <w:rPr>
          <w:rFonts w:hint="eastAsia"/>
        </w:rPr>
        <w:t>村</w:t>
      </w:r>
      <w:r>
        <w:t>级应急医疗设施。</w:t>
      </w:r>
    </w:p>
    <w:p>
      <w:pPr>
        <w:ind w:firstLine="640"/>
      </w:pPr>
      <w:r>
        <w:rPr>
          <w:rFonts w:hint="eastAsia"/>
        </w:rPr>
        <w:t>4</w:t>
      </w:r>
      <w:r>
        <w:t>.消防设施</w:t>
      </w:r>
    </w:p>
    <w:p>
      <w:pPr>
        <w:ind w:firstLine="640"/>
      </w:pPr>
      <w:r>
        <w:rPr>
          <w:rFonts w:hint="eastAsia"/>
        </w:rPr>
        <w:t>镇区规划</w:t>
      </w:r>
      <w:r>
        <w:t>设置1处</w:t>
      </w:r>
      <w:bookmarkStart w:id="129" w:name="OLE_LINK2"/>
      <w:bookmarkStart w:id="130" w:name="OLE_LINK1"/>
      <w:r>
        <w:rPr>
          <w:rFonts w:hint="eastAsia"/>
        </w:rPr>
        <w:t>一级乡镇专职消防队</w:t>
      </w:r>
      <w:bookmarkEnd w:id="129"/>
      <w:bookmarkEnd w:id="130"/>
      <w:r>
        <w:t>。</w:t>
      </w:r>
    </w:p>
    <w:p>
      <w:pPr>
        <w:pStyle w:val="4"/>
      </w:pPr>
      <w:r>
        <w:rPr>
          <w:rFonts w:hint="eastAsia"/>
        </w:rPr>
        <w:t>防治措施</w:t>
      </w:r>
    </w:p>
    <w:p>
      <w:pPr>
        <w:ind w:firstLine="640"/>
      </w:pPr>
      <w:r>
        <w:rPr>
          <w:rFonts w:hint="eastAsia"/>
        </w:rPr>
        <w:t>1</w:t>
      </w:r>
      <w:r>
        <w:t>.</w:t>
      </w:r>
      <w:r>
        <w:rPr>
          <w:rFonts w:hint="eastAsia"/>
        </w:rPr>
        <w:t>防洪排涝规划措施</w:t>
      </w:r>
    </w:p>
    <w:p>
      <w:pPr>
        <w:ind w:firstLine="640"/>
      </w:pPr>
      <w:r>
        <w:t>防洪措施</w:t>
      </w:r>
      <w:r>
        <w:rPr>
          <w:rFonts w:hint="eastAsia"/>
        </w:rPr>
        <w:t>：疏浚行洪河道，提高河道堤防标准，加强河道绿化防护带建设；沿山体设置截洪沟，截洪沟及冲沟应按规划有计划、有步骤地进行治理；建立洪水预警预报系统，防洪决策支持系统，制定超标洪水应急措施。</w:t>
      </w:r>
    </w:p>
    <w:p>
      <w:pPr>
        <w:ind w:firstLine="640"/>
      </w:pPr>
      <w:r>
        <w:t>防涝措施</w:t>
      </w:r>
      <w:r>
        <w:rPr>
          <w:rFonts w:hint="eastAsia"/>
        </w:rPr>
        <w:t>：完善镇区雨水管网及排涝设施建设，采取改造原排水河道、改造旧排水管网、增建新管网、实施雨污分流以及污水集中处理和回用等措施；利用公园绿地、低洼地区及周边农田建设调蓄空间。</w:t>
      </w:r>
    </w:p>
    <w:p>
      <w:pPr>
        <w:ind w:firstLine="640"/>
      </w:pPr>
      <w:r>
        <w:rPr>
          <w:rFonts w:hint="eastAsia"/>
        </w:rPr>
        <w:t>2</w:t>
      </w:r>
      <w:r>
        <w:t>.抗震灾害防治</w:t>
      </w:r>
    </w:p>
    <w:p>
      <w:pPr>
        <w:ind w:firstLine="640"/>
      </w:pPr>
      <w:r>
        <w:rPr>
          <w:rFonts w:hint="eastAsia"/>
        </w:rPr>
        <w:t>（1）</w:t>
      </w:r>
      <w:r>
        <w:t>避震疏散场地</w:t>
      </w:r>
    </w:p>
    <w:p>
      <w:pPr>
        <w:ind w:firstLine="640"/>
      </w:pPr>
      <w:r>
        <w:rPr>
          <w:rFonts w:hint="eastAsia"/>
        </w:rPr>
        <w:t>利用公园、绿地、广场、体育场、停车场、学校操场等开敞空间设置人员避震疏散场地，固定避难场所人均有效避难面积不小于</w:t>
      </w:r>
      <w:r>
        <w:t>2.0平方米。</w:t>
      </w:r>
    </w:p>
    <w:p>
      <w:pPr>
        <w:ind w:firstLine="640"/>
      </w:pPr>
      <w:r>
        <w:rPr>
          <w:rFonts w:hint="eastAsia"/>
        </w:rPr>
        <w:t>（2）</w:t>
      </w:r>
      <w:r>
        <w:t>疏散救援通道</w:t>
      </w:r>
    </w:p>
    <w:p>
      <w:pPr>
        <w:ind w:firstLine="640"/>
      </w:pPr>
      <w:r>
        <w:rPr>
          <w:rFonts w:hint="eastAsia"/>
        </w:rPr>
        <w:t>以高速公路、国道、省道、县道作为一级疏散通道，保证震后有效宽度不小于</w:t>
      </w:r>
      <w:r>
        <w:t>15米；规划主干路作为二级疏散通道，保证震后有效宽度不小于7米；规划次干路作为三级疏散通道，保证震后有效宽度不小于4米。应严格控制抗震救灾疏散通道两侧的建筑高度及建筑后退红线距离。</w:t>
      </w:r>
    </w:p>
    <w:p>
      <w:pPr>
        <w:ind w:firstLine="640"/>
      </w:pPr>
      <w:r>
        <w:rPr>
          <w:rFonts w:hint="eastAsia"/>
        </w:rPr>
        <w:t>（3）</w:t>
      </w:r>
      <w:r>
        <w:t>抗震生命线系统</w:t>
      </w:r>
    </w:p>
    <w:p>
      <w:pPr>
        <w:ind w:firstLine="640"/>
      </w:pPr>
      <w:r>
        <w:rPr>
          <w:rFonts w:hint="eastAsia"/>
        </w:rPr>
        <w:t>城市生命线系统规划提高一度按</w:t>
      </w:r>
      <w:r>
        <w:t>8度标准设防，并采取设施地下化、对节点进行防灾处理及提高备用率等防灾措施，同时各生命线系统都要建立应急抢险队伍，提高生命线系统工程的防灾能力。</w:t>
      </w:r>
    </w:p>
    <w:p>
      <w:pPr>
        <w:ind w:firstLine="640"/>
      </w:pPr>
      <w:r>
        <w:rPr>
          <w:rFonts w:hint="eastAsia"/>
        </w:rPr>
        <w:t>3</w:t>
      </w:r>
      <w:r>
        <w:t>.地质灾害防治规划</w:t>
      </w:r>
    </w:p>
    <w:p>
      <w:pPr>
        <w:ind w:firstLine="640"/>
      </w:pPr>
      <w:r>
        <w:rPr>
          <w:rFonts w:hint="eastAsia"/>
        </w:rPr>
        <w:t>（1）</w:t>
      </w:r>
      <w:r>
        <w:t>监测预警</w:t>
      </w:r>
    </w:p>
    <w:p>
      <w:pPr>
        <w:ind w:firstLine="640"/>
      </w:pPr>
      <w:r>
        <w:rPr>
          <w:rFonts w:hint="eastAsia"/>
        </w:rPr>
        <w:t>建设地质灾害监测预警体系，建立地质灾害群测群防预警网络及重点地区地质灾害隐患点的专业监测预报网络，建设全镇地质灾害空间数据库及信息系统。</w:t>
      </w:r>
    </w:p>
    <w:p>
      <w:pPr>
        <w:ind w:firstLine="640"/>
      </w:pPr>
      <w:r>
        <w:rPr>
          <w:rFonts w:hint="eastAsia"/>
        </w:rPr>
        <w:t>（2）</w:t>
      </w:r>
      <w:r>
        <w:t>工程治理</w:t>
      </w:r>
    </w:p>
    <w:p>
      <w:pPr>
        <w:ind w:firstLine="640"/>
      </w:pPr>
      <w:r>
        <w:rPr>
          <w:rFonts w:hint="eastAsia"/>
        </w:rPr>
        <w:t>对危害公共安全、可能造成人员群死群伤和较大财产损失的、避让搬迁选址困难但易于工程治理的地质灾害隐患点，依据轻重缓急，有计划地分期、分批实施地质灾害治理工程。对于山洪易发地区，加强水土流失治理，极大限度减少泥石流灾害的发生。</w:t>
      </w:r>
    </w:p>
    <w:p>
      <w:pPr>
        <w:ind w:firstLine="640"/>
      </w:pPr>
      <w:r>
        <w:rPr>
          <w:rFonts w:hint="eastAsia"/>
        </w:rPr>
        <w:t>（3）</w:t>
      </w:r>
      <w:r>
        <w:t>避让搬迁</w:t>
      </w:r>
    </w:p>
    <w:p>
      <w:pPr>
        <w:ind w:firstLine="640"/>
      </w:pPr>
      <w:r>
        <w:rPr>
          <w:rFonts w:hint="eastAsia"/>
        </w:rPr>
        <w:t>对突发地质灾害高风险区内的居民，主动采取搬迁措施，避让地质灾害。</w:t>
      </w:r>
    </w:p>
    <w:p>
      <w:pPr>
        <w:ind w:firstLine="640"/>
      </w:pPr>
      <w:r>
        <w:rPr>
          <w:rFonts w:hint="eastAsia"/>
        </w:rPr>
        <w:t>（4）</w:t>
      </w:r>
      <w:r>
        <w:t>宣传培训</w:t>
      </w:r>
    </w:p>
    <w:p>
      <w:pPr>
        <w:ind w:firstLine="640"/>
      </w:pPr>
      <w:r>
        <w:rPr>
          <w:rFonts w:hint="eastAsia"/>
        </w:rPr>
        <w:t>对各村组级开展群测群防知识培训；每年对全镇地质灾害管理及技术人员进行年度地质灾害防治知识培训。</w:t>
      </w:r>
    </w:p>
    <w:p>
      <w:pPr>
        <w:ind w:firstLine="640"/>
      </w:pPr>
      <w:r>
        <w:rPr>
          <w:rFonts w:hint="eastAsia"/>
        </w:rPr>
        <w:t>4</w:t>
      </w:r>
      <w:r>
        <w:t>.突发公共卫生事件防御规划</w:t>
      </w:r>
    </w:p>
    <w:p>
      <w:pPr>
        <w:ind w:firstLine="640"/>
      </w:pPr>
      <w:r>
        <w:rPr>
          <w:rFonts w:hint="eastAsia"/>
        </w:rPr>
        <w:t>结合内乡县医疗卫生机构，构建突发公共卫生事件日常监测体系，以处理各类突发公共卫生事件信息分析。与内乡县共同构建县</w:t>
      </w:r>
      <w:r>
        <w:t>-镇-村三级公共卫生事件疫情预警与指挥体系，依托药店、车站、学校、社区、机关企事业单位等设施作为公共卫生事件的监测哨点，全面提升疫情监测预警能力。</w:t>
      </w:r>
    </w:p>
    <w:p>
      <w:pPr>
        <w:ind w:firstLine="640"/>
      </w:pPr>
      <w:r>
        <w:rPr>
          <w:rFonts w:hint="eastAsia"/>
        </w:rPr>
        <w:t>5</w:t>
      </w:r>
      <w:r>
        <w:t>.气象灾害防御规划</w:t>
      </w:r>
    </w:p>
    <w:p>
      <w:pPr>
        <w:ind w:firstLine="640"/>
      </w:pPr>
      <w:r>
        <w:t>加强气象灾害预警应急体系建设。加快现场气象应急保障系统建设，提高应急处置的能力和效率。</w:t>
      </w:r>
    </w:p>
    <w:p>
      <w:pPr>
        <w:ind w:firstLine="640"/>
      </w:pPr>
      <w:r>
        <w:rPr>
          <w:rFonts w:hint="eastAsia"/>
        </w:rPr>
        <w:t>6</w:t>
      </w:r>
      <w:r>
        <w:t>.消防规划</w:t>
      </w:r>
    </w:p>
    <w:p>
      <w:pPr>
        <w:ind w:firstLine="640"/>
      </w:pPr>
      <w:r>
        <w:rPr>
          <w:rFonts w:hint="eastAsia"/>
        </w:rPr>
        <w:t>提高消防站建筑物的抗灾能力；在重点保护目标内部或者附近设置消防水池或者取水平台；增强消防供水泵站、消防供水管道、消火栓等消防设施的抗震性能；设置应急疏散道路时应充分考虑消防救灾同行的需求。</w:t>
      </w:r>
    </w:p>
    <w:p>
      <w:pPr>
        <w:ind w:firstLine="640"/>
      </w:pPr>
      <w:r>
        <w:rPr>
          <w:rFonts w:hint="eastAsia"/>
        </w:rPr>
        <w:t>7</w:t>
      </w:r>
      <w:r>
        <w:t>.危险品安全布局与防治规划</w:t>
      </w:r>
    </w:p>
    <w:p>
      <w:pPr>
        <w:ind w:firstLine="640"/>
      </w:pPr>
      <w:r>
        <w:rPr>
          <w:rFonts w:hint="eastAsia"/>
        </w:rPr>
        <w:t>（1）</w:t>
      </w:r>
      <w:r>
        <w:t>重大危险源选址要求</w:t>
      </w:r>
    </w:p>
    <w:p>
      <w:pPr>
        <w:ind w:firstLine="640"/>
      </w:pPr>
      <w:r>
        <w:t>1）充分考虑地质因素以及气象危害，采取可靠技术方案，避开地质复杂地</w:t>
      </w:r>
      <w:r>
        <w:rPr>
          <w:rFonts w:hint="eastAsia"/>
        </w:rPr>
        <w:t>区</w:t>
      </w:r>
      <w:r>
        <w:t>。</w:t>
      </w:r>
    </w:p>
    <w:p>
      <w:pPr>
        <w:ind w:firstLine="640"/>
      </w:pPr>
      <w:r>
        <w:t>2）危险源所在地应不受洪水、湖水和内涝的威胁。</w:t>
      </w:r>
    </w:p>
    <w:p>
      <w:pPr>
        <w:ind w:firstLine="640"/>
      </w:pPr>
      <w:r>
        <w:t>3）一般应位于城市全年最小频率风向的上风方向。</w:t>
      </w:r>
    </w:p>
    <w:p>
      <w:pPr>
        <w:ind w:firstLine="640"/>
      </w:pPr>
      <w:r>
        <w:t>4）重大危险源与周边社区距离应符合有关法律、法规和标准的规定。</w:t>
      </w:r>
    </w:p>
    <w:p>
      <w:pPr>
        <w:ind w:firstLine="640"/>
      </w:pPr>
      <w:r>
        <w:t>5）重大危险源企业内部的平面布局应符合《工业企业总平面设计规划规范》(GB50187-2012)等国家标准规范的有关布局内容的要求。</w:t>
      </w:r>
    </w:p>
    <w:p>
      <w:pPr>
        <w:ind w:firstLine="640"/>
      </w:pPr>
      <w:r>
        <w:t>6）应充分考虑重大危险源的应急通信系统、应急电源、消防设施、监控系统、救援装备、物资器材等安全设施配套。</w:t>
      </w:r>
    </w:p>
    <w:p>
      <w:pPr>
        <w:ind w:firstLine="640"/>
      </w:pPr>
      <w:r>
        <w:rPr>
          <w:rFonts w:hint="eastAsia"/>
        </w:rPr>
        <w:t>（2）</w:t>
      </w:r>
      <w:r>
        <w:t>风险防范措施</w:t>
      </w:r>
    </w:p>
    <w:p>
      <w:pPr>
        <w:ind w:firstLine="640"/>
      </w:pPr>
      <w:r>
        <w:t>1）各企业特别是重污染三类工业选址建设时应远离居民区，其间设置一定的隔离带，减缓对居民的影响，企业严格落实环评及安评制度，环境风险值高的企业应加强要求或不予批准入区建设；储罐区集中并远离高温和明火装置区。拟建罐区300米范围内不得建设居民点，该类企业的办公生活区也应符合安全防护距离的要求。</w:t>
      </w:r>
    </w:p>
    <w:p>
      <w:pPr>
        <w:ind w:firstLine="640"/>
      </w:pPr>
      <w:r>
        <w:t>2）危险化学品储罐区应加装危险物质检测及报警装置，四周加强绿化。在总平面布置时，对生产区和储存区进行优化组合，减少风险事故发生的节点；应避免相关危险源出现在同一空间或相邻空间，避免“链条效应”和“群发效应”。</w:t>
      </w:r>
    </w:p>
    <w:p>
      <w:pPr>
        <w:ind w:firstLine="640"/>
      </w:pPr>
      <w:r>
        <w:t>3）在保持规划产业定位的情况下，建议发展下游消耗危险物质的产业，拉长产业链的同时减少有毒有害、易燃易爆物质在集聚区内的储存量，降低集聚区的环境风险。</w:t>
      </w:r>
    </w:p>
    <w:p>
      <w:pPr>
        <w:ind w:firstLine="640"/>
      </w:pPr>
      <w:r>
        <w:t>4）加强对易燃易爆和有毒有害危险化学品的生产、储存、经营、运输、使用和废弃处置的安全监管，完善的监控设施，提高设施的安全水平；对剧毒化学品的储存量应以维持正常运转为限，不能超量储存；</w:t>
      </w:r>
    </w:p>
    <w:p>
      <w:pPr>
        <w:ind w:firstLine="640"/>
      </w:pPr>
      <w:r>
        <w:t>5）企业建立完备的风险管理部门，实行专人负责制，制定必须的风险应急预案并定期演练；还应建立一套事故应急监测系统，为事故处理决策提供科学依据，落实灾害救援组织和物质保障，形成</w:t>
      </w:r>
      <w:r>
        <w:rPr>
          <w:rFonts w:hint="eastAsia"/>
        </w:rPr>
        <w:t>镇</w:t>
      </w:r>
      <w:r>
        <w:t>政府和企业的联合灾害救援体系。</w:t>
      </w:r>
    </w:p>
    <w:p>
      <w:pPr>
        <w:ind w:firstLine="640"/>
      </w:pPr>
      <w:r>
        <w:t>6）强化安全教育和健康教育。</w:t>
      </w:r>
    </w:p>
    <w:p>
      <w:pPr>
        <w:pStyle w:val="2"/>
        <w:pageBreakBefore/>
        <w:spacing w:before="489" w:beforeLines="150" w:after="489" w:afterLines="150"/>
      </w:pPr>
      <w:bookmarkStart w:id="131" w:name="_Toc221004624"/>
      <w:bookmarkStart w:id="132" w:name="_Toc211258497"/>
      <w:bookmarkStart w:id="133" w:name="_Toc185606072"/>
      <w:bookmarkStart w:id="134" w:name="_Hlk142923403"/>
      <w:r>
        <w:t>历史文化与景观风貌规划</w:t>
      </w:r>
      <w:bookmarkEnd w:id="131"/>
      <w:bookmarkEnd w:id="132"/>
      <w:bookmarkEnd w:id="133"/>
    </w:p>
    <w:bookmarkEnd w:id="134"/>
    <w:p>
      <w:pPr>
        <w:pStyle w:val="3"/>
        <w:spacing w:before="326" w:beforeLines="100" w:after="326" w:afterLines="100"/>
      </w:pPr>
      <w:bookmarkStart w:id="135" w:name="_Toc185606073"/>
      <w:bookmarkStart w:id="136" w:name="_Hlk142923409"/>
      <w:r>
        <w:rPr>
          <w:rFonts w:hint="eastAsia"/>
        </w:rPr>
        <w:t>历史文化保护传承</w:t>
      </w:r>
      <w:bookmarkEnd w:id="135"/>
    </w:p>
    <w:bookmarkEnd w:id="136"/>
    <w:p>
      <w:pPr>
        <w:pStyle w:val="4"/>
      </w:pPr>
      <w:bookmarkStart w:id="137" w:name="_Hlk142923435"/>
      <w:r>
        <w:rPr>
          <w:rFonts w:hint="eastAsia"/>
        </w:rPr>
        <w:t>镇域历史文化遗存</w:t>
      </w:r>
    </w:p>
    <w:bookmarkEnd w:id="137"/>
    <w:p>
      <w:pPr>
        <w:spacing w:before="65"/>
        <w:ind w:firstLine="640"/>
      </w:pPr>
      <w:r>
        <w:rPr>
          <w:rFonts w:hint="eastAsia"/>
          <w:u w:val="single"/>
        </w:rPr>
        <w:t>马山口镇历史文化资源包括不可移动文物和非物质文化遗产；镇域内现存不可移动文物</w:t>
      </w:r>
      <w:r>
        <w:rPr>
          <w:u w:val="single"/>
        </w:rPr>
        <w:t>34处，其中3处省级文物保护单位、6处县级文物保护单位、25处未定级文物；非物质文化遗产包括市级非物质文化遗产马山童谣、竹马舞、马山铁锅制作工艺，县级非物质文化遗产马山豆腐等。历史文化资源详见附表6</w:t>
      </w:r>
      <w:r>
        <w:rPr>
          <w:rFonts w:hint="eastAsia"/>
        </w:rPr>
        <w:t>。</w:t>
      </w:r>
    </w:p>
    <w:p>
      <w:pPr>
        <w:pStyle w:val="4"/>
      </w:pPr>
      <w:bookmarkStart w:id="138" w:name="_Hlk142923456"/>
      <w:r>
        <w:rPr>
          <w:rFonts w:hint="eastAsia"/>
        </w:rPr>
        <w:t>镇域历史文化保护规划</w:t>
      </w:r>
    </w:p>
    <w:bookmarkEnd w:id="138"/>
    <w:p>
      <w:pPr>
        <w:spacing w:before="65"/>
        <w:ind w:firstLine="640"/>
        <w:rPr>
          <w:rFonts w:hAnsi="Times New Roman"/>
          <w:u w:val="single"/>
          <w:lang w:bidi="ar"/>
        </w:rPr>
      </w:pPr>
      <w:r>
        <w:rPr>
          <w:rFonts w:hint="eastAsia" w:hAnsi="Times New Roman"/>
          <w:u w:val="single"/>
          <w:lang w:bidi="ar"/>
        </w:rPr>
        <w:t>文物保护单位的保护范围和建设控制地带应以县级以上人民政府公布的具体界线为基本依据。</w:t>
      </w:r>
    </w:p>
    <w:p>
      <w:pPr>
        <w:spacing w:before="65"/>
        <w:ind w:firstLine="640"/>
        <w:rPr>
          <w:rFonts w:hAnsi="Times New Roman"/>
          <w:u w:val="single"/>
          <w:lang w:bidi="ar"/>
        </w:rPr>
      </w:pPr>
      <w:r>
        <w:rPr>
          <w:rFonts w:hint="eastAsia" w:hAnsi="Times New Roman"/>
          <w:u w:val="single"/>
          <w:lang w:bidi="ar"/>
        </w:rPr>
        <w:t>在文物保护单位的保护范围和建设控制地带内，不得建设污染文物保护单位及其环境的设施，不得进行可能影响文物保护单位安全及其环境的活动。对已有的污染文物保护单位及其环境的设施，应当限期治理。</w:t>
      </w:r>
    </w:p>
    <w:p>
      <w:pPr>
        <w:spacing w:before="65"/>
        <w:ind w:firstLine="640"/>
      </w:pPr>
      <w:r>
        <w:rPr>
          <w:rFonts w:hint="eastAsia" w:hAnsi="Times New Roman"/>
          <w:u w:val="single"/>
          <w:lang w:bidi="ar"/>
        </w:rPr>
        <w:t>各级文物保护单位应严格按照《中华人民共和国文物保护法》的有关规定，以及文物主管部门公布的保护范围和建设控制地带严格保护</w:t>
      </w:r>
      <w:r>
        <w:rPr>
          <w:rFonts w:hint="eastAsia"/>
        </w:rPr>
        <w:t>。</w:t>
      </w:r>
    </w:p>
    <w:p>
      <w:pPr>
        <w:pStyle w:val="4"/>
      </w:pPr>
      <w:bookmarkStart w:id="139" w:name="_Hlk142923462"/>
      <w:r>
        <w:rPr>
          <w:rFonts w:hint="eastAsia"/>
        </w:rPr>
        <w:t>历史文化传承与活化利用</w:t>
      </w:r>
    </w:p>
    <w:bookmarkEnd w:id="139"/>
    <w:p>
      <w:pPr>
        <w:spacing w:before="65"/>
        <w:ind w:firstLine="640"/>
      </w:pPr>
      <w:r>
        <w:rPr>
          <w:rFonts w:hint="eastAsia"/>
        </w:rPr>
        <w:t>马山口镇为全县红色旅游开发的重点地区，积极开发文化旅游产品。引入沉浸互动体验游，打造以红色马山口为主的沉浸式体验休闲项目。实施文化产业激活乡村振兴，打造以茨园村、关帝坪村、石庙村、李井村等特色村庄和非物质文化遗产为主的体验休闲项目。以自然山水为本底，引入康体养生、探险体验、休闲娱乐等业态，打造高标准的生态休闲旅游区。</w:t>
      </w:r>
    </w:p>
    <w:p>
      <w:pPr>
        <w:spacing w:before="65"/>
        <w:ind w:firstLine="640"/>
      </w:pPr>
      <w:r>
        <w:rPr>
          <w:rFonts w:hint="eastAsia"/>
        </w:rPr>
        <w:t>深入挖掘特色村庄历史文化资源，依托云露山、豫西第六行政督察专员公署旧址、法云寺、朱岗仰韶文化遗址等旅游景点，打造红色文化游、康体养生游、特色乡村游等精品旅游线路。</w:t>
      </w:r>
    </w:p>
    <w:p>
      <w:pPr>
        <w:spacing w:before="65"/>
        <w:ind w:firstLine="640"/>
      </w:pPr>
      <w:r>
        <w:rPr>
          <w:rFonts w:hint="eastAsia"/>
        </w:rPr>
        <w:t>加大历史文化资源的挖掘保护弘扬力度，保护不可移动文物本体及其所处的环境，根据文化旅游的需要，加强不可移动文物景观环境的塑造，提升历史文化及景观资源的综合价值。缝合文化资源碎片空间，建构文化展示体系，塑造富有魅力的文化空间节点。</w:t>
      </w:r>
    </w:p>
    <w:p>
      <w:pPr>
        <w:pStyle w:val="3"/>
        <w:spacing w:before="326" w:beforeLines="100" w:after="326" w:afterLines="100"/>
      </w:pPr>
      <w:bookmarkStart w:id="140" w:name="_Toc185606074"/>
      <w:bookmarkStart w:id="141" w:name="_Hlk142923416"/>
      <w:r>
        <w:rPr>
          <w:rFonts w:hint="eastAsia"/>
        </w:rPr>
        <w:t>乡村景观风貌管控</w:t>
      </w:r>
      <w:bookmarkEnd w:id="140"/>
    </w:p>
    <w:bookmarkEnd w:id="141"/>
    <w:p>
      <w:pPr>
        <w:pStyle w:val="4"/>
      </w:pPr>
      <w:bookmarkStart w:id="142" w:name="_Hlk142923561"/>
      <w:r>
        <w:rPr>
          <w:rFonts w:hint="eastAsia"/>
        </w:rPr>
        <w:t>乡村风貌总体定位</w:t>
      </w:r>
    </w:p>
    <w:bookmarkEnd w:id="142"/>
    <w:p>
      <w:pPr>
        <w:spacing w:before="65" w:after="120"/>
        <w:ind w:firstLine="640"/>
      </w:pPr>
      <w:r>
        <w:rPr>
          <w:rFonts w:hint="eastAsia"/>
        </w:rPr>
        <w:t>依据马山口镇整体地形地势及发展现状，将马山口镇乡村风貌定位为：豫西南浅山丘陵田园小镇风貌。提升乡村地区的时代特征和乡村气息，注重村庄布局和山水景观、农田景观的协调，避免破坏乡村原有的形态格局，充分体现乡村风光。</w:t>
      </w:r>
    </w:p>
    <w:p>
      <w:pPr>
        <w:pStyle w:val="4"/>
      </w:pPr>
      <w:bookmarkStart w:id="143" w:name="_Hlk142923566"/>
      <w:r>
        <w:rPr>
          <w:rFonts w:hint="eastAsia"/>
        </w:rPr>
        <w:t>乡村风貌总体框架</w:t>
      </w:r>
    </w:p>
    <w:bookmarkEnd w:id="143"/>
    <w:p>
      <w:pPr>
        <w:spacing w:before="65"/>
        <w:ind w:firstLine="640"/>
      </w:pPr>
      <w:r>
        <w:rPr>
          <w:rFonts w:hint="eastAsia"/>
        </w:rPr>
        <w:t>依托马山口镇本底自然生态环境，结合文化景观资源，构建“两轴两带三核多多点一面山”的全域景观风貌系统。</w:t>
      </w:r>
    </w:p>
    <w:p>
      <w:pPr>
        <w:spacing w:before="65"/>
        <w:ind w:firstLine="640"/>
      </w:pPr>
      <w:r>
        <w:rPr>
          <w:rFonts w:hint="eastAsia"/>
        </w:rPr>
        <w:t>两轴：沿</w:t>
      </w:r>
      <w:r>
        <w:t>S243形成的南北向乡村景观风貌轴，沿S240、X002形成的南北向乡村景观风貌轴。</w:t>
      </w:r>
    </w:p>
    <w:p>
      <w:pPr>
        <w:spacing w:before="65"/>
        <w:ind w:firstLine="640"/>
      </w:pPr>
      <w:r>
        <w:rPr>
          <w:rFonts w:hint="eastAsia"/>
        </w:rPr>
        <w:t>两带：默河、花北河景观带。</w:t>
      </w:r>
    </w:p>
    <w:p>
      <w:pPr>
        <w:spacing w:before="65"/>
        <w:ind w:firstLine="640"/>
      </w:pPr>
      <w:r>
        <w:rPr>
          <w:rFonts w:hint="eastAsia"/>
        </w:rPr>
        <w:t>三核：景观核心，分别为马山口镇区、石庙村、打磨岗村。</w:t>
      </w:r>
    </w:p>
    <w:p>
      <w:pPr>
        <w:spacing w:before="65"/>
        <w:ind w:firstLine="640"/>
      </w:pPr>
      <w:r>
        <w:rPr>
          <w:rFonts w:hint="eastAsia"/>
        </w:rPr>
        <w:t>多点：打磨岗水库、庵山水库、云露湖水库等生态节点。</w:t>
      </w:r>
    </w:p>
    <w:p>
      <w:pPr>
        <w:spacing w:before="65"/>
        <w:ind w:firstLine="640"/>
      </w:pPr>
      <w:r>
        <w:rPr>
          <w:rFonts w:hint="eastAsia"/>
        </w:rPr>
        <w:t>一面山：沿伏牛山形成的山体景观风貌带</w:t>
      </w:r>
      <w:r>
        <w:t>。</w:t>
      </w:r>
    </w:p>
    <w:p>
      <w:pPr>
        <w:pStyle w:val="4"/>
      </w:pPr>
      <w:bookmarkStart w:id="144" w:name="_Hlk142923571"/>
      <w:r>
        <w:rPr>
          <w:rFonts w:hint="eastAsia"/>
        </w:rPr>
        <w:t>乡村风貌分区引导</w:t>
      </w:r>
    </w:p>
    <w:bookmarkEnd w:id="144"/>
    <w:p>
      <w:pPr>
        <w:spacing w:before="65"/>
        <w:ind w:firstLine="640"/>
      </w:pPr>
      <w:r>
        <w:rPr>
          <w:rFonts w:hint="eastAsia"/>
        </w:rPr>
        <w:t>依据地貌特征、社会经济发展状况，将马山口镇划分为伏牛山水风貌区、田园小镇风貌区、农田景观风貌区三大类。</w:t>
      </w:r>
    </w:p>
    <w:p>
      <w:pPr>
        <w:ind w:firstLine="640"/>
      </w:pPr>
      <w:r>
        <w:rPr>
          <w:rFonts w:hint="eastAsia"/>
        </w:rPr>
        <w:t>1</w:t>
      </w:r>
      <w:r>
        <w:t>.</w:t>
      </w:r>
      <w:r>
        <w:rPr>
          <w:rFonts w:hint="eastAsia"/>
        </w:rPr>
        <w:t>伏牛山</w:t>
      </w:r>
      <w:r>
        <w:t>水风貌区</w:t>
      </w:r>
    </w:p>
    <w:p>
      <w:pPr>
        <w:spacing w:before="65"/>
        <w:ind w:firstLine="640"/>
      </w:pPr>
      <w:r>
        <w:rPr>
          <w:rFonts w:hint="eastAsia"/>
        </w:rPr>
        <w:t>主要为伏牛山前村庄，该区域延续山水格局和乡村田园风貌，在空间尺度和建筑风貌等体现地方特色。鼓励种植体现本土特色的植物，凸显田园特色风貌，村庄建筑采用本土民居建筑风格，控制建筑高度，强化建筑色彩与建筑材质的管控，彰显特色乡韵。</w:t>
      </w:r>
    </w:p>
    <w:p>
      <w:pPr>
        <w:ind w:firstLine="640"/>
      </w:pPr>
      <w:r>
        <w:rPr>
          <w:rFonts w:hint="eastAsia"/>
        </w:rPr>
        <w:t>2</w:t>
      </w:r>
      <w:r>
        <w:t>.田园小镇风貌区</w:t>
      </w:r>
    </w:p>
    <w:p>
      <w:pPr>
        <w:spacing w:before="65"/>
        <w:ind w:firstLine="640"/>
      </w:pPr>
      <w:r>
        <w:rPr>
          <w:rFonts w:hint="eastAsia"/>
        </w:rPr>
        <w:t>主要为马山口镇镇区；加强镇区与内乡县城及周围镇区的联系，强化公共设施的便利性与公共空间的舒适性，居住建筑和公共设施在建筑风格上为现代风格，体现现代功能属性，展现宜居宜业的活力镇区风貌。</w:t>
      </w:r>
    </w:p>
    <w:p>
      <w:pPr>
        <w:ind w:firstLine="640"/>
      </w:pPr>
      <w:r>
        <w:rPr>
          <w:rFonts w:hint="eastAsia"/>
        </w:rPr>
        <w:t>2</w:t>
      </w:r>
      <w:r>
        <w:t>.农田景观风貌区</w:t>
      </w:r>
    </w:p>
    <w:p>
      <w:pPr>
        <w:spacing w:before="65"/>
        <w:ind w:firstLine="640"/>
      </w:pPr>
      <w:r>
        <w:rPr>
          <w:rFonts w:hint="eastAsia"/>
        </w:rPr>
        <w:t>主要为中部及南部丘陵地区村庄，包括岳沟村等；该区域主要体现田园风光，注重农田景观的连续性和大地景观的营造，凸显田乡风貌。。</w:t>
      </w:r>
    </w:p>
    <w:p>
      <w:pPr>
        <w:pStyle w:val="4"/>
      </w:pPr>
      <w:r>
        <w:rPr>
          <w:rFonts w:hint="eastAsia"/>
        </w:rPr>
        <w:t>乡村特色风貌引导</w:t>
      </w:r>
    </w:p>
    <w:p>
      <w:pPr>
        <w:ind w:firstLine="640"/>
      </w:pPr>
      <w:r>
        <w:rPr>
          <w:rFonts w:hint="eastAsia"/>
        </w:rPr>
        <w:t>1</w:t>
      </w:r>
      <w:r>
        <w:t>.田园小镇特色分貌区引导</w:t>
      </w:r>
    </w:p>
    <w:p>
      <w:pPr>
        <w:ind w:firstLine="640"/>
      </w:pPr>
      <w:r>
        <w:rPr>
          <w:rFonts w:hint="eastAsia"/>
        </w:rPr>
        <w:t>镇区重点加强内部与外部绿色开敞空间的渗透融合，控制建筑高度与体量，形成自然风光优美的特色城镇风貌。新建建筑应与现状风貌和谐统一，现代风格，建筑高度以</w:t>
      </w:r>
      <w:r>
        <w:t>2-3层为主，建筑色彩以白色、灰色为主，加以黄色、红色点缀；公共服务设施以功能为前提，可进行特色设计。</w:t>
      </w:r>
    </w:p>
    <w:p>
      <w:pPr>
        <w:ind w:firstLine="640"/>
      </w:pPr>
      <w:r>
        <w:rPr>
          <w:rFonts w:hint="eastAsia"/>
        </w:rPr>
        <w:t>2</w:t>
      </w:r>
      <w:r>
        <w:t>.</w:t>
      </w:r>
      <w:r>
        <w:rPr>
          <w:rFonts w:hint="eastAsia"/>
        </w:rPr>
        <w:t>伏牛山</w:t>
      </w:r>
      <w:r>
        <w:t>特色山水风貌区引导</w:t>
      </w:r>
    </w:p>
    <w:p>
      <w:pPr>
        <w:ind w:firstLine="640"/>
      </w:pPr>
      <w:r>
        <w:rPr>
          <w:rFonts w:hint="eastAsia"/>
        </w:rPr>
        <w:t>伏牛山前村庄应随山应势，在空间尺度与建筑风貌等方面体现地方特色，控制大规模生产生活设施建设，注重村庄形态与山体地形的协调，新建建筑应延续村落肌理，风貌与周边环境及现有村落协调统一。建筑色彩上采用“黑、白、灰”三种颜色搭配，达到朴素而简洁的外观效果，突出传统的雅致风韵，使建筑色调融入自然环境。</w:t>
      </w:r>
    </w:p>
    <w:p>
      <w:pPr>
        <w:ind w:firstLine="640"/>
      </w:pPr>
      <w:r>
        <w:br w:type="page"/>
      </w:r>
    </w:p>
    <w:bookmarkEnd w:id="117"/>
    <w:bookmarkEnd w:id="118"/>
    <w:p>
      <w:pPr>
        <w:pStyle w:val="2"/>
        <w:pageBreakBefore/>
        <w:spacing w:before="489" w:beforeLines="150" w:after="489" w:afterLines="150"/>
      </w:pPr>
      <w:bookmarkStart w:id="145" w:name="_Toc122362359"/>
      <w:bookmarkEnd w:id="145"/>
      <w:bookmarkStart w:id="146" w:name="_Toc23050"/>
      <w:bookmarkEnd w:id="146"/>
      <w:bookmarkStart w:id="147" w:name="_Toc122364769"/>
      <w:bookmarkEnd w:id="147"/>
      <w:bookmarkStart w:id="148" w:name="_Toc221004625"/>
      <w:bookmarkStart w:id="149" w:name="_Toc185606078"/>
      <w:bookmarkStart w:id="150" w:name="_Toc211258498"/>
      <w:r>
        <w:rPr>
          <w:rFonts w:hint="eastAsia"/>
        </w:rPr>
        <w:t>乡镇政府驻地规划</w:t>
      </w:r>
      <w:bookmarkEnd w:id="148"/>
      <w:bookmarkEnd w:id="149"/>
      <w:bookmarkEnd w:id="150"/>
    </w:p>
    <w:p>
      <w:pPr>
        <w:pStyle w:val="3"/>
        <w:spacing w:before="326" w:beforeLines="100" w:after="326" w:afterLines="100"/>
      </w:pPr>
      <w:bookmarkStart w:id="151" w:name="_Toc185606079"/>
      <w:r>
        <w:rPr>
          <w:rFonts w:hint="eastAsia"/>
        </w:rPr>
        <w:t>发展规模、发展方向</w:t>
      </w:r>
      <w:bookmarkEnd w:id="151"/>
    </w:p>
    <w:p>
      <w:pPr>
        <w:pStyle w:val="4"/>
      </w:pPr>
      <w:r>
        <w:rPr>
          <w:rFonts w:hint="eastAsia"/>
        </w:rPr>
        <w:t>发展规模</w:t>
      </w:r>
    </w:p>
    <w:p>
      <w:pPr>
        <w:pStyle w:val="5"/>
        <w:ind w:firstLine="640"/>
      </w:pPr>
      <w:bookmarkStart w:id="152" w:name="_Hlk206682324"/>
      <w:r>
        <w:rPr>
          <w:rFonts w:hint="eastAsia"/>
        </w:rPr>
        <w:t>人口规模</w:t>
      </w:r>
    </w:p>
    <w:p>
      <w:pPr>
        <w:spacing w:before="65"/>
        <w:ind w:firstLine="640"/>
      </w:pPr>
      <w:r>
        <w:rPr>
          <w:rFonts w:hint="eastAsia"/>
        </w:rPr>
        <w:t>规划镇区人口规模为</w:t>
      </w:r>
      <w:r>
        <w:t>2.12</w:t>
      </w:r>
      <w:r>
        <w:rPr>
          <w:rFonts w:hint="eastAsia"/>
        </w:rPr>
        <w:t>万人。</w:t>
      </w:r>
    </w:p>
    <w:p>
      <w:pPr>
        <w:pStyle w:val="5"/>
        <w:ind w:firstLine="640"/>
      </w:pPr>
      <w:r>
        <w:rPr>
          <w:rFonts w:hint="eastAsia"/>
        </w:rPr>
        <w:t>城镇建设用地规模</w:t>
      </w:r>
    </w:p>
    <w:bookmarkEnd w:id="152"/>
    <w:p>
      <w:pPr>
        <w:spacing w:before="65"/>
        <w:ind w:firstLine="640"/>
      </w:pPr>
      <w:r>
        <w:rPr>
          <w:rFonts w:hint="eastAsia"/>
        </w:rPr>
        <w:t>镇区连片的城镇开发边界规模为</w:t>
      </w:r>
      <w:r>
        <w:t>296.66公顷。</w:t>
      </w:r>
    </w:p>
    <w:p>
      <w:pPr>
        <w:pStyle w:val="3"/>
        <w:spacing w:before="326" w:beforeLines="100" w:after="326" w:afterLines="100"/>
      </w:pPr>
      <w:bookmarkStart w:id="153" w:name="_Toc185606080"/>
      <w:r>
        <w:rPr>
          <w:rFonts w:hint="eastAsia"/>
        </w:rPr>
        <w:t>用地布局</w:t>
      </w:r>
      <w:bookmarkEnd w:id="153"/>
    </w:p>
    <w:p>
      <w:pPr>
        <w:pStyle w:val="4"/>
      </w:pPr>
      <w:r>
        <w:rPr>
          <w:rFonts w:hint="eastAsia"/>
        </w:rPr>
        <w:t>规划</w:t>
      </w:r>
      <w:bookmarkStart w:id="154" w:name="_Hlk167089361"/>
      <w:r>
        <w:rPr>
          <w:rFonts w:hint="eastAsia"/>
        </w:rPr>
        <w:t>空间结构</w:t>
      </w:r>
      <w:bookmarkEnd w:id="154"/>
    </w:p>
    <w:p>
      <w:pPr>
        <w:spacing w:before="65"/>
        <w:ind w:firstLine="640"/>
      </w:pPr>
      <w:r>
        <w:rPr>
          <w:rFonts w:hint="eastAsia"/>
        </w:rPr>
        <w:t>根据马山口镇现状城镇布局特征和城镇发展方向，规划建设形成“一轴一带，一心五片区”的空间结构。</w:t>
      </w:r>
    </w:p>
    <w:p>
      <w:pPr>
        <w:spacing w:before="65"/>
        <w:ind w:firstLine="640"/>
      </w:pPr>
      <w:r>
        <w:rPr>
          <w:rFonts w:hint="eastAsia"/>
        </w:rPr>
        <w:t>一轴为沿郑马大道形成的城镇发展轴，一带为沿默河形成的生态景观带。</w:t>
      </w:r>
    </w:p>
    <w:p>
      <w:pPr>
        <w:spacing w:before="65"/>
        <w:ind w:firstLine="640"/>
      </w:pPr>
      <w:r>
        <w:rPr>
          <w:rFonts w:hint="eastAsia"/>
        </w:rPr>
        <w:t>一心为综合服务中心，引领马山口镇产业发展。综合服务中心以镇政府为核心，是全镇行政服务中心、文化服务中心、产业服务中心。</w:t>
      </w:r>
    </w:p>
    <w:p>
      <w:pPr>
        <w:spacing w:before="65"/>
        <w:ind w:firstLine="640"/>
      </w:pPr>
      <w:r>
        <w:rPr>
          <w:rFonts w:hint="eastAsia"/>
        </w:rPr>
        <w:t>五片区分别为红色文化旅游区、牧原产业发展区、中草药产业发展区、工业发展区和化工发展区，各类产业片区化发展。其中，红色文化旅游区位于镇政府周围及默河西侧马山坡，豫西第六行政督察专员公署旧址为基础发展红色文化旅游，在马山坡东侧打造少儿拓展基地、秦家寨民俗风情区；牧原产业发展区主要分布在河西片区，主要发展牧原相关产业；中草药产业发展区位于郑湾片区，以中草药种植和加工为主；工业发展区：位于北侧庵北片区，以发展建材和机械工业为主；化工发展区位于北侧山区，以神威民爆为主发展化工产业。</w:t>
      </w:r>
    </w:p>
    <w:p>
      <w:pPr>
        <w:pStyle w:val="4"/>
      </w:pPr>
      <w:r>
        <w:rPr>
          <w:rFonts w:hint="eastAsia"/>
        </w:rPr>
        <w:t>用地布局</w:t>
      </w:r>
    </w:p>
    <w:p>
      <w:pPr>
        <w:spacing w:before="65"/>
        <w:ind w:firstLine="640"/>
      </w:pPr>
      <w:r>
        <w:rPr>
          <w:rFonts w:hint="eastAsia"/>
        </w:rPr>
        <w:t>优化镇区用地结构，完善用地功能布局。推进镇区空间高质量发展，科学配置公共资源，统筹安排镇区建设、产业发展、基础设施和公共服务，优化完善镇区功能。</w:t>
      </w:r>
    </w:p>
    <w:p>
      <w:pPr>
        <w:spacing w:before="65"/>
        <w:ind w:firstLine="640"/>
      </w:pPr>
      <w:r>
        <w:rPr>
          <w:rFonts w:hint="eastAsia"/>
        </w:rPr>
        <w:t>合理配置居住用地。统筹居住用地供给和人口发展，适度增加城镇居住用地供给。规划镇区居住用地规模为163.20公顷，占规划用地的55.01%</w:t>
      </w:r>
      <w:r>
        <w:t>。</w:t>
      </w:r>
    </w:p>
    <w:p>
      <w:pPr>
        <w:spacing w:before="65"/>
        <w:ind w:firstLine="640"/>
      </w:pPr>
      <w:r>
        <w:rPr>
          <w:rFonts w:hint="eastAsia"/>
        </w:rPr>
        <w:t>统筹公共管理与服务设施用地。提升公共服务能力，促进公共资源相对集中布局，补充完善镇区公共服务设施。规划镇区公共服务设施用地规模为27.61公顷，占规划用地的9.31%</w:t>
      </w:r>
      <w:r>
        <w:t>。</w:t>
      </w:r>
    </w:p>
    <w:p>
      <w:pPr>
        <w:spacing w:before="65"/>
        <w:ind w:firstLine="640"/>
      </w:pPr>
      <w:r>
        <w:rPr>
          <w:rFonts w:hint="eastAsia"/>
        </w:rPr>
        <w:t>合理安排商业服务业用地。促进商业高品质发展，提升镇区活力。规划镇区商业服务业用地规模为3.92公顷，占规划用地的1.11%</w:t>
      </w:r>
      <w:r>
        <w:t>。</w:t>
      </w:r>
    </w:p>
    <w:p>
      <w:pPr>
        <w:spacing w:before="65"/>
        <w:ind w:firstLine="640"/>
      </w:pPr>
      <w:r>
        <w:rPr>
          <w:rFonts w:hint="eastAsia"/>
        </w:rPr>
        <w:t>规划镇区工业用地规模为57.32公顷，占规划用地的19.32%</w:t>
      </w:r>
    </w:p>
    <w:p>
      <w:pPr>
        <w:spacing w:before="65" w:after="120"/>
        <w:ind w:firstLine="640"/>
      </w:pPr>
      <w:r>
        <w:rPr>
          <w:rFonts w:hint="eastAsia"/>
        </w:rPr>
        <w:t>规划镇区物流仓储用地规模为1.40公顷，占规划用地的0.47%。</w:t>
      </w:r>
    </w:p>
    <w:p>
      <w:pPr>
        <w:spacing w:before="65" w:after="120"/>
        <w:ind w:firstLine="640"/>
      </w:pPr>
      <w:r>
        <w:rPr>
          <w:rFonts w:hint="eastAsia"/>
        </w:rPr>
        <w:t>规划道路与交通设施用地规模为28.71公顷，占规划用地的9.68%。</w:t>
      </w:r>
    </w:p>
    <w:p>
      <w:pPr>
        <w:spacing w:before="65"/>
        <w:ind w:firstLine="640"/>
      </w:pPr>
      <w:r>
        <w:rPr>
          <w:rFonts w:hint="eastAsia"/>
        </w:rPr>
        <w:t>规划绿地与开敞空间用地规模为</w:t>
      </w:r>
      <w:r>
        <w:t>10.57公顷，占规划用地的3.56%。</w:t>
      </w:r>
      <w:r>
        <w:rPr>
          <w:rFonts w:hint="eastAsia"/>
        </w:rPr>
        <w:t>规划物流仓储用地</w:t>
      </w:r>
      <w:r>
        <w:t>1.32公顷，占镇区建设用地面积的2.59%。</w:t>
      </w:r>
    </w:p>
    <w:p>
      <w:pPr>
        <w:spacing w:before="65"/>
        <w:ind w:firstLine="640"/>
      </w:pPr>
      <w:r>
        <w:rPr>
          <w:rFonts w:hint="eastAsia"/>
        </w:rPr>
        <w:t>规划特殊用地规模为</w:t>
      </w:r>
      <w:r>
        <w:t>1.87公顷，占规划用地的0.63%</w:t>
      </w:r>
      <w:r>
        <w:rPr>
          <w:rFonts w:hint="eastAsia"/>
        </w:rPr>
        <w:t>。</w:t>
      </w:r>
    </w:p>
    <w:p>
      <w:pPr>
        <w:pStyle w:val="3"/>
        <w:spacing w:before="326" w:beforeLines="100" w:after="326" w:afterLines="100"/>
      </w:pPr>
      <w:bookmarkStart w:id="155" w:name="_Toc185606081"/>
      <w:r>
        <w:t>公共服务设施</w:t>
      </w:r>
      <w:r>
        <w:rPr>
          <w:rFonts w:hint="eastAsia"/>
        </w:rPr>
        <w:t>规划</w:t>
      </w:r>
      <w:bookmarkEnd w:id="155"/>
    </w:p>
    <w:p>
      <w:pPr>
        <w:pStyle w:val="4"/>
      </w:pPr>
      <w:r>
        <w:t>公共管理与公共服务设施</w:t>
      </w:r>
    </w:p>
    <w:p>
      <w:pPr>
        <w:spacing w:before="65"/>
        <w:ind w:firstLine="640"/>
      </w:pPr>
      <w:r>
        <w:rPr>
          <w:rFonts w:hint="eastAsia"/>
          <w:lang w:bidi="ar"/>
        </w:rPr>
        <w:t>规划镇区公共服务设施用地规模为</w:t>
      </w:r>
      <w:r>
        <w:rPr>
          <w:lang w:bidi="ar"/>
        </w:rPr>
        <w:t>27.61公顷，占规划用地的9.31%</w:t>
      </w:r>
      <w:r>
        <w:rPr>
          <w:rFonts w:hint="eastAsia"/>
        </w:rPr>
        <w:t>。</w:t>
      </w:r>
    </w:p>
    <w:p>
      <w:pPr>
        <w:ind w:firstLine="640"/>
      </w:pPr>
      <w:r>
        <w:rPr>
          <w:rFonts w:hint="eastAsia"/>
        </w:rPr>
        <w:t>1</w:t>
      </w:r>
      <w:r>
        <w:t>.</w:t>
      </w:r>
      <w:r>
        <w:rPr>
          <w:rFonts w:hint="eastAsia"/>
        </w:rPr>
        <w:t>机关团体用地规划</w:t>
      </w:r>
    </w:p>
    <w:p>
      <w:pPr>
        <w:ind w:firstLine="640"/>
      </w:pPr>
      <w:r>
        <w:rPr>
          <w:rFonts w:hint="eastAsia"/>
          <w:lang w:bidi="ar"/>
        </w:rPr>
        <w:t>规划机关团体用地面积为</w:t>
      </w:r>
      <w:r>
        <w:rPr>
          <w:lang w:bidi="ar"/>
        </w:rPr>
        <w:t>1.51公顷，占镇区建设用地面积的4.47%，主要为马山口镇政府、</w:t>
      </w:r>
      <w:r>
        <w:rPr>
          <w:rFonts w:hint="eastAsia"/>
          <w:lang w:bidi="ar"/>
        </w:rPr>
        <w:t>派出所</w:t>
      </w:r>
      <w:r>
        <w:rPr>
          <w:lang w:bidi="ar"/>
        </w:rPr>
        <w:t>、村委会等</w:t>
      </w:r>
      <w:r>
        <w:rPr>
          <w:rFonts w:hint="eastAsia"/>
        </w:rPr>
        <w:t>。</w:t>
      </w:r>
    </w:p>
    <w:p>
      <w:pPr>
        <w:ind w:firstLine="640"/>
      </w:pPr>
      <w:r>
        <w:rPr>
          <w:rFonts w:hint="eastAsia"/>
        </w:rPr>
        <w:t>2</w:t>
      </w:r>
      <w:r>
        <w:t>.</w:t>
      </w:r>
      <w:r>
        <w:rPr>
          <w:rFonts w:hint="eastAsia"/>
        </w:rPr>
        <w:t>文化设施用地规划</w:t>
      </w:r>
    </w:p>
    <w:p>
      <w:pPr>
        <w:ind w:firstLine="640"/>
      </w:pPr>
      <w:r>
        <w:rPr>
          <w:rFonts w:hint="eastAsia"/>
          <w:lang w:bidi="ar"/>
        </w:rPr>
        <w:t>规划文化设施用地面积</w:t>
      </w:r>
      <w:r>
        <w:rPr>
          <w:lang w:bidi="ar"/>
        </w:rPr>
        <w:t>0.73公顷，占规划用地的0.25%。</w:t>
      </w:r>
      <w:r>
        <w:rPr>
          <w:rFonts w:hint="eastAsia"/>
          <w:lang w:bidi="ar"/>
        </w:rPr>
        <w:t>依托河南省级文物保护单位——豫西第六行政督察专员公署旧址建设历史纪念馆，为“红色马山口”的重点展示场所；依托河西村的牧原第一养殖场建设牧原博物馆，作为展示牧原发展历程的窗口；同时利用河西村的村庄建设用地建设文化体育中心，满足河西村及全镇大型文化体育活动需求。</w:t>
      </w:r>
      <w:r>
        <w:rPr>
          <w:lang w:bidi="ar"/>
        </w:rPr>
        <w:t>结合郑湾、河西、庵北和大寨村委会布局社区级文化设施，配建四处社区级文化活动站。文化活动站依据相关标准配置图书阅览室、科技普法、教育培训等文化设施，并设置专门针对老人、儿童及青少年活动的文化设施。</w:t>
      </w:r>
    </w:p>
    <w:p>
      <w:pPr>
        <w:ind w:firstLine="640"/>
      </w:pPr>
      <w:r>
        <w:rPr>
          <w:rFonts w:hint="eastAsia"/>
        </w:rPr>
        <w:t>3</w:t>
      </w:r>
      <w:r>
        <w:t>.</w:t>
      </w:r>
      <w:r>
        <w:rPr>
          <w:rFonts w:hint="eastAsia"/>
        </w:rPr>
        <w:t>教育用地规划</w:t>
      </w:r>
    </w:p>
    <w:p>
      <w:pPr>
        <w:ind w:firstLine="640"/>
      </w:pPr>
      <w:r>
        <w:rPr>
          <w:rFonts w:hint="eastAsia"/>
          <w:lang w:bidi="ar"/>
        </w:rPr>
        <w:t>规划教育用地面积</w:t>
      </w:r>
      <w:r>
        <w:rPr>
          <w:lang w:bidi="ar"/>
        </w:rPr>
        <w:t>16.47公顷（含职业培训），占规划用地的5.43%。其中中小学用地面积13.91公顷，幼儿园用地面积2.34公顷，其他教育用地面积0.22公顷。</w:t>
      </w:r>
      <w:r>
        <w:rPr>
          <w:rFonts w:hint="eastAsia"/>
          <w:lang w:bidi="ar"/>
        </w:rPr>
        <w:t>规划保留现状马山一中和马山二中，分别为</w:t>
      </w:r>
      <w:r>
        <w:rPr>
          <w:lang w:bidi="ar"/>
        </w:rPr>
        <w:t>30班和24班，可以满足全镇居民的中学就学需求。规划保留现状郑湾小学（10班）、河西小学（12班）、河北小学（6班）、宏烈育才学校（9班），扩建马山小学（30班），可以满足镇区及镇区周边村庄居民镇区就学的需求。规划保留内乡县马山口镇中心小学幼儿园（9班）、内乡县马山口镇河北中心小学幼儿园（3班）、内乡县马山口镇郑湾中心小学幼儿园（3班）、内乡县马山口镇中心幼儿园（6班）、内乡县马山口镇宏烈育才幼儿园（9班）、内乡县马山口镇大风车国学幼儿园（9班）、内乡县马山口镇金摇篮幼儿园（3班）、内乡县马山口镇红缨幼儿园（6班），规划在镇政府北侧新增一处幼儿园，规模为6班，满足镇区幼儿就学需求。</w:t>
      </w:r>
    </w:p>
    <w:p>
      <w:pPr>
        <w:ind w:firstLine="640"/>
      </w:pPr>
      <w:r>
        <w:rPr>
          <w:rFonts w:hint="eastAsia"/>
        </w:rPr>
        <w:t>4</w:t>
      </w:r>
      <w:r>
        <w:t>.</w:t>
      </w:r>
      <w:r>
        <w:rPr>
          <w:rFonts w:hint="eastAsia"/>
        </w:rPr>
        <w:t>医疗卫生用地规划</w:t>
      </w:r>
    </w:p>
    <w:p>
      <w:pPr>
        <w:ind w:firstLine="640"/>
      </w:pPr>
      <w:r>
        <w:rPr>
          <w:rFonts w:hint="eastAsia"/>
          <w:lang w:bidi="ar"/>
        </w:rPr>
        <w:t>规划医疗卫生用地面积</w:t>
      </w:r>
      <w:r>
        <w:rPr>
          <w:lang w:bidi="ar"/>
        </w:rPr>
        <w:t>1.83公顷，占规划用地的0.62%。</w:t>
      </w:r>
      <w:r>
        <w:rPr>
          <w:rFonts w:hint="eastAsia"/>
          <w:lang w:bidi="ar"/>
        </w:rPr>
        <w:t>规划</w:t>
      </w:r>
      <w:r>
        <w:rPr>
          <w:lang w:bidi="ar"/>
        </w:rPr>
        <w:t>保留镇卫生院和惠民医院。</w:t>
      </w:r>
    </w:p>
    <w:p>
      <w:pPr>
        <w:ind w:firstLine="640"/>
      </w:pPr>
      <w:r>
        <w:rPr>
          <w:rFonts w:hint="eastAsia"/>
        </w:rPr>
        <w:t>5</w:t>
      </w:r>
      <w:r>
        <w:t>.</w:t>
      </w:r>
      <w:r>
        <w:rPr>
          <w:rFonts w:hint="eastAsia"/>
        </w:rPr>
        <w:t>社会福利用地规划</w:t>
      </w:r>
    </w:p>
    <w:p>
      <w:pPr>
        <w:ind w:firstLine="640"/>
      </w:pPr>
      <w:r>
        <w:rPr>
          <w:rFonts w:hint="eastAsia"/>
          <w:lang w:bidi="ar"/>
        </w:rPr>
        <w:t>规划社会福利用地面积</w:t>
      </w:r>
      <w:r>
        <w:rPr>
          <w:lang w:bidi="ar"/>
        </w:rPr>
        <w:t>4.11公顷，占规划用地的1.39%。</w:t>
      </w:r>
      <w:r>
        <w:rPr>
          <w:rFonts w:hint="eastAsia"/>
          <w:lang w:bidi="ar"/>
        </w:rPr>
        <w:t>规划保留默河北侧的镇敬老院和镇区南侧的日间照料中心，满足全镇养老需求。</w:t>
      </w:r>
    </w:p>
    <w:p>
      <w:pPr>
        <w:pStyle w:val="3"/>
        <w:spacing w:before="326" w:beforeLines="100" w:after="326" w:afterLines="100"/>
      </w:pPr>
      <w:bookmarkStart w:id="156" w:name="_Toc185606082"/>
      <w:r>
        <w:rPr>
          <w:rFonts w:hint="eastAsia"/>
        </w:rPr>
        <w:t>住房建设与引导</w:t>
      </w:r>
      <w:bookmarkEnd w:id="156"/>
    </w:p>
    <w:p>
      <w:pPr>
        <w:pStyle w:val="4"/>
      </w:pPr>
      <w:bookmarkStart w:id="157" w:name="_Hlk142925025"/>
      <w:r>
        <w:rPr>
          <w:rFonts w:hint="eastAsia"/>
        </w:rPr>
        <w:t>居住用地规划</w:t>
      </w:r>
    </w:p>
    <w:bookmarkEnd w:id="157"/>
    <w:p>
      <w:pPr>
        <w:spacing w:before="65"/>
        <w:ind w:firstLine="640"/>
      </w:pPr>
      <w:r>
        <w:rPr>
          <w:rFonts w:hint="eastAsia"/>
        </w:rPr>
        <w:t>规划居住用地面积为</w:t>
      </w:r>
      <w:r>
        <w:t>163.20公顷，占总用地的55.01%、人均76.98平方米。住宅建设规划宜采取保留、更新改造和新增建设等多种方式。其中保留居住用地面积约69.94公顷，更新改造居住用地的面积约90.61公顷</w:t>
      </w:r>
      <w:r>
        <w:rPr>
          <w:rFonts w:hint="eastAsia"/>
        </w:rPr>
        <w:t>。</w:t>
      </w:r>
    </w:p>
    <w:p>
      <w:pPr>
        <w:pStyle w:val="4"/>
      </w:pPr>
      <w:bookmarkStart w:id="158" w:name="_Hlk142925032"/>
      <w:r>
        <w:rPr>
          <w:rFonts w:hint="eastAsia"/>
        </w:rPr>
        <w:t>住房保障规划</w:t>
      </w:r>
    </w:p>
    <w:bookmarkEnd w:id="158"/>
    <w:p>
      <w:pPr>
        <w:spacing w:before="65"/>
        <w:ind w:firstLine="640"/>
      </w:pPr>
      <w:r>
        <w:rPr>
          <w:rFonts w:hint="eastAsia"/>
        </w:rPr>
        <w:t>住宅建设规划宜采取保留、更新改造、拆迁置换和新区建设等多种方式。规划保留镇区内现有的建筑质量较高、居住环境较好、配套服务设施齐全、规划布局较为合理的居住用地；对镇区中村庄用地采取逐步更新改造方式；对部分建筑质量较差、配套设施缺乏、环境恶劣、且与其他用地混杂布局的住宅，可根据实际建设需要，拆迁置换为其他城镇用地，如可开发为公共绿地。</w:t>
      </w:r>
    </w:p>
    <w:p>
      <w:pPr>
        <w:pStyle w:val="3"/>
        <w:spacing w:before="326" w:beforeLines="100" w:after="326" w:afterLines="100"/>
      </w:pPr>
      <w:bookmarkStart w:id="159" w:name="_Toc185606083"/>
      <w:r>
        <w:rPr>
          <w:rFonts w:hint="eastAsia"/>
        </w:rPr>
        <w:t>空间形态与风貌管控</w:t>
      </w:r>
      <w:bookmarkEnd w:id="159"/>
    </w:p>
    <w:p>
      <w:pPr>
        <w:pStyle w:val="4"/>
      </w:pPr>
      <w:r>
        <w:t>空间风貌结构</w:t>
      </w:r>
    </w:p>
    <w:p>
      <w:pPr>
        <w:spacing w:before="65"/>
        <w:ind w:firstLine="640"/>
      </w:pPr>
      <w:r>
        <w:rPr>
          <w:rFonts w:hint="eastAsia"/>
        </w:rPr>
        <w:t>马山口镇镇区空间形态框架为“一河两岸，一轴三区”。其中，一河两岸，构建城景相融的城镇生态休闲空间；两轴三区，构建产居繁荣的城镇生活空间。</w:t>
      </w:r>
    </w:p>
    <w:p>
      <w:pPr>
        <w:spacing w:before="65"/>
        <w:ind w:firstLine="640"/>
      </w:pPr>
      <w:r>
        <w:rPr>
          <w:rFonts w:hint="eastAsia"/>
        </w:rPr>
        <w:t>一河两岸为滨河景观风貌带，默河界面是马山口镇区建筑风貌的重要展示带和旅游休闲带，需要重点控制。</w:t>
      </w:r>
    </w:p>
    <w:p>
      <w:pPr>
        <w:spacing w:before="65"/>
        <w:ind w:firstLine="640"/>
      </w:pPr>
      <w:r>
        <w:rPr>
          <w:rFonts w:hint="eastAsia"/>
        </w:rPr>
        <w:t>一轴分别是依托郑马大道形成的现代城镇风貌轴，现代城镇风貌轴应适当增加空间开敞度，形成丰富生活氛围的空间界面。</w:t>
      </w:r>
    </w:p>
    <w:p>
      <w:pPr>
        <w:spacing w:before="65"/>
        <w:ind w:firstLine="640"/>
      </w:pPr>
      <w:r>
        <w:rPr>
          <w:rFonts w:hint="eastAsia"/>
        </w:rPr>
        <w:t>现代产业风貌区位于默河北部，用地主要为工业用地，是以神威民爆和小型加工业为主要功能的特色产业区。该区域的建筑形象应简洁大方，体现现代感。</w:t>
      </w:r>
    </w:p>
    <w:p>
      <w:pPr>
        <w:spacing w:before="65"/>
        <w:ind w:firstLine="640"/>
      </w:pPr>
      <w:r>
        <w:rPr>
          <w:rFonts w:hint="eastAsia"/>
        </w:rPr>
        <w:t>现代宜居风貌区位于默河东西两侧，主要为现状村庄居民点和居住区，本区域应注重挖掘地方文化，充分结合原有民居特色，将该区打造为居住为主、展现宜居现代小城镇的风貌区。</w:t>
      </w:r>
    </w:p>
    <w:p>
      <w:pPr>
        <w:spacing w:before="65"/>
        <w:ind w:firstLine="640"/>
      </w:pPr>
      <w:r>
        <w:rPr>
          <w:rFonts w:hint="eastAsia"/>
        </w:rPr>
        <w:t>红色传承风貌区位于中部默河两侧，主要为马山口镇镇政府和马山坡周边的区域，该区域应延续豫西第六行政督察专员公署旧址的风貌特征，注重景观打造，重点建筑突出地标性。</w:t>
      </w:r>
    </w:p>
    <w:p>
      <w:pPr>
        <w:pStyle w:val="4"/>
      </w:pPr>
      <w:r>
        <w:rPr>
          <w:rFonts w:hint="eastAsia"/>
        </w:rPr>
        <w:t>开发强度和高度分区</w:t>
      </w:r>
    </w:p>
    <w:p>
      <w:pPr>
        <w:spacing w:before="65"/>
        <w:ind w:firstLine="640"/>
      </w:pPr>
      <w:r>
        <w:rPr>
          <w:rFonts w:hint="eastAsia"/>
        </w:rPr>
        <w:t>镇区划分为三类强度分区。其中，强度三区主要分布于区位较好的居住用地及地标性商业用地，是高强度开发控制区，容积率控制在</w:t>
      </w:r>
      <w:r>
        <w:t>2.0-3.0范围内，主要为商业用地和居住用地；强度二区主要为居住用地，为各片区内的生活社区，是中高强度开发控制区，容积率控制在1.5-2.0范围内，以多层住宅为主，是分布最多的区域；强度一区是低强度开发控制区，容积率小于等于1.5，以多层和低层建筑为主，主要为教育用地和公用设施用地。</w:t>
      </w:r>
    </w:p>
    <w:p>
      <w:pPr>
        <w:spacing w:before="65"/>
        <w:ind w:firstLine="640"/>
      </w:pPr>
      <w:r>
        <w:rPr>
          <w:rFonts w:hint="eastAsia"/>
        </w:rPr>
        <w:t>建筑宜以多层为主，在滨水地区和行政轴线上，适当点缀低层建筑，形成富有韵律感的城镇界面和富有变化的城镇轮廓线。建筑高度控制应充分考虑和研究城镇与水体的关系</w:t>
      </w:r>
      <w:r>
        <w:t>。</w:t>
      </w:r>
    </w:p>
    <w:p>
      <w:pPr>
        <w:pStyle w:val="4"/>
      </w:pPr>
      <w:r>
        <w:rPr>
          <w:rFonts w:hint="eastAsia"/>
        </w:rPr>
        <w:t>风貌管控</w:t>
      </w:r>
    </w:p>
    <w:p>
      <w:pPr>
        <w:spacing w:before="65"/>
        <w:ind w:firstLine="640"/>
      </w:pPr>
      <w:r>
        <w:rPr>
          <w:rFonts w:hint="eastAsia"/>
        </w:rPr>
        <w:t>现代产业风貌区控制要求：以现代建筑为主，建筑以米白色为主，深红色为辅，不允许出现大面积的色彩浓烈的彩钢瓦，不建议出现高反光材料；整体环境低调简洁。</w:t>
      </w:r>
    </w:p>
    <w:p>
      <w:pPr>
        <w:spacing w:before="65"/>
        <w:ind w:firstLine="640"/>
      </w:pPr>
      <w:r>
        <w:rPr>
          <w:rFonts w:hint="eastAsia"/>
        </w:rPr>
        <w:t>现代宜居风貌区控制要求：以米白色为主色调，浅灰色、木色、深咖色为辅色调，不允许出现大面积高饱和度色彩；住宅建筑和公共建筑鼓励采用坡屋顶；新建建筑风格需要和周边民居风格相协调；多层建筑鼓励采用退台式，低层建筑鼓励合院式，建筑组合需要和周边肌理相协调。</w:t>
      </w:r>
    </w:p>
    <w:p>
      <w:pPr>
        <w:spacing w:before="65"/>
        <w:ind w:firstLine="640"/>
      </w:pPr>
      <w:r>
        <w:rPr>
          <w:rFonts w:hint="eastAsia"/>
        </w:rPr>
        <w:t>红色传承风貌区控制要求：以米白色为主色调，深红色为辅色调；新建建筑鼓励采用坡屋顶；新建建筑风格以新中式为主；鼓励采用面砖、红瓦等传统材料，不建议出现高反光材料；新增建筑风格以现代风格为主，鼓励体现传统建筑特点和元素。</w:t>
      </w:r>
    </w:p>
    <w:p>
      <w:pPr>
        <w:pStyle w:val="3"/>
        <w:spacing w:before="326" w:beforeLines="100" w:after="326" w:afterLines="100"/>
      </w:pPr>
      <w:bookmarkStart w:id="160" w:name="_Toc185606084"/>
      <w:r>
        <w:rPr>
          <w:rFonts w:hint="eastAsia"/>
        </w:rPr>
        <w:t>道路交通系统规划</w:t>
      </w:r>
      <w:bookmarkEnd w:id="160"/>
    </w:p>
    <w:p>
      <w:pPr>
        <w:pStyle w:val="4"/>
      </w:pPr>
      <w:r>
        <w:rPr>
          <w:rFonts w:hint="eastAsia"/>
        </w:rPr>
        <w:t>规划目标</w:t>
      </w:r>
    </w:p>
    <w:p>
      <w:pPr>
        <w:spacing w:before="65"/>
        <w:ind w:firstLine="640"/>
      </w:pPr>
      <w:r>
        <w:rPr>
          <w:rFonts w:hint="eastAsia"/>
        </w:rPr>
        <w:t>形成高效通畅的交通网络体系；保障过境公路畅通，提高镇区道路网密度，注重与对外交通的联系和衔接。构建以慢行为主的绿色出行结构；构建尺度宜人、安全连续的慢行网络，至</w:t>
      </w:r>
      <w:r>
        <w:t>2035年，</w:t>
      </w:r>
      <w:r>
        <w:rPr>
          <w:rFonts w:hint="eastAsia"/>
        </w:rPr>
        <w:t>道路</w:t>
      </w:r>
      <w:r>
        <w:t>密度不小于8千米/平方千米</w:t>
      </w:r>
      <w:r>
        <w:rPr>
          <w:rFonts w:hint="eastAsia"/>
        </w:rPr>
        <w:t>。</w:t>
      </w:r>
    </w:p>
    <w:p>
      <w:pPr>
        <w:pStyle w:val="4"/>
      </w:pPr>
      <w:r>
        <w:rPr>
          <w:rFonts w:hint="eastAsia"/>
        </w:rPr>
        <w:t>对外交通系统</w:t>
      </w:r>
    </w:p>
    <w:p>
      <w:pPr>
        <w:spacing w:before="65"/>
        <w:ind w:firstLine="640"/>
      </w:pPr>
      <w:r>
        <w:rPr>
          <w:rFonts w:hint="eastAsia"/>
        </w:rPr>
        <w:t>拓宽镇区东侧省道</w:t>
      </w:r>
      <w:r>
        <w:t>240，增强与镇平县和南召县的联系；拓宽镇区西侧的县道002，融入内乡县旅游体系之中；升级改道省道329，减少省道对镇区的影响。</w:t>
      </w:r>
    </w:p>
    <w:p>
      <w:pPr>
        <w:spacing w:before="65"/>
        <w:ind w:firstLine="640"/>
      </w:pPr>
      <w:r>
        <w:rPr>
          <w:rFonts w:hint="eastAsia"/>
        </w:rPr>
        <w:t>强化镇区主干路与省道</w:t>
      </w:r>
      <w:r>
        <w:t>240、省道329和县道002的衔接，并尽量减少镇区低等级道路与过境道路的交叉口数量，以保证交通安全、美化道路景观，提高镇区的环境质量。</w:t>
      </w:r>
    </w:p>
    <w:p>
      <w:pPr>
        <w:pStyle w:val="4"/>
      </w:pPr>
      <w:r>
        <w:rPr>
          <w:rFonts w:hint="eastAsia"/>
        </w:rPr>
        <w:t>道路交通系统</w:t>
      </w:r>
    </w:p>
    <w:p>
      <w:pPr>
        <w:spacing w:before="65"/>
        <w:ind w:firstLine="640"/>
      </w:pPr>
      <w:r>
        <w:rPr>
          <w:rFonts w:hint="eastAsia"/>
        </w:rPr>
        <w:t>构建城镇主干路、次干路、支路三级路网体系，构建“四横两纵”的主要交通通道，形成方格网型的窄路密网格局。</w:t>
      </w:r>
    </w:p>
    <w:p>
      <w:pPr>
        <w:spacing w:before="65"/>
        <w:ind w:firstLine="640"/>
      </w:pPr>
      <w:r>
        <w:rPr>
          <w:rFonts w:hint="eastAsia"/>
        </w:rPr>
        <w:t>主干路：红线宽度为</w:t>
      </w:r>
      <w:r>
        <w:t>16-20米。</w:t>
      </w:r>
    </w:p>
    <w:p>
      <w:pPr>
        <w:spacing w:before="65"/>
        <w:ind w:firstLine="640"/>
      </w:pPr>
      <w:r>
        <w:rPr>
          <w:rFonts w:hint="eastAsia"/>
        </w:rPr>
        <w:t>次干路：红线宽度为</w:t>
      </w:r>
      <w:r>
        <w:t>12米。</w:t>
      </w:r>
    </w:p>
    <w:p>
      <w:pPr>
        <w:spacing w:before="65"/>
        <w:ind w:firstLine="640"/>
      </w:pPr>
      <w:r>
        <w:rPr>
          <w:rFonts w:hint="eastAsia"/>
        </w:rPr>
        <w:t>支路：红线宽度为</w:t>
      </w:r>
      <w:r>
        <w:t>5-8米。</w:t>
      </w:r>
    </w:p>
    <w:p>
      <w:pPr>
        <w:pStyle w:val="4"/>
      </w:pPr>
      <w:r>
        <w:rPr>
          <w:rFonts w:hint="eastAsia"/>
        </w:rPr>
        <w:t>公共交通规划</w:t>
      </w:r>
    </w:p>
    <w:p>
      <w:pPr>
        <w:ind w:firstLine="640"/>
      </w:pPr>
      <w:r>
        <w:rPr>
          <w:rFonts w:hint="eastAsia"/>
        </w:rPr>
        <w:t>1</w:t>
      </w:r>
      <w:r>
        <w:t>.公共交通场站</w:t>
      </w:r>
    </w:p>
    <w:p>
      <w:pPr>
        <w:ind w:firstLine="640"/>
      </w:pPr>
      <w:r>
        <w:rPr>
          <w:rFonts w:hint="eastAsia"/>
        </w:rPr>
        <w:t>保留现状镇区东侧</w:t>
      </w:r>
      <w:r>
        <w:t>1处公共交通场站，用地面积为0.26公顷，为城乡公交客运站。</w:t>
      </w:r>
    </w:p>
    <w:p>
      <w:pPr>
        <w:ind w:firstLine="640"/>
      </w:pPr>
      <w:r>
        <w:rPr>
          <w:rFonts w:hint="eastAsia"/>
        </w:rPr>
        <w:t>2</w:t>
      </w:r>
      <w:r>
        <w:t>.加油加气站用地</w:t>
      </w:r>
    </w:p>
    <w:p>
      <w:pPr>
        <w:ind w:firstLine="640"/>
      </w:pPr>
      <w:r>
        <w:rPr>
          <w:rFonts w:hint="eastAsia"/>
        </w:rPr>
        <w:t>保留镇区现状</w:t>
      </w:r>
      <w:r>
        <w:t>2处加油站，分别位于县道002西侧和郑马大道北侧，总用地面积为0.35公顷；保留镇区南侧一处独立的加气站，面积为0.55公顷；保留省道240西侧一处液化气站，面积为0.46公顷。</w:t>
      </w:r>
    </w:p>
    <w:p>
      <w:pPr>
        <w:ind w:firstLine="640"/>
      </w:pPr>
      <w:r>
        <w:rPr>
          <w:rFonts w:hint="eastAsia"/>
        </w:rPr>
        <w:t>3</w:t>
      </w:r>
      <w:r>
        <w:t>.公交站点</w:t>
      </w:r>
    </w:p>
    <w:p>
      <w:pPr>
        <w:ind w:firstLine="640"/>
      </w:pPr>
      <w:r>
        <w:rPr>
          <w:rFonts w:hint="eastAsia"/>
        </w:rPr>
        <w:t>保留现状郑马大道上多处城乡公交站点，保障居民公共出行便利。</w:t>
      </w:r>
    </w:p>
    <w:p>
      <w:pPr>
        <w:pStyle w:val="4"/>
      </w:pPr>
      <w:r>
        <w:rPr>
          <w:rFonts w:hint="eastAsia"/>
        </w:rPr>
        <w:t>停车设施规划</w:t>
      </w:r>
    </w:p>
    <w:p>
      <w:pPr>
        <w:spacing w:before="65"/>
        <w:ind w:firstLine="640"/>
      </w:pPr>
      <w:r>
        <w:rPr>
          <w:rFonts w:hint="eastAsia"/>
        </w:rPr>
        <w:t>结合镇区用地情况和现状居民需求，镇区停车以沿街停车为主。</w:t>
      </w:r>
    </w:p>
    <w:p>
      <w:pPr>
        <w:pStyle w:val="4"/>
      </w:pPr>
      <w:r>
        <w:rPr>
          <w:rFonts w:hint="eastAsia"/>
        </w:rPr>
        <w:t>慢行系统规划</w:t>
      </w:r>
    </w:p>
    <w:p>
      <w:pPr>
        <w:spacing w:before="65"/>
        <w:ind w:firstLine="640"/>
      </w:pPr>
      <w:r>
        <w:rPr>
          <w:rFonts w:hint="eastAsia"/>
        </w:rPr>
        <w:t>推进绿道系统建设，打造以镇区次干路为骨架、支路为补充的两级慢行绿道系统，加强滨河绿地建设，构建安全连续的慢行系统。各次干路串联镇区休闲绿地，并沿次干路两侧打造休闲绿道；各支路深入至居住组团，便捷联通小游园、街头绿地；结合党建文化广场、滨河公园绿地等设置慢性游憩公园。</w:t>
      </w:r>
    </w:p>
    <w:p>
      <w:pPr>
        <w:spacing w:before="65"/>
        <w:ind w:firstLine="640"/>
      </w:pPr>
      <w:r>
        <w:rPr>
          <w:rFonts w:hint="eastAsia"/>
        </w:rPr>
        <w:t>城乡公交站点与慢行系统结合设置，建设便于居民使用的慢行体系。</w:t>
      </w:r>
    </w:p>
    <w:p>
      <w:pPr>
        <w:pStyle w:val="3"/>
        <w:spacing w:before="326" w:beforeLines="100" w:after="326" w:afterLines="100"/>
      </w:pPr>
      <w:bookmarkStart w:id="161" w:name="_Toc129799057"/>
      <w:bookmarkStart w:id="162" w:name="_Toc185606085"/>
      <w:r>
        <w:rPr>
          <w:rFonts w:hint="eastAsia"/>
        </w:rPr>
        <w:t>基础设施</w:t>
      </w:r>
      <w:bookmarkEnd w:id="161"/>
      <w:r>
        <w:rPr>
          <w:rFonts w:hint="eastAsia"/>
        </w:rPr>
        <w:t>规划</w:t>
      </w:r>
      <w:bookmarkEnd w:id="162"/>
    </w:p>
    <w:p>
      <w:pPr>
        <w:pStyle w:val="4"/>
      </w:pPr>
      <w:r>
        <w:rPr>
          <w:rFonts w:hint="eastAsia"/>
        </w:rPr>
        <w:t>给水工程规划</w:t>
      </w:r>
    </w:p>
    <w:p>
      <w:pPr>
        <w:ind w:firstLine="640"/>
      </w:pPr>
      <w:r>
        <w:rPr>
          <w:rFonts w:hint="eastAsia"/>
        </w:rPr>
        <w:t>1</w:t>
      </w:r>
      <w:r>
        <w:t>.</w:t>
      </w:r>
      <w:r>
        <w:rPr>
          <w:rFonts w:hint="eastAsia"/>
        </w:rPr>
        <w:t>用水量预测</w:t>
      </w:r>
    </w:p>
    <w:p>
      <w:pPr>
        <w:ind w:firstLine="640"/>
      </w:pPr>
      <w:r>
        <w:rPr>
          <w:rFonts w:hint="eastAsia"/>
        </w:rPr>
        <w:t>规划范围最高日用水量约为</w:t>
      </w:r>
      <w:r>
        <w:t>5673立方米/日</w:t>
      </w:r>
      <w:r>
        <w:rPr>
          <w:rFonts w:hint="eastAsia"/>
        </w:rPr>
        <w:t>。</w:t>
      </w:r>
    </w:p>
    <w:p>
      <w:pPr>
        <w:ind w:firstLine="640"/>
      </w:pPr>
      <w:r>
        <w:rPr>
          <w:rFonts w:hint="eastAsia"/>
        </w:rPr>
        <w:t>2</w:t>
      </w:r>
      <w:r>
        <w:t>.</w:t>
      </w:r>
      <w:r>
        <w:rPr>
          <w:rFonts w:hint="eastAsia"/>
        </w:rPr>
        <w:t>水厂规划</w:t>
      </w:r>
    </w:p>
    <w:p>
      <w:pPr>
        <w:ind w:firstLine="640"/>
      </w:pPr>
      <w:r>
        <w:rPr>
          <w:rFonts w:hint="eastAsia"/>
        </w:rPr>
        <w:t>规划扩建马山口水厂，规模至</w:t>
      </w:r>
      <w:r>
        <w:t>6000立方米/日，水源采用中深层地下水，备用水源为打磨岗水库</w:t>
      </w:r>
      <w:r>
        <w:rPr>
          <w:rFonts w:hint="eastAsia"/>
        </w:rPr>
        <w:t>。</w:t>
      </w:r>
    </w:p>
    <w:p>
      <w:pPr>
        <w:ind w:firstLine="640"/>
      </w:pPr>
      <w:r>
        <w:rPr>
          <w:rFonts w:hint="eastAsia"/>
        </w:rPr>
        <w:t>3</w:t>
      </w:r>
      <w:r>
        <w:t>.</w:t>
      </w:r>
      <w:r>
        <w:rPr>
          <w:rFonts w:hint="eastAsia"/>
        </w:rPr>
        <w:t>供水管网规划</w:t>
      </w:r>
    </w:p>
    <w:p>
      <w:pPr>
        <w:ind w:firstLine="640"/>
      </w:pPr>
      <w:r>
        <w:rPr>
          <w:rFonts w:hint="eastAsia"/>
          <w:bCs/>
        </w:rPr>
        <w:t>供水主干线沿主干路敷设并尽量靠近大用水量单位，综合考虑技术、经济以及可靠性等因素，采用环、支状网相结合的布置方式。规划保留镇区现状</w:t>
      </w:r>
      <w:r>
        <w:rPr>
          <w:bCs/>
        </w:rPr>
        <w:t>DN100~DN200给水管，沿新建道路敷设DN100~DN150给水管。规划给水管与相交道路给水管相接，形成安全可靠的环状供水系统</w:t>
      </w:r>
      <w:r>
        <w:rPr>
          <w:rFonts w:hint="eastAsia"/>
          <w:bCs/>
        </w:rPr>
        <w:t>。</w:t>
      </w:r>
    </w:p>
    <w:p>
      <w:pPr>
        <w:pStyle w:val="4"/>
      </w:pPr>
      <w:r>
        <w:rPr>
          <w:rFonts w:hint="eastAsia"/>
        </w:rPr>
        <w:t>排水工程规划</w:t>
      </w:r>
    </w:p>
    <w:p>
      <w:pPr>
        <w:ind w:firstLine="640"/>
      </w:pPr>
      <w:r>
        <w:rPr>
          <w:rFonts w:hint="eastAsia"/>
        </w:rPr>
        <w:t>1</w:t>
      </w:r>
      <w:r>
        <w:t>.</w:t>
      </w:r>
      <w:r>
        <w:rPr>
          <w:rFonts w:hint="eastAsia"/>
        </w:rPr>
        <w:t>污水工程</w:t>
      </w:r>
    </w:p>
    <w:p>
      <w:pPr>
        <w:ind w:firstLine="640"/>
        <w:rPr>
          <w:bCs/>
        </w:rPr>
      </w:pPr>
      <w:r>
        <w:rPr>
          <w:rFonts w:hint="eastAsia"/>
          <w:bCs/>
        </w:rPr>
        <w:t>规划镇区实行雨污分流制排水系统。</w:t>
      </w:r>
    </w:p>
    <w:p>
      <w:pPr>
        <w:ind w:firstLine="640"/>
      </w:pPr>
      <w:r>
        <w:rPr>
          <w:rFonts w:hint="eastAsia"/>
        </w:rPr>
        <w:t>预测镇区</w:t>
      </w:r>
      <w:r>
        <w:rPr>
          <w:rFonts w:hint="eastAsia" w:ascii="Times New Roman" w:hAnsi="Times New Roman"/>
          <w:lang w:bidi="ar"/>
        </w:rPr>
        <w:t>平均日污水量为</w:t>
      </w:r>
      <w:r>
        <w:rPr>
          <w:rFonts w:ascii="Times New Roman" w:hAnsi="Times New Roman"/>
          <w:lang w:bidi="ar"/>
        </w:rPr>
        <w:t>2715立方米/日</w:t>
      </w:r>
      <w:r>
        <w:rPr>
          <w:rFonts w:hint="eastAsia"/>
        </w:rPr>
        <w:t>。</w:t>
      </w:r>
    </w:p>
    <w:p>
      <w:pPr>
        <w:ind w:firstLine="640"/>
      </w:pPr>
      <w:r>
        <w:rPr>
          <w:rFonts w:hint="eastAsia"/>
        </w:rPr>
        <w:t>规划保留镇区现状</w:t>
      </w:r>
      <w:r>
        <w:t>d300~d500污水管，沿新建道路敷设d300~d500污水管，污水向南排入马山口污水处理厂。</w:t>
      </w:r>
      <w:r>
        <w:rPr>
          <w:rFonts w:hint="eastAsia"/>
        </w:rPr>
        <w:t>污水处理厂规模为</w:t>
      </w:r>
      <w:r>
        <w:t>5000日；污水处理厂出水水质要求达到《城镇污水处理厂污染物排放标准》（GB 18918-2002）中规定的一级A标准，处理达标后排入河流</w:t>
      </w:r>
      <w:r>
        <w:rPr>
          <w:rFonts w:hint="eastAsia"/>
        </w:rPr>
        <w:t>。</w:t>
      </w:r>
    </w:p>
    <w:p>
      <w:pPr>
        <w:ind w:firstLine="640"/>
      </w:pPr>
      <w:r>
        <w:rPr>
          <w:rFonts w:hint="eastAsia"/>
        </w:rPr>
        <w:t>2</w:t>
      </w:r>
      <w:r>
        <w:t>.</w:t>
      </w:r>
      <w:r>
        <w:rPr>
          <w:rFonts w:hint="eastAsia"/>
        </w:rPr>
        <w:t>雨水工程</w:t>
      </w:r>
    </w:p>
    <w:p>
      <w:pPr>
        <w:ind w:firstLine="640"/>
      </w:pPr>
      <w:r>
        <w:rPr>
          <w:rFonts w:hint="eastAsia"/>
        </w:rPr>
        <w:t>镇区雨水管渠设计重现期为2～3年；镇区的重要地区如行政中心、学校、医院、商业聚集区等雨水管渠设计重现期为3～5年；镇区的地下通道和下沉式广场等雨水管渠设计重现期为10～20年</w:t>
      </w:r>
      <w:r>
        <w:rPr>
          <w:rFonts w:hint="eastAsia"/>
          <w:szCs w:val="24"/>
        </w:rPr>
        <w:t>。</w:t>
      </w:r>
    </w:p>
    <w:p>
      <w:pPr>
        <w:ind w:firstLine="640"/>
      </w:pPr>
      <w:r>
        <w:rPr>
          <w:rFonts w:hint="eastAsia"/>
          <w:bCs/>
        </w:rPr>
        <w:t>规划沿镇区道路敷设</w:t>
      </w:r>
      <w:r>
        <w:rPr>
          <w:bCs/>
        </w:rPr>
        <w:t>d400~d600雨水管，雨水就近排入默河</w:t>
      </w:r>
      <w:r>
        <w:rPr>
          <w:rFonts w:hint="eastAsia"/>
          <w:bCs/>
        </w:rPr>
        <w:t>。</w:t>
      </w:r>
    </w:p>
    <w:p>
      <w:pPr>
        <w:pStyle w:val="4"/>
      </w:pPr>
      <w:r>
        <w:rPr>
          <w:rFonts w:hint="eastAsia"/>
        </w:rPr>
        <w:t>电力工程规划</w:t>
      </w:r>
    </w:p>
    <w:p>
      <w:pPr>
        <w:ind w:firstLine="640"/>
      </w:pPr>
      <w:r>
        <w:rPr>
          <w:rFonts w:hint="eastAsia"/>
        </w:rPr>
        <w:t>1</w:t>
      </w:r>
      <w:r>
        <w:t>.</w:t>
      </w:r>
      <w:r>
        <w:rPr>
          <w:rFonts w:hint="eastAsia"/>
        </w:rPr>
        <w:t>用电负荷预测</w:t>
      </w:r>
    </w:p>
    <w:p>
      <w:pPr>
        <w:ind w:firstLine="640"/>
      </w:pPr>
      <w:r>
        <w:rPr>
          <w:rFonts w:hint="eastAsia"/>
        </w:rPr>
        <w:t>预测镇区用电负荷约为</w:t>
      </w:r>
      <w:r>
        <w:t>42767千瓦</w:t>
      </w:r>
      <w:r>
        <w:rPr>
          <w:rFonts w:hint="eastAsia"/>
        </w:rPr>
        <w:t>。</w:t>
      </w:r>
    </w:p>
    <w:p>
      <w:pPr>
        <w:ind w:firstLine="640"/>
      </w:pPr>
      <w:r>
        <w:rPr>
          <w:rFonts w:hint="eastAsia"/>
        </w:rPr>
        <w:t>2</w:t>
      </w:r>
      <w:r>
        <w:t>.</w:t>
      </w:r>
      <w:r>
        <w:rPr>
          <w:rFonts w:hint="eastAsia"/>
        </w:rPr>
        <w:t>变电设施规划</w:t>
      </w:r>
    </w:p>
    <w:p>
      <w:pPr>
        <w:ind w:firstLine="640"/>
      </w:pPr>
      <w:r>
        <w:rPr>
          <w:rFonts w:hint="eastAsia"/>
        </w:rPr>
        <w:t>规划停运现状</w:t>
      </w:r>
      <w:r>
        <w:t>35千伏郑湾变；镇区电源来自现状110千伏默河变。</w:t>
      </w:r>
    </w:p>
    <w:p>
      <w:pPr>
        <w:ind w:firstLine="640"/>
      </w:pPr>
      <w:r>
        <w:rPr>
          <w:rFonts w:hint="eastAsia"/>
        </w:rPr>
        <w:t>新建</w:t>
      </w:r>
      <w:r>
        <w:t>10千伏电力线沿干道采用地埋电缆沟的敷设方式，并在重点地段形成环路，以保证供电可靠安全性，同时确保每一个地块均能从临路一侧方便接入10千伏电源线。尽量避免架空铺设，不仅防止镇区景观的破坏，还能减少因人为原因造成的事故。为减少10千伏线路出线紧张问题，在镇区用电负荷中心相应位置设置市政公用开闭所</w:t>
      </w:r>
      <w:r>
        <w:rPr>
          <w:rFonts w:hint="eastAsia"/>
        </w:rPr>
        <w:t>。</w:t>
      </w:r>
    </w:p>
    <w:p>
      <w:pPr>
        <w:ind w:firstLine="640"/>
      </w:pPr>
      <w:r>
        <w:rPr>
          <w:rFonts w:hint="eastAsia"/>
        </w:rPr>
        <w:t>3</w:t>
      </w:r>
      <w:r>
        <w:t>.</w:t>
      </w:r>
      <w:r>
        <w:rPr>
          <w:rFonts w:hint="eastAsia"/>
        </w:rPr>
        <w:t>电力廊道规划</w:t>
      </w:r>
    </w:p>
    <w:p>
      <w:pPr>
        <w:ind w:firstLine="640"/>
      </w:pPr>
      <w:r>
        <w:rPr>
          <w:rFonts w:hint="eastAsia"/>
          <w:bCs/>
        </w:rPr>
        <w:t>110千伏电力线路采用架空敷设，高压线路走廊不小于25米。</w:t>
      </w:r>
      <w:bookmarkStart w:id="163" w:name="_Hlk150874338"/>
      <w:r>
        <w:rPr>
          <w:rFonts w:hint="eastAsia"/>
        </w:rPr>
        <w:t>根据《电力设施保护条例实施细则》要求廊道内不得进行建设及危害电力设施的行为。</w:t>
      </w:r>
      <w:bookmarkEnd w:id="163"/>
    </w:p>
    <w:p>
      <w:pPr>
        <w:pStyle w:val="4"/>
      </w:pPr>
      <w:r>
        <w:rPr>
          <w:rFonts w:hint="eastAsia"/>
        </w:rPr>
        <w:t>通信工程规划</w:t>
      </w:r>
    </w:p>
    <w:p>
      <w:pPr>
        <w:ind w:firstLine="640"/>
      </w:pPr>
      <w:r>
        <w:rPr>
          <w:rFonts w:hint="eastAsia"/>
        </w:rPr>
        <w:t>1</w:t>
      </w:r>
      <w:r>
        <w:t>.</w:t>
      </w:r>
      <w:r>
        <w:rPr>
          <w:rFonts w:hint="eastAsia"/>
        </w:rPr>
        <w:t>邮政设施与电信设施规划</w:t>
      </w:r>
    </w:p>
    <w:p>
      <w:pPr>
        <w:ind w:firstLine="640"/>
      </w:pPr>
      <w:r>
        <w:rPr>
          <w:rFonts w:hint="eastAsia"/>
        </w:rPr>
        <w:t>规划保留马山口镇现状邮政支局</w:t>
      </w:r>
      <w:r>
        <w:t>1处，位于府前路与利民街交叉口西南角。规划沿镇区主干道每隔500米设信箱一个，住宅楼各单元入口处设报箱</w:t>
      </w:r>
      <w:r>
        <w:rPr>
          <w:rFonts w:hint="eastAsia"/>
        </w:rPr>
        <w:t>。</w:t>
      </w:r>
    </w:p>
    <w:p>
      <w:pPr>
        <w:ind w:firstLine="640"/>
      </w:pPr>
      <w:r>
        <w:rPr>
          <w:rFonts w:hint="eastAsia"/>
        </w:rPr>
        <w:t>2</w:t>
      </w:r>
      <w:r>
        <w:t>.</w:t>
      </w:r>
      <w:r>
        <w:rPr>
          <w:rFonts w:hint="eastAsia"/>
        </w:rPr>
        <w:t>广播电视设施规划</w:t>
      </w:r>
    </w:p>
    <w:p>
      <w:pPr>
        <w:ind w:firstLine="640"/>
      </w:pPr>
      <w:r>
        <w:rPr>
          <w:rFonts w:hint="eastAsia"/>
        </w:rPr>
        <w:t>规划广播电视综合交叉覆盖率达到</w:t>
      </w:r>
      <w:r>
        <w:t>98％以上，有线电视入户实现数字化、传输线路全部采用光缆，埋户率达100％</w:t>
      </w:r>
      <w:r>
        <w:rPr>
          <w:rFonts w:hint="eastAsia"/>
        </w:rPr>
        <w:t>。</w:t>
      </w:r>
    </w:p>
    <w:p>
      <w:pPr>
        <w:pStyle w:val="4"/>
      </w:pPr>
      <w:r>
        <w:rPr>
          <w:rFonts w:hint="eastAsia"/>
        </w:rPr>
        <w:t>燃气工程规划</w:t>
      </w:r>
    </w:p>
    <w:p>
      <w:pPr>
        <w:ind w:firstLine="640"/>
      </w:pPr>
      <w:r>
        <w:rPr>
          <w:rFonts w:hint="eastAsia"/>
        </w:rPr>
        <w:t>1</w:t>
      </w:r>
      <w:r>
        <w:t>.</w:t>
      </w:r>
      <w:r>
        <w:rPr>
          <w:rFonts w:hint="eastAsia"/>
        </w:rPr>
        <w:t>用气负荷预测</w:t>
      </w:r>
    </w:p>
    <w:p>
      <w:pPr>
        <w:ind w:firstLine="640"/>
      </w:pPr>
      <w:r>
        <w:rPr>
          <w:rFonts w:hint="eastAsia"/>
        </w:rPr>
        <w:t>预测镇区用气负荷约</w:t>
      </w:r>
      <w:r>
        <w:rPr>
          <w:rFonts w:ascii="Times New Roman" w:hAnsi="Times New Roman"/>
        </w:rPr>
        <w:t>13356</w:t>
      </w:r>
      <w:r>
        <w:rPr>
          <w:rFonts w:hint="eastAsia"/>
        </w:rPr>
        <w:t>立方米/日。</w:t>
      </w:r>
    </w:p>
    <w:p>
      <w:pPr>
        <w:ind w:firstLine="640"/>
      </w:pPr>
      <w:r>
        <w:rPr>
          <w:rFonts w:hint="eastAsia"/>
        </w:rPr>
        <w:t>2</w:t>
      </w:r>
      <w:r>
        <w:t>.</w:t>
      </w:r>
      <w:r>
        <w:rPr>
          <w:rFonts w:hint="eastAsia"/>
        </w:rPr>
        <w:t>燃气管网规划</w:t>
      </w:r>
    </w:p>
    <w:p>
      <w:pPr>
        <w:ind w:firstLine="640"/>
      </w:pPr>
      <w:r>
        <w:rPr>
          <w:rFonts w:hint="eastAsia"/>
        </w:rPr>
        <w:t>规划沿镇区道路敷设</w:t>
      </w:r>
      <w:r>
        <w:t>de90~de110燃气管线，燃气管线呈环状布置，局部为支状。</w:t>
      </w:r>
      <w:r>
        <w:rPr>
          <w:rFonts w:hint="eastAsia"/>
        </w:rPr>
        <w:t>规划镇区采用中压一级管网系统，中压管网进气压力为</w:t>
      </w:r>
      <w:r>
        <w:t>0.4兆帕。一般居民用户和公共福利用户通过楼栋调压箱调节至低压后供气</w:t>
      </w:r>
      <w:r>
        <w:rPr>
          <w:rFonts w:hint="eastAsia"/>
          <w:bCs/>
        </w:rPr>
        <w:t>。</w:t>
      </w:r>
    </w:p>
    <w:p>
      <w:pPr>
        <w:pStyle w:val="4"/>
      </w:pPr>
      <w:r>
        <w:rPr>
          <w:rFonts w:hint="eastAsia"/>
        </w:rPr>
        <w:t>热力工程规划</w:t>
      </w:r>
    </w:p>
    <w:p>
      <w:pPr>
        <w:ind w:firstLine="640"/>
      </w:pPr>
      <w:r>
        <w:rPr>
          <w:rFonts w:hint="eastAsia"/>
        </w:rPr>
        <w:t>1</w:t>
      </w:r>
      <w:r>
        <w:t>.</w:t>
      </w:r>
      <w:r>
        <w:rPr>
          <w:rFonts w:hint="eastAsia"/>
        </w:rPr>
        <w:t>热负荷预测</w:t>
      </w:r>
    </w:p>
    <w:p>
      <w:pPr>
        <w:ind w:firstLine="640"/>
      </w:pPr>
      <w:r>
        <w:rPr>
          <w:rFonts w:hint="eastAsia"/>
        </w:rPr>
        <w:t>预测镇区采暖热负荷约</w:t>
      </w:r>
      <w:r>
        <w:t>156.50</w:t>
      </w:r>
      <w:r>
        <w:rPr>
          <w:rFonts w:hint="eastAsia"/>
        </w:rPr>
        <w:t>兆瓦。</w:t>
      </w:r>
    </w:p>
    <w:p>
      <w:pPr>
        <w:ind w:firstLine="640"/>
      </w:pPr>
      <w:r>
        <w:rPr>
          <w:rFonts w:hint="eastAsia"/>
        </w:rPr>
        <w:t>2</w:t>
      </w:r>
      <w:r>
        <w:t>.</w:t>
      </w:r>
      <w:r>
        <w:rPr>
          <w:rFonts w:hint="eastAsia"/>
        </w:rPr>
        <w:t>热源规划</w:t>
      </w:r>
    </w:p>
    <w:p>
      <w:pPr>
        <w:ind w:firstLine="640"/>
      </w:pPr>
      <w:r>
        <w:rPr>
          <w:rFonts w:hint="eastAsia"/>
        </w:rPr>
        <w:t>规划镇区采用分区域集中供热模式，热源为电能、风能、燃气等清洁能源，规划在镇区内设置</w:t>
      </w:r>
      <w:r>
        <w:t>5座供热站</w:t>
      </w:r>
      <w:r>
        <w:rPr>
          <w:rFonts w:hint="eastAsia"/>
        </w:rPr>
        <w:t>。</w:t>
      </w:r>
    </w:p>
    <w:p>
      <w:pPr>
        <w:pStyle w:val="4"/>
      </w:pPr>
      <w:r>
        <w:rPr>
          <w:rFonts w:hint="eastAsia"/>
        </w:rPr>
        <w:t>环卫工程规划</w:t>
      </w:r>
    </w:p>
    <w:p>
      <w:pPr>
        <w:ind w:firstLine="640"/>
      </w:pPr>
      <w:r>
        <w:rPr>
          <w:rFonts w:hint="eastAsia"/>
        </w:rPr>
        <w:t>1</w:t>
      </w:r>
      <w:r>
        <w:t>.生活垃圾量预测</w:t>
      </w:r>
    </w:p>
    <w:p>
      <w:pPr>
        <w:ind w:firstLine="640"/>
      </w:pPr>
      <w:r>
        <w:t>2035年，镇区规划人口约2.12万，人均生活垃圾产生量1.0千克/人·日进行预测。规划至2035年，</w:t>
      </w:r>
      <w:r>
        <w:rPr>
          <w:rFonts w:hint="eastAsia"/>
        </w:rPr>
        <w:t>镇区</w:t>
      </w:r>
      <w:r>
        <w:t>预测生活垃圾产量为21.2吨/日。</w:t>
      </w:r>
    </w:p>
    <w:p>
      <w:pPr>
        <w:ind w:firstLine="640"/>
      </w:pPr>
      <w:r>
        <w:rPr>
          <w:rFonts w:hint="eastAsia"/>
        </w:rPr>
        <w:t>2</w:t>
      </w:r>
      <w:r>
        <w:t>.垃圾收运与处置</w:t>
      </w:r>
    </w:p>
    <w:p>
      <w:pPr>
        <w:ind w:firstLine="640"/>
      </w:pPr>
      <w:r>
        <w:rPr>
          <w:rFonts w:hint="eastAsia"/>
        </w:rPr>
        <w:t>镇区建立二级转运系统，生活垃圾由垃圾收集点收集后运送至生活垃圾收集站，再运输至规划垃圾转运站进行压缩处理，直接送至垃圾处理场统一处理。</w:t>
      </w:r>
    </w:p>
    <w:p>
      <w:pPr>
        <w:ind w:firstLine="640"/>
      </w:pPr>
      <w:r>
        <w:rPr>
          <w:rFonts w:hint="eastAsia"/>
        </w:rPr>
        <w:t>建筑垃圾运至建筑垃圾处理厂进行处理；医疗垃圾应采用医疗卫生垃圾专用车运输，统一运输至南阳市医疗垃圾集中处理中心处理；工业一般垃圾以各厂区内部处置为主，资源化与最终处置相结合；危险废弃物纳入南阳市危废处置系统，运至危废处置中心安全处置。</w:t>
      </w:r>
    </w:p>
    <w:p>
      <w:pPr>
        <w:ind w:firstLine="640"/>
      </w:pPr>
      <w:r>
        <w:rPr>
          <w:rFonts w:hint="eastAsia"/>
        </w:rPr>
        <w:t>3</w:t>
      </w:r>
      <w:r>
        <w:t>.环卫设施布局</w:t>
      </w:r>
    </w:p>
    <w:p>
      <w:pPr>
        <w:ind w:firstLine="640"/>
      </w:pPr>
      <w:r>
        <w:rPr>
          <w:rFonts w:hint="eastAsia"/>
        </w:rPr>
        <w:t>郑湾村县道</w:t>
      </w:r>
      <w:r>
        <w:t>002西侧规划一座小型（V）生活垃圾转运站，转运规模为40吨/日，占地面积0.43公顷。</w:t>
      </w:r>
    </w:p>
    <w:p>
      <w:pPr>
        <w:ind w:firstLine="640"/>
      </w:pPr>
      <w:r>
        <w:rPr>
          <w:rFonts w:hint="eastAsia"/>
        </w:rPr>
        <w:t>镇区</w:t>
      </w:r>
      <w:r>
        <w:t>需环卫停车场面积0.25公顷。</w:t>
      </w:r>
      <w:r>
        <w:rPr>
          <w:rFonts w:hint="eastAsia"/>
        </w:rPr>
        <w:t>规划</w:t>
      </w:r>
      <w:r>
        <w:t>1处环卫车辆停车场，结合垃圾转运站停放。</w:t>
      </w:r>
    </w:p>
    <w:p>
      <w:pPr>
        <w:pStyle w:val="3"/>
        <w:spacing w:before="326" w:beforeLines="100" w:after="326" w:afterLines="100"/>
      </w:pPr>
      <w:bookmarkStart w:id="164" w:name="_Toc129799058"/>
      <w:bookmarkStart w:id="165" w:name="_Toc185606086"/>
      <w:bookmarkStart w:id="166" w:name="_Toc127350193"/>
      <w:r>
        <w:rPr>
          <w:rFonts w:hint="eastAsia"/>
        </w:rPr>
        <w:t>综合防灾</w:t>
      </w:r>
      <w:bookmarkEnd w:id="164"/>
      <w:r>
        <w:rPr>
          <w:rFonts w:hint="eastAsia"/>
        </w:rPr>
        <w:t>减灾规划</w:t>
      </w:r>
      <w:bookmarkEnd w:id="165"/>
    </w:p>
    <w:p>
      <w:pPr>
        <w:pStyle w:val="4"/>
      </w:pPr>
      <w:r>
        <w:rPr>
          <w:rFonts w:hint="eastAsia"/>
        </w:rPr>
        <w:t>综合防灾减灾目标</w:t>
      </w:r>
    </w:p>
    <w:p>
      <w:pPr>
        <w:spacing w:before="65"/>
        <w:ind w:firstLine="640"/>
      </w:pPr>
      <w:r>
        <w:rPr>
          <w:rFonts w:hint="eastAsia"/>
        </w:rPr>
        <w:t>完善避难场所和疏散通道体系，健全各类防灾设施体系，加强生命线系统应急保障能力，优化应急服务设施布局，构建基于社区层面的防灾生活圈，通过灾害隐患点治理全面降低镇区的灾害风险，提高镇区的防灾减灾能力。</w:t>
      </w:r>
    </w:p>
    <w:p>
      <w:pPr>
        <w:pStyle w:val="4"/>
      </w:pPr>
      <w:r>
        <w:rPr>
          <w:rFonts w:hint="eastAsia"/>
        </w:rPr>
        <w:t>综合防灾空间布局</w:t>
      </w:r>
    </w:p>
    <w:p>
      <w:pPr>
        <w:ind w:firstLine="640"/>
      </w:pPr>
      <w:r>
        <w:rPr>
          <w:rFonts w:hint="eastAsia"/>
        </w:rPr>
        <w:t>1</w:t>
      </w:r>
      <w:r>
        <w:t>.防洪排涝规划</w:t>
      </w:r>
    </w:p>
    <w:p>
      <w:pPr>
        <w:ind w:firstLine="640"/>
      </w:pPr>
      <w:r>
        <w:rPr>
          <w:rFonts w:hint="eastAsia"/>
        </w:rPr>
        <w:t>防洪标准：</w:t>
      </w:r>
      <w:r>
        <w:rPr>
          <w:rFonts w:hint="eastAsia"/>
          <w:u w:val="single"/>
        </w:rPr>
        <w:t>马山口镇镇区按</w:t>
      </w:r>
      <w:r>
        <w:rPr>
          <w:u w:val="single"/>
        </w:rPr>
        <w:t>20年一遇标准设防</w:t>
      </w:r>
      <w:r>
        <w:t>；镇</w:t>
      </w:r>
      <w:r>
        <w:rPr>
          <w:rFonts w:hint="eastAsia"/>
        </w:rPr>
        <w:t>中部默河</w:t>
      </w:r>
      <w:r>
        <w:t>按20年一遇标准设防。</w:t>
      </w:r>
    </w:p>
    <w:p>
      <w:pPr>
        <w:ind w:firstLine="640"/>
      </w:pPr>
      <w:r>
        <w:rPr>
          <w:rFonts w:hint="eastAsia"/>
        </w:rPr>
        <w:t>内涝防治标准：马山口镇能有效应对不低于</w:t>
      </w:r>
      <w:r>
        <w:t>20年一遇的暴雨。</w:t>
      </w:r>
    </w:p>
    <w:p>
      <w:pPr>
        <w:ind w:firstLine="640"/>
      </w:pPr>
      <w:r>
        <w:rPr>
          <w:rFonts w:hint="eastAsia"/>
        </w:rPr>
        <w:t>2</w:t>
      </w:r>
      <w:r>
        <w:t>.消防规划</w:t>
      </w:r>
    </w:p>
    <w:p>
      <w:pPr>
        <w:ind w:firstLine="640"/>
      </w:pPr>
      <w:r>
        <w:rPr>
          <w:rFonts w:hint="eastAsia"/>
        </w:rPr>
        <w:t>镇区按照普通消防站接警后</w:t>
      </w:r>
      <w:r>
        <w:t>5分钟内消防队可以到达责任区边缘为原则，及消防站责任区范围小于7平方千米的要求设置消防站，</w:t>
      </w:r>
      <w:r>
        <w:rPr>
          <w:rFonts w:hint="eastAsia"/>
        </w:rPr>
        <w:t>规划在镇区南侧规划建设1处一级乡镇专职消防队</w:t>
      </w:r>
      <w:r>
        <w:t>。</w:t>
      </w:r>
    </w:p>
    <w:p>
      <w:pPr>
        <w:ind w:firstLine="640"/>
      </w:pPr>
      <w:r>
        <w:rPr>
          <w:rFonts w:hint="eastAsia"/>
        </w:rPr>
        <w:t>3</w:t>
      </w:r>
      <w:r>
        <w:t>.抗震防灾规划</w:t>
      </w:r>
    </w:p>
    <w:p>
      <w:pPr>
        <w:ind w:firstLine="640"/>
      </w:pPr>
      <w:r>
        <w:rPr>
          <w:rFonts w:hint="eastAsia"/>
        </w:rPr>
        <w:t>马山口镇地震烈度为</w:t>
      </w:r>
      <w:r>
        <w:t>7度。新建、扩建、改建建设工程应当达到抗震设防要求；镇区生命线工程（给排水、供电、通讯、道路、桥梁、堤坝等）及主要公共建筑（如体育馆、学校、卫生院、消防站、重要仓库等）按照8度设防。</w:t>
      </w:r>
    </w:p>
    <w:p>
      <w:pPr>
        <w:ind w:firstLine="640"/>
      </w:pPr>
      <w:r>
        <w:rPr>
          <w:rFonts w:hint="eastAsia"/>
        </w:rPr>
        <w:t>利用镇区公园、绿地、广场、学校、体育场、空地等作为避震疏散场地。固定避难场所人均有效避难面积不小于</w:t>
      </w:r>
      <w:r>
        <w:t>2.0平方米。</w:t>
      </w:r>
    </w:p>
    <w:p>
      <w:pPr>
        <w:ind w:firstLine="640"/>
      </w:pPr>
      <w:r>
        <w:rPr>
          <w:rFonts w:hint="eastAsia"/>
        </w:rPr>
        <w:t>将镇区主次干道、过境公路作为主要避震疏散通道。</w:t>
      </w:r>
    </w:p>
    <w:p>
      <w:pPr>
        <w:ind w:firstLine="640"/>
      </w:pPr>
      <w:r>
        <w:rPr>
          <w:rFonts w:hint="eastAsia"/>
        </w:rPr>
        <w:t>救灾干道：省道</w:t>
      </w:r>
      <w:r>
        <w:t>240、省道328和县道002</w:t>
      </w:r>
      <w:r>
        <w:rPr>
          <w:rFonts w:hint="eastAsia"/>
        </w:rPr>
        <w:t>。</w:t>
      </w:r>
    </w:p>
    <w:p>
      <w:pPr>
        <w:ind w:firstLine="640"/>
      </w:pPr>
      <w:r>
        <w:rPr>
          <w:rFonts w:hint="eastAsia"/>
        </w:rPr>
        <w:t>疏散主干道：以郑马大道、利民街等镇区主干道为主要疏散干道。</w:t>
      </w:r>
    </w:p>
    <w:p>
      <w:pPr>
        <w:ind w:firstLine="640"/>
      </w:pPr>
      <w:r>
        <w:rPr>
          <w:rFonts w:hint="eastAsia"/>
        </w:rPr>
        <w:t>4</w:t>
      </w:r>
      <w:r>
        <w:t>.突发公共卫生事件防御规划</w:t>
      </w:r>
    </w:p>
    <w:p>
      <w:pPr>
        <w:ind w:firstLine="640"/>
      </w:pPr>
      <w:r>
        <w:rPr>
          <w:rFonts w:hint="eastAsia"/>
        </w:rPr>
        <w:t>出现灾情、疫情时，在镇区主入口设公安劝阻站，控制疏导车辆、人流进出镇区，保证救灾车辆顺利通行，所有出入疫区的人流、车流经过消毒，防止疫情扩散。</w:t>
      </w:r>
    </w:p>
    <w:p>
      <w:pPr>
        <w:pStyle w:val="4"/>
      </w:pPr>
      <w:r>
        <w:rPr>
          <w:rFonts w:hint="eastAsia"/>
        </w:rPr>
        <w:t>综合防灾应急服务设施规划</w:t>
      </w:r>
    </w:p>
    <w:p>
      <w:pPr>
        <w:ind w:firstLine="640"/>
      </w:pPr>
      <w:r>
        <w:rPr>
          <w:rFonts w:hint="eastAsia"/>
        </w:rPr>
        <w:t>1</w:t>
      </w:r>
      <w:r>
        <w:t>.应急指挥设施体系</w:t>
      </w:r>
    </w:p>
    <w:p>
      <w:pPr>
        <w:ind w:firstLine="640"/>
      </w:pPr>
      <w:r>
        <w:rPr>
          <w:rFonts w:hint="eastAsia"/>
        </w:rPr>
        <w:t>镇区设置应急指挥中心</w:t>
      </w:r>
      <w:r>
        <w:t>1处，位于镇人民政府。</w:t>
      </w:r>
    </w:p>
    <w:p>
      <w:pPr>
        <w:ind w:firstLine="640"/>
      </w:pPr>
      <w:r>
        <w:rPr>
          <w:rFonts w:hint="eastAsia"/>
        </w:rPr>
        <w:t>2</w:t>
      </w:r>
      <w:r>
        <w:t>.应急救灾物资储备设施</w:t>
      </w:r>
    </w:p>
    <w:p>
      <w:pPr>
        <w:ind w:firstLine="640"/>
      </w:pPr>
      <w:r>
        <w:rPr>
          <w:rFonts w:hint="eastAsia"/>
        </w:rPr>
        <w:t>镇区设置救灾物资储备库，并配置装卸设备、技防设备、物资保管维护设备、交通工具（应急调度车、救灾物资转运车）与通讯调度设备等。</w:t>
      </w:r>
    </w:p>
    <w:p>
      <w:pPr>
        <w:ind w:firstLine="640"/>
      </w:pPr>
      <w:r>
        <w:rPr>
          <w:rFonts w:hint="eastAsia"/>
        </w:rPr>
        <w:t>3</w:t>
      </w:r>
      <w:r>
        <w:t>.提升应急医疗服务能力</w:t>
      </w:r>
    </w:p>
    <w:p>
      <w:pPr>
        <w:ind w:firstLine="640"/>
      </w:pPr>
      <w:r>
        <w:rPr>
          <w:rFonts w:hint="eastAsia"/>
        </w:rPr>
        <w:t>镇区依托卫生院设置镇级应急医疗设施。</w:t>
      </w:r>
    </w:p>
    <w:p>
      <w:pPr>
        <w:ind w:firstLine="640"/>
      </w:pPr>
      <w:r>
        <w:rPr>
          <w:rFonts w:hint="eastAsia"/>
        </w:rPr>
        <w:t>4</w:t>
      </w:r>
      <w:r>
        <w:t>.生命线系统</w:t>
      </w:r>
    </w:p>
    <w:p>
      <w:pPr>
        <w:ind w:firstLine="640"/>
      </w:pPr>
      <w:r>
        <w:rPr>
          <w:rFonts w:hint="eastAsia"/>
        </w:rPr>
        <w:t>供水系统：水厂建设标准应满足放在要求，在每个紧急避难场所设取水井供灾时使用；配备送水车以备应急时使用。</w:t>
      </w:r>
    </w:p>
    <w:p>
      <w:pPr>
        <w:ind w:firstLine="640"/>
      </w:pPr>
      <w:r>
        <w:rPr>
          <w:rFonts w:hint="eastAsia"/>
        </w:rPr>
        <w:t>供电系统：避震疏散场所储备必要的供电设施（小型发电机、应急电源接入开关柜），特别是政府救灾部门、卫生院、派出所、消防部门。配备一定数量的移动发电车，保障灾害时救灾相关部门发电机出现故障时的供电。</w:t>
      </w:r>
    </w:p>
    <w:p>
      <w:pPr>
        <w:ind w:firstLine="640"/>
      </w:pPr>
      <w:r>
        <w:rPr>
          <w:rFonts w:hint="eastAsia"/>
        </w:rPr>
        <w:t>通信系统：为政府救灾部门、卫生院、派出所、消防部门配备防灾通信机房及无线基站，采用专线光缆与重要通信机楼联络。配备一定数量的移动通信车、全球卫星通信设备，加强重大灾害时政府救灾部门、卫生院、派出所、消防部门的通信能力。</w:t>
      </w:r>
    </w:p>
    <w:p>
      <w:pPr>
        <w:ind w:firstLine="640"/>
      </w:pPr>
      <w:r>
        <w:rPr>
          <w:rFonts w:hint="eastAsia"/>
        </w:rPr>
        <w:t>燃气系统：维修和改造现有燃气系统薄弱环节；加强新铺设管道抗灾能力；设置防灾自动化控制系统；燃料供应点（加油加气站）由防灾指挥部统一调配；设立一网统管燃气管理系统，燃气设施增加互联网传感器；配备一定数量的燃气应急泄露疏散设备移动发电车移动通信车抢险维修维护车辆。</w:t>
      </w:r>
    </w:p>
    <w:bookmarkEnd w:id="166"/>
    <w:p>
      <w:pPr>
        <w:pStyle w:val="3"/>
        <w:spacing w:before="326" w:beforeLines="100" w:after="326" w:afterLines="100"/>
      </w:pPr>
      <w:bookmarkStart w:id="167" w:name="_Toc185606087"/>
      <w:r>
        <w:rPr>
          <w:rFonts w:hint="eastAsia"/>
        </w:rPr>
        <w:t>控制线划定</w:t>
      </w:r>
      <w:bookmarkEnd w:id="167"/>
    </w:p>
    <w:p>
      <w:pPr>
        <w:pStyle w:val="4"/>
      </w:pPr>
      <w:bookmarkStart w:id="168" w:name="_Hlk142924641"/>
      <w:r>
        <w:rPr>
          <w:rFonts w:hint="eastAsia"/>
        </w:rPr>
        <w:t>城市黄</w:t>
      </w:r>
      <w:r>
        <w:t>线</w:t>
      </w:r>
    </w:p>
    <w:bookmarkEnd w:id="168"/>
    <w:p>
      <w:pPr>
        <w:spacing w:before="65"/>
        <w:ind w:firstLine="640"/>
        <w:rPr>
          <w:u w:val="single"/>
        </w:rPr>
      </w:pPr>
      <w:r>
        <w:rPr>
          <w:rFonts w:hint="eastAsia"/>
          <w:u w:val="single"/>
        </w:rPr>
        <w:t>城市黄线包括马山口镇汽车客运站、郑湾</w:t>
      </w:r>
      <w:r>
        <w:rPr>
          <w:u w:val="single"/>
        </w:rPr>
        <w:t>35KV变电站、马山口污水处理厂和马山口消防站，面积分别为0.26公顷、0.54公顷、1.38公顷和0.13公顷</w:t>
      </w:r>
      <w:r>
        <w:rPr>
          <w:rFonts w:hint="eastAsia"/>
          <w:u w:val="single"/>
        </w:rPr>
        <w:t>。</w:t>
      </w:r>
    </w:p>
    <w:p>
      <w:pPr>
        <w:spacing w:before="65"/>
        <w:ind w:firstLine="640"/>
        <w:rPr>
          <w:u w:val="single"/>
        </w:rPr>
      </w:pPr>
      <w:r>
        <w:rPr>
          <w:rFonts w:hint="eastAsia"/>
          <w:u w:val="single"/>
        </w:rPr>
        <w:t>城市黄线内不得改作他用，不得违反法律法规、强制性标准以及批准的规划进行开发建设。</w:t>
      </w:r>
      <w:r>
        <w:rPr>
          <w:u w:val="single"/>
        </w:rPr>
        <w:t>违反国家有关技术标准和规范进行建设；未经批准，改装、迁移或拆毁原有城市基础设施；其他损坏城市基础设施或影响城市基础设施安全和正常运转的行为。</w:t>
      </w:r>
    </w:p>
    <w:p>
      <w:pPr>
        <w:pStyle w:val="4"/>
      </w:pPr>
      <w:bookmarkStart w:id="169" w:name="_Hlk142924653"/>
      <w:bookmarkStart w:id="170" w:name="_Hlk142924647"/>
      <w:r>
        <w:rPr>
          <w:rFonts w:hint="eastAsia"/>
        </w:rPr>
        <w:t>城市绿线</w:t>
      </w:r>
    </w:p>
    <w:bookmarkEnd w:id="169"/>
    <w:p>
      <w:pPr>
        <w:spacing w:before="65"/>
        <w:ind w:firstLine="640"/>
        <w:rPr>
          <w:u w:val="single"/>
        </w:rPr>
      </w:pPr>
      <w:r>
        <w:rPr>
          <w:rFonts w:hint="eastAsia"/>
          <w:u w:val="single"/>
        </w:rPr>
        <w:t>城市绿线控制范围共</w:t>
      </w:r>
      <w:r>
        <w:rPr>
          <w:u w:val="single"/>
        </w:rPr>
        <w:t>5.6公顷，为规划范围内的</w:t>
      </w:r>
      <w:r>
        <w:rPr>
          <w:rFonts w:hint="eastAsia"/>
          <w:u w:val="single"/>
        </w:rPr>
        <w:t>结构性的</w:t>
      </w:r>
      <w:r>
        <w:rPr>
          <w:u w:val="single"/>
        </w:rPr>
        <w:t>公园绿地和广场用地</w:t>
      </w:r>
      <w:r>
        <w:rPr>
          <w:rFonts w:hint="eastAsia"/>
          <w:u w:val="single"/>
        </w:rPr>
        <w:t>。</w:t>
      </w:r>
    </w:p>
    <w:p>
      <w:pPr>
        <w:spacing w:before="65"/>
        <w:ind w:firstLine="640"/>
      </w:pPr>
      <w:r>
        <w:rPr>
          <w:rFonts w:hint="eastAsia"/>
          <w:u w:val="single"/>
        </w:rPr>
        <w:t>城市绿线内的用地，不得改作他用，不得违反法律法规、强制性标准以及批准的规划进行开发建设。控制线内的用地，不得改作他用，不得违反法律法规、强制性标准以及批准的规划进行开发建设。有关部门不得违反规定，批准在城市绿线范围内进行建设。因建设或者其他特殊情况，需要临时占用城市绿线内用地的，必须依法办理相关审批手续。在城市绿线范围内，不符合规划要求的建筑物、构筑物及其他设施应当限期迁出。任何单位和个人不得在绿地控制线范围内进行拦河截溪、取土采石、设置垃圾堆场、排放污水以及其他对生态环境构成破坏的活动。近期不进行绿化建设的规划绿地范围内的建设活动，应当进行生态环境影响分析，并按照《中华人民共和国城乡规划法》的规定，予以严格控制</w:t>
      </w:r>
      <w:r>
        <w:rPr>
          <w:rFonts w:hint="eastAsia"/>
        </w:rPr>
        <w:t>。</w:t>
      </w:r>
    </w:p>
    <w:p>
      <w:pPr>
        <w:pStyle w:val="4"/>
      </w:pPr>
      <w:r>
        <w:rPr>
          <w:rFonts w:hint="eastAsia"/>
        </w:rPr>
        <w:t>城市蓝线</w:t>
      </w:r>
    </w:p>
    <w:p>
      <w:pPr>
        <w:spacing w:before="65"/>
        <w:ind w:firstLine="640"/>
        <w:rPr>
          <w:u w:val="single"/>
        </w:rPr>
      </w:pPr>
      <w:r>
        <w:rPr>
          <w:rFonts w:hint="eastAsia"/>
          <w:u w:val="single"/>
        </w:rPr>
        <w:t>城市蓝线主要控制默河两侧约</w:t>
      </w:r>
      <w:r>
        <w:rPr>
          <w:u w:val="single"/>
        </w:rPr>
        <w:t>100到170米的控制线</w:t>
      </w:r>
      <w:r>
        <w:rPr>
          <w:rFonts w:hint="eastAsia"/>
          <w:u w:val="single"/>
        </w:rPr>
        <w:t>。</w:t>
      </w:r>
    </w:p>
    <w:p>
      <w:pPr>
        <w:spacing w:before="65"/>
        <w:ind w:firstLine="640"/>
        <w:rPr>
          <w:u w:val="single"/>
        </w:rPr>
      </w:pPr>
      <w:r>
        <w:rPr>
          <w:rFonts w:hint="eastAsia"/>
          <w:u w:val="single"/>
        </w:rPr>
        <w:t>在城市蓝线内禁止擅自填埋、占用城市蓝线内水域；禁止影响水系安全的爆破、采石、取土；禁止擅自建设各类排污设施；禁止其它对城市水系保护构成破坏的活动。</w:t>
      </w:r>
    </w:p>
    <w:p>
      <w:pPr>
        <w:spacing w:before="65"/>
        <w:ind w:firstLine="640"/>
        <w:rPr>
          <w:u w:val="single"/>
        </w:rPr>
      </w:pPr>
      <w:r>
        <w:rPr>
          <w:rFonts w:hint="eastAsia"/>
          <w:u w:val="single"/>
        </w:rPr>
        <w:t>在城市蓝线内进行各项建设，必须符合经批准的国土空间规划。</w:t>
      </w:r>
    </w:p>
    <w:p>
      <w:pPr>
        <w:spacing w:before="65"/>
        <w:ind w:firstLine="640"/>
      </w:pPr>
      <w:r>
        <w:rPr>
          <w:rFonts w:hint="eastAsia"/>
          <w:u w:val="single"/>
        </w:rPr>
        <w:t>在城市蓝线内新建、改建、扩建各类建筑物、构筑物、道路、管线和其他工程设施，应当依法向建设主管部门（城乡规划主管部门）申请办理城市规划许可，并依照有关法律、法规办理相关手续</w:t>
      </w:r>
      <w:r>
        <w:rPr>
          <w:rFonts w:hint="eastAsia"/>
        </w:rPr>
        <w:t>。</w:t>
      </w:r>
    </w:p>
    <w:bookmarkEnd w:id="170"/>
    <w:p>
      <w:pPr>
        <w:spacing w:before="65"/>
        <w:ind w:firstLine="640"/>
      </w:pPr>
    </w:p>
    <w:p>
      <w:pPr>
        <w:spacing w:before="65"/>
        <w:ind w:firstLine="640"/>
      </w:pPr>
      <w:r>
        <w:br w:type="page"/>
      </w:r>
    </w:p>
    <w:p>
      <w:pPr>
        <w:ind w:firstLine="640"/>
      </w:pPr>
    </w:p>
    <w:p>
      <w:pPr>
        <w:pStyle w:val="2"/>
        <w:spacing w:before="489" w:beforeLines="150" w:after="489" w:afterLines="150"/>
      </w:pPr>
      <w:bookmarkStart w:id="171" w:name="_Toc221004626"/>
      <w:bookmarkStart w:id="172" w:name="_Toc185606075"/>
      <w:bookmarkStart w:id="173" w:name="_Toc211258499"/>
      <w:r>
        <w:rPr>
          <w:rFonts w:hint="eastAsia"/>
        </w:rPr>
        <w:t>土地综合整治与生态修复</w:t>
      </w:r>
      <w:bookmarkEnd w:id="171"/>
      <w:bookmarkEnd w:id="172"/>
      <w:bookmarkEnd w:id="173"/>
    </w:p>
    <w:p>
      <w:pPr>
        <w:pStyle w:val="3"/>
        <w:spacing w:before="326" w:beforeLines="100" w:after="326" w:afterLines="100"/>
      </w:pPr>
      <w:bookmarkStart w:id="174" w:name="_Toc185606076"/>
      <w:bookmarkStart w:id="175" w:name="_Toc11093"/>
      <w:bookmarkStart w:id="176" w:name="_Hlk142899891"/>
      <w:bookmarkStart w:id="177" w:name="_Toc27152"/>
      <w:r>
        <w:rPr>
          <w:rFonts w:hint="eastAsia"/>
        </w:rPr>
        <w:t>土地综合整治</w:t>
      </w:r>
      <w:bookmarkEnd w:id="174"/>
      <w:bookmarkEnd w:id="175"/>
      <w:bookmarkEnd w:id="176"/>
    </w:p>
    <w:p>
      <w:pPr>
        <w:pStyle w:val="4"/>
      </w:pPr>
      <w:r>
        <w:rPr>
          <w:rFonts w:hint="eastAsia"/>
        </w:rPr>
        <w:t>落实</w:t>
      </w:r>
      <w:r>
        <w:t>整治</w:t>
      </w:r>
      <w:r>
        <w:rPr>
          <w:rFonts w:hint="eastAsia"/>
        </w:rPr>
        <w:t>任务</w:t>
      </w:r>
    </w:p>
    <w:p>
      <w:pPr>
        <w:spacing w:before="65"/>
        <w:ind w:firstLine="640"/>
        <w:rPr>
          <w:rFonts w:ascii="Times New Roman" w:hAnsi="Times New Roman"/>
        </w:rPr>
      </w:pPr>
      <w:r>
        <w:rPr>
          <w:rFonts w:hint="eastAsia"/>
        </w:rPr>
        <w:t>规划期</w:t>
      </w:r>
      <w:r>
        <w:t>内，落实</w:t>
      </w:r>
      <w:r>
        <w:rPr>
          <w:rFonts w:ascii="Times New Roman" w:hAnsi="Times New Roman"/>
          <w:lang w:bidi="ar"/>
        </w:rPr>
        <w:t>土地整治补充耕地</w:t>
      </w:r>
      <w:r>
        <w:rPr>
          <w:rFonts w:hint="eastAsia" w:ascii="Times New Roman" w:hAnsi="Times New Roman"/>
          <w:lang w:bidi="ar"/>
        </w:rPr>
        <w:t>任务</w:t>
      </w:r>
      <w:r>
        <w:rPr>
          <w:rFonts w:ascii="Times New Roman" w:hAnsi="Times New Roman"/>
          <w:lang w:bidi="ar"/>
        </w:rPr>
        <w:t>不低于377.39公顷，</w:t>
      </w:r>
      <w:r>
        <w:rPr>
          <w:rFonts w:hint="eastAsia" w:ascii="Times New Roman" w:hAnsi="Times New Roman" w:cs="宋体"/>
          <w:lang w:bidi="ar"/>
        </w:rPr>
        <w:t>其中农用地整理补充耕地</w:t>
      </w:r>
      <w:r>
        <w:rPr>
          <w:rFonts w:ascii="Times New Roman" w:hAnsi="Times New Roman" w:cs="宋体"/>
          <w:lang w:bidi="ar"/>
        </w:rPr>
        <w:t>规模</w:t>
      </w:r>
      <w:r>
        <w:rPr>
          <w:rFonts w:ascii="Times New Roman" w:hAnsi="Times New Roman"/>
          <w:lang w:bidi="ar"/>
        </w:rPr>
        <w:t>238.15</w:t>
      </w:r>
      <w:r>
        <w:rPr>
          <w:rFonts w:hint="eastAsia" w:ascii="Times New Roman" w:hAnsi="Times New Roman" w:cs="宋体"/>
          <w:lang w:bidi="ar"/>
        </w:rPr>
        <w:t>公顷，农村建设用地整理补充耕地规模</w:t>
      </w:r>
      <w:r>
        <w:rPr>
          <w:rFonts w:ascii="Times New Roman" w:hAnsi="Times New Roman"/>
          <w:lang w:bidi="ar"/>
        </w:rPr>
        <w:t>106.73</w:t>
      </w:r>
      <w:r>
        <w:rPr>
          <w:rFonts w:hint="eastAsia" w:ascii="Times New Roman" w:hAnsi="Times New Roman" w:cs="宋体"/>
          <w:lang w:bidi="ar"/>
        </w:rPr>
        <w:t>公顷，耕地后备</w:t>
      </w:r>
      <w:r>
        <w:rPr>
          <w:rFonts w:ascii="Times New Roman" w:hAnsi="Times New Roman" w:cs="宋体"/>
          <w:lang w:bidi="ar"/>
        </w:rPr>
        <w:t>资源</w:t>
      </w:r>
      <w:r>
        <w:rPr>
          <w:rFonts w:hint="eastAsia" w:ascii="Times New Roman" w:hAnsi="Times New Roman" w:cs="宋体"/>
          <w:lang w:bidi="ar"/>
        </w:rPr>
        <w:t>开发补充耕地规模</w:t>
      </w:r>
      <w:r>
        <w:rPr>
          <w:rFonts w:ascii="Times New Roman" w:hAnsi="Times New Roman"/>
          <w:lang w:bidi="ar"/>
        </w:rPr>
        <w:t>32.51</w:t>
      </w:r>
      <w:r>
        <w:rPr>
          <w:rFonts w:hint="eastAsia" w:ascii="Times New Roman" w:hAnsi="Times New Roman" w:cs="宋体"/>
          <w:lang w:bidi="ar"/>
        </w:rPr>
        <w:t>公顷。</w:t>
      </w:r>
      <w:r>
        <w:rPr>
          <w:rFonts w:ascii="Times New Roman" w:hAnsi="Times New Roman"/>
          <w:lang w:bidi="ar"/>
        </w:rPr>
        <w:t>区域内永久基本农田全部建成为高标准农田。</w:t>
      </w:r>
    </w:p>
    <w:p>
      <w:pPr>
        <w:pStyle w:val="4"/>
      </w:pPr>
      <w:r>
        <w:rPr>
          <w:rFonts w:hint="eastAsia"/>
        </w:rPr>
        <w:t>整治</w:t>
      </w:r>
      <w:r>
        <w:t>重点区域</w:t>
      </w:r>
    </w:p>
    <w:p>
      <w:pPr>
        <w:ind w:firstLine="640"/>
      </w:pPr>
      <w:r>
        <w:rPr>
          <w:rFonts w:hint="eastAsia"/>
        </w:rPr>
        <w:t>1</w:t>
      </w:r>
      <w:r>
        <w:t>.</w:t>
      </w:r>
      <w:r>
        <w:rPr>
          <w:rFonts w:hint="eastAsia"/>
        </w:rPr>
        <w:t>土地</w:t>
      </w:r>
      <w:r>
        <w:t>综合整治重点区域</w:t>
      </w:r>
    </w:p>
    <w:p>
      <w:pPr>
        <w:ind w:firstLine="640"/>
      </w:pPr>
      <w:r>
        <w:rPr>
          <w:rFonts w:hint="eastAsia" w:ascii="Times New Roman" w:hAnsi="Times New Roman"/>
          <w:lang w:bidi="ar"/>
        </w:rPr>
        <w:t>包括白庙村、马坪村、三岔河村、唐河村、杏树坪村等</w:t>
      </w:r>
      <w:r>
        <w:rPr>
          <w:rFonts w:ascii="Times New Roman" w:hAnsi="Times New Roman"/>
          <w:lang w:bidi="ar"/>
        </w:rPr>
        <w:t>5个村庄。</w:t>
      </w:r>
      <w:r>
        <w:rPr>
          <w:rFonts w:hint="eastAsia" w:ascii="Times New Roman" w:hAnsi="Times New Roman"/>
          <w:lang w:bidi="ar"/>
        </w:rPr>
        <w:t>此区域</w:t>
      </w:r>
      <w:r>
        <w:rPr>
          <w:rFonts w:ascii="Times New Roman" w:hAnsi="Times New Roman"/>
          <w:lang w:bidi="ar"/>
        </w:rPr>
        <w:t>宜</w:t>
      </w:r>
      <w:r>
        <w:rPr>
          <w:rFonts w:hint="eastAsia" w:ascii="Times New Roman" w:hAnsi="Times New Roman"/>
          <w:lang w:bidi="ar"/>
        </w:rPr>
        <w:t>整体推进农用地整理、建设用地整理和生态保护修复，优化生产、生活、生态空间，促进土地节约集约利用，改善农村人居环境，加快推进农业农村现代化。</w:t>
      </w:r>
    </w:p>
    <w:p>
      <w:pPr>
        <w:ind w:firstLine="640"/>
      </w:pPr>
      <w:r>
        <w:rPr>
          <w:rFonts w:hint="eastAsia"/>
        </w:rPr>
        <w:t>2</w:t>
      </w:r>
      <w:r>
        <w:t>.</w:t>
      </w:r>
      <w:r>
        <w:rPr>
          <w:rFonts w:hint="eastAsia"/>
        </w:rPr>
        <w:t>农用地</w:t>
      </w:r>
      <w:r>
        <w:t>整理重点区域</w:t>
      </w:r>
    </w:p>
    <w:p>
      <w:pPr>
        <w:ind w:firstLine="640"/>
      </w:pPr>
      <w:r>
        <w:rPr>
          <w:rFonts w:hint="eastAsia" w:ascii="Times New Roman" w:hAnsi="Times New Roman"/>
          <w:lang w:bidi="ar"/>
        </w:rPr>
        <w:t>包括庵北村、河口村、花北村、李井村、王场村、郑湾村、老庄村等</w:t>
      </w:r>
      <w:r>
        <w:rPr>
          <w:rFonts w:ascii="Times New Roman" w:hAnsi="Times New Roman"/>
          <w:lang w:bidi="ar"/>
        </w:rPr>
        <w:t>7个村庄。</w:t>
      </w:r>
      <w:r>
        <w:rPr>
          <w:rFonts w:hint="eastAsia" w:ascii="Times New Roman" w:hAnsi="Times New Roman"/>
          <w:lang w:bidi="ar"/>
        </w:rPr>
        <w:t>此区域</w:t>
      </w:r>
      <w:r>
        <w:rPr>
          <w:rFonts w:ascii="Times New Roman" w:hAnsi="Times New Roman"/>
          <w:lang w:bidi="ar"/>
        </w:rPr>
        <w:t>宜</w:t>
      </w:r>
      <w:r>
        <w:rPr>
          <w:rFonts w:hint="eastAsia"/>
          <w:lang w:bidi="ar"/>
        </w:rPr>
        <w:t>统筹推进低效林草地和园林地整理、农田基础设施建设和现状耕地提质改造等，加快推进高标准农田建设，夯实农业现代化基础。</w:t>
      </w:r>
    </w:p>
    <w:p>
      <w:pPr>
        <w:ind w:firstLine="640"/>
      </w:pPr>
      <w:r>
        <w:rPr>
          <w:rFonts w:hint="eastAsia"/>
        </w:rPr>
        <w:t>3</w:t>
      </w:r>
      <w:r>
        <w:t>.</w:t>
      </w:r>
      <w:r>
        <w:rPr>
          <w:rFonts w:hint="eastAsia"/>
        </w:rPr>
        <w:t>农村</w:t>
      </w:r>
      <w:r>
        <w:t>建设用地整理重点区域</w:t>
      </w:r>
    </w:p>
    <w:p>
      <w:pPr>
        <w:ind w:firstLine="640"/>
      </w:pPr>
      <w:r>
        <w:rPr>
          <w:rFonts w:hint="eastAsia" w:ascii="Times New Roman" w:hAnsi="Times New Roman"/>
          <w:lang w:bidi="ar"/>
        </w:rPr>
        <w:t>包括杜洛庄村、朱庙村、三岔河村、唐河村、杏树坪村等</w:t>
      </w:r>
      <w:r>
        <w:rPr>
          <w:rFonts w:ascii="Times New Roman" w:hAnsi="Times New Roman"/>
          <w:lang w:bidi="ar"/>
        </w:rPr>
        <w:t>5</w:t>
      </w:r>
      <w:r>
        <w:rPr>
          <w:rFonts w:hint="eastAsia" w:ascii="Times New Roman" w:hAnsi="Times New Roman"/>
          <w:lang w:bidi="ar"/>
        </w:rPr>
        <w:t>个</w:t>
      </w:r>
      <w:r>
        <w:rPr>
          <w:rFonts w:ascii="Times New Roman" w:hAnsi="Times New Roman"/>
          <w:lang w:bidi="ar"/>
        </w:rPr>
        <w:t>村庄。</w:t>
      </w:r>
      <w:r>
        <w:rPr>
          <w:rFonts w:hint="eastAsia" w:ascii="Times New Roman" w:hAnsi="Times New Roman"/>
          <w:lang w:bidi="ar"/>
        </w:rPr>
        <w:t>此区域</w:t>
      </w:r>
      <w:r>
        <w:rPr>
          <w:rFonts w:ascii="Times New Roman" w:hAnsi="Times New Roman"/>
          <w:lang w:bidi="ar"/>
        </w:rPr>
        <w:t>宜</w:t>
      </w:r>
      <w:r>
        <w:rPr>
          <w:rFonts w:hint="eastAsia" w:ascii="Times New Roman" w:hAnsi="Times New Roman"/>
          <w:lang w:bidi="ar"/>
        </w:rPr>
        <w:t>统筹农村住宅建设、产业发展、公共服务、基础设施等各类建设用地，有序开展农村宅基地、工矿废弃地以及其他低效闲置建设用地整理，优化农村建设用地布局。</w:t>
      </w:r>
    </w:p>
    <w:p>
      <w:pPr>
        <w:ind w:firstLine="640"/>
      </w:pPr>
      <w:r>
        <w:rPr>
          <w:rFonts w:hint="eastAsia"/>
        </w:rPr>
        <w:t>4</w:t>
      </w:r>
      <w:r>
        <w:t>.</w:t>
      </w:r>
      <w:r>
        <w:rPr>
          <w:rFonts w:hint="eastAsia"/>
        </w:rPr>
        <w:t>耕地</w:t>
      </w:r>
      <w:r>
        <w:t>后备资源开发重点区域</w:t>
      </w:r>
    </w:p>
    <w:p>
      <w:pPr>
        <w:ind w:firstLine="640"/>
      </w:pPr>
      <w:r>
        <w:rPr>
          <w:rFonts w:hint="eastAsia" w:ascii="Times New Roman" w:hAnsi="Times New Roman"/>
          <w:lang w:bidi="ar"/>
        </w:rPr>
        <w:t>包括庵北村、河口村等</w:t>
      </w:r>
      <w:r>
        <w:rPr>
          <w:rFonts w:ascii="Times New Roman" w:hAnsi="Times New Roman"/>
          <w:lang w:bidi="ar"/>
        </w:rPr>
        <w:t>2个村庄</w:t>
      </w:r>
      <w:r>
        <w:rPr>
          <w:rFonts w:hint="eastAsia" w:ascii="Times New Roman" w:hAnsi="Times New Roman"/>
          <w:lang w:bidi="ar"/>
        </w:rPr>
        <w:t>范围内</w:t>
      </w:r>
      <w:r>
        <w:rPr>
          <w:rFonts w:ascii="Times New Roman" w:hAnsi="Times New Roman"/>
          <w:lang w:bidi="ar"/>
        </w:rPr>
        <w:t>适宜</w:t>
      </w:r>
      <w:r>
        <w:rPr>
          <w:rFonts w:hint="eastAsia" w:ascii="Times New Roman" w:hAnsi="Times New Roman"/>
          <w:lang w:bidi="ar"/>
        </w:rPr>
        <w:t>开发</w:t>
      </w:r>
      <w:r>
        <w:rPr>
          <w:rFonts w:ascii="Times New Roman" w:hAnsi="Times New Roman"/>
          <w:lang w:bidi="ar"/>
        </w:rPr>
        <w:t>区域。</w:t>
      </w:r>
      <w:r>
        <w:rPr>
          <w:rFonts w:hint="eastAsia" w:ascii="Times New Roman" w:hAnsi="Times New Roman"/>
          <w:lang w:bidi="ar"/>
        </w:rPr>
        <w:t>此区域</w:t>
      </w:r>
      <w:r>
        <w:rPr>
          <w:rFonts w:ascii="Times New Roman" w:hAnsi="Times New Roman"/>
          <w:lang w:bidi="ar"/>
        </w:rPr>
        <w:t>应</w:t>
      </w:r>
      <w:r>
        <w:rPr>
          <w:rFonts w:hint="eastAsia" w:ascii="Times New Roman" w:hAnsi="Times New Roman"/>
          <w:lang w:bidi="ar"/>
        </w:rPr>
        <w:t>在保护和改善生态环境的前提下，因地制宜适度开发耕地后备资源。</w:t>
      </w:r>
    </w:p>
    <w:p>
      <w:pPr>
        <w:pStyle w:val="4"/>
      </w:pPr>
      <w:r>
        <w:rPr>
          <w:rFonts w:hint="eastAsia"/>
        </w:rPr>
        <w:t>整治</w:t>
      </w:r>
      <w:r>
        <w:t>重点工程</w:t>
      </w:r>
    </w:p>
    <w:p>
      <w:pPr>
        <w:ind w:firstLine="640"/>
        <w:rPr>
          <w:bCs/>
        </w:rPr>
      </w:pPr>
      <w:r>
        <w:rPr>
          <w:rFonts w:hint="eastAsia"/>
          <w:bCs/>
        </w:rPr>
        <w:t>全域</w:t>
      </w:r>
      <w:r>
        <w:rPr>
          <w:bCs/>
        </w:rPr>
        <w:t>土地综合整治项目。</w:t>
      </w:r>
      <w:r>
        <w:rPr>
          <w:rFonts w:hint="eastAsia"/>
          <w:bCs/>
        </w:rPr>
        <w:t>马山口镇和七里坪乡综合安排国土综合整治重点项目——马山口镇、七里坪乡蚌峪村等</w:t>
      </w:r>
      <w:r>
        <w:rPr>
          <w:bCs/>
        </w:rPr>
        <w:t>11个村全域土地综合整治项目，</w:t>
      </w:r>
      <w:r>
        <w:rPr>
          <w:rFonts w:hint="eastAsia"/>
          <w:bCs/>
        </w:rPr>
        <w:t>开展</w:t>
      </w:r>
      <w:r>
        <w:rPr>
          <w:bCs/>
        </w:rPr>
        <w:t>全域土地综合整治项目，</w:t>
      </w:r>
      <w:r>
        <w:rPr>
          <w:rFonts w:hint="eastAsia"/>
          <w:bCs/>
        </w:rPr>
        <w:t>包含农用地整治、建设用地整治、乡村生态保护修复、乡村振兴及人居环境提升等。综合</w:t>
      </w:r>
      <w:r>
        <w:rPr>
          <w:bCs/>
        </w:rPr>
        <w:t>整治过程中，</w:t>
      </w:r>
      <w:r>
        <w:rPr>
          <w:rFonts w:hint="eastAsia"/>
          <w:bCs/>
        </w:rPr>
        <w:t>以</w:t>
      </w:r>
      <w:r>
        <w:rPr>
          <w:bCs/>
        </w:rPr>
        <w:t>整治重点区域为引，分别侧重</w:t>
      </w:r>
      <w:r>
        <w:rPr>
          <w:rFonts w:hint="eastAsia"/>
          <w:bCs/>
        </w:rPr>
        <w:t>综合</w:t>
      </w:r>
      <w:r>
        <w:rPr>
          <w:bCs/>
        </w:rPr>
        <w:t>整治</w:t>
      </w:r>
      <w:r>
        <w:rPr>
          <w:rFonts w:hint="eastAsia"/>
          <w:bCs/>
        </w:rPr>
        <w:t>、</w:t>
      </w:r>
      <w:r>
        <w:rPr>
          <w:bCs/>
        </w:rPr>
        <w:t>农用地整理、农村建设用地整理、耕地后备资源开发等</w:t>
      </w:r>
      <w:r>
        <w:rPr>
          <w:rFonts w:hint="eastAsia"/>
          <w:bCs/>
        </w:rPr>
        <w:t>，分解</w:t>
      </w:r>
      <w:r>
        <w:rPr>
          <w:bCs/>
        </w:rPr>
        <w:t>补充耕地任务，完成耕地保护目标。</w:t>
      </w:r>
    </w:p>
    <w:p>
      <w:pPr>
        <w:pStyle w:val="3"/>
        <w:spacing w:before="326" w:beforeLines="100" w:after="326" w:afterLines="100"/>
      </w:pPr>
      <w:bookmarkStart w:id="178" w:name="_Toc185606077"/>
      <w:r>
        <w:rPr>
          <w:rFonts w:hint="eastAsia"/>
        </w:rPr>
        <w:t>国土空间生态修复</w:t>
      </w:r>
      <w:bookmarkEnd w:id="177"/>
      <w:bookmarkEnd w:id="178"/>
    </w:p>
    <w:p>
      <w:pPr>
        <w:pStyle w:val="4"/>
      </w:pPr>
      <w:bookmarkStart w:id="179" w:name="_Hlk150184672"/>
      <w:r>
        <w:rPr>
          <w:rFonts w:hint="eastAsia"/>
        </w:rPr>
        <w:t>落实生态修复目标</w:t>
      </w:r>
    </w:p>
    <w:p>
      <w:pPr>
        <w:spacing w:before="65"/>
        <w:ind w:firstLine="640"/>
      </w:pPr>
      <w:r>
        <w:rPr>
          <w:rFonts w:hint="eastAsia"/>
        </w:rPr>
        <w:t>马山口镇</w:t>
      </w:r>
      <w:r>
        <w:t>在内乡县生态修复分区中属于</w:t>
      </w:r>
      <w:r>
        <w:rPr>
          <w:rFonts w:hint="eastAsia"/>
        </w:rPr>
        <w:t>中南部丘岗生态农业区。生态修复主要目标是恢复与提升山区和河流生态系统健康、稳定性和服务功能，构建“山青、水秀、林茂、景美、灾少”的生态安全格局，丘陵平原地区以“控污染、提地力、强设施、建韧性”</w:t>
      </w:r>
      <w:r>
        <w:t>为核心，</w:t>
      </w:r>
      <w:bookmarkStart w:id="180" w:name="_Hlk200638543"/>
      <w:r>
        <w:t>实现农业生产与生态保护的协同发展</w:t>
      </w:r>
      <w:r>
        <w:rPr>
          <w:rFonts w:hint="eastAsia"/>
        </w:rPr>
        <w:t>，支撑农业生产和环境保护高质量发展，打造宜居宜业的美丽小城镇</w:t>
      </w:r>
      <w:bookmarkEnd w:id="180"/>
      <w:r>
        <w:rPr>
          <w:rFonts w:hint="eastAsia"/>
        </w:rPr>
        <w:t>。</w:t>
      </w:r>
    </w:p>
    <w:p>
      <w:pPr>
        <w:pStyle w:val="4"/>
      </w:pPr>
      <w:r>
        <w:rPr>
          <w:rFonts w:hint="eastAsia"/>
        </w:rPr>
        <w:t>生态修复重点区域</w:t>
      </w:r>
    </w:p>
    <w:p>
      <w:pPr>
        <w:ind w:firstLine="640"/>
      </w:pPr>
      <w:r>
        <w:rPr>
          <w:rFonts w:hint="eastAsia"/>
        </w:rPr>
        <w:t>1</w:t>
      </w:r>
      <w:r>
        <w:t>.</w:t>
      </w:r>
      <w:r>
        <w:rPr>
          <w:rFonts w:hint="eastAsia"/>
        </w:rPr>
        <w:t>自然保护地生态修复重点区域</w:t>
      </w:r>
    </w:p>
    <w:p>
      <w:pPr>
        <w:ind w:firstLine="640"/>
      </w:pPr>
      <w:r>
        <w:rPr>
          <w:rFonts w:hint="eastAsia"/>
        </w:rPr>
        <w:t>自然保护地生态修复重点区域主要集中在县域北部伏牛山生态屏障区生态保护红线内，包括河南内乡宝天曼国家地质公园。</w:t>
      </w:r>
    </w:p>
    <w:p>
      <w:pPr>
        <w:ind w:firstLine="640"/>
      </w:pPr>
      <w:r>
        <w:rPr>
          <w:rFonts w:hint="eastAsia"/>
        </w:rPr>
        <w:t>2</w:t>
      </w:r>
      <w:r>
        <w:t>.</w:t>
      </w:r>
      <w:r>
        <w:rPr>
          <w:rFonts w:hint="eastAsia"/>
        </w:rPr>
        <w:t>生态水系修复重点区域</w:t>
      </w:r>
    </w:p>
    <w:p>
      <w:pPr>
        <w:ind w:firstLine="640"/>
      </w:pPr>
      <w:r>
        <w:rPr>
          <w:rFonts w:hint="eastAsia"/>
        </w:rPr>
        <w:t>生态水系修复重点区域主要为镇域内默河及连通水库等区域。</w:t>
      </w:r>
    </w:p>
    <w:p>
      <w:pPr>
        <w:ind w:firstLine="640"/>
      </w:pPr>
      <w:r>
        <w:rPr>
          <w:rFonts w:hint="eastAsia"/>
        </w:rPr>
        <w:t>3</w:t>
      </w:r>
      <w:r>
        <w:t>.</w:t>
      </w:r>
      <w:r>
        <w:rPr>
          <w:rFonts w:hint="eastAsia"/>
        </w:rPr>
        <w:t>矿山生态修复重点区域</w:t>
      </w:r>
    </w:p>
    <w:p>
      <w:pPr>
        <w:ind w:firstLine="640"/>
      </w:pPr>
      <w:r>
        <w:t>全县矿产资源丰富，开采区域分布较为广泛，矿山生态修复区域主要分布于七里坪乡靳河—马山杏树坪一带。</w:t>
      </w:r>
    </w:p>
    <w:p>
      <w:pPr>
        <w:pStyle w:val="4"/>
      </w:pPr>
      <w:r>
        <w:rPr>
          <w:rFonts w:hint="eastAsia"/>
        </w:rPr>
        <w:t>生态修复重点工程</w:t>
      </w:r>
    </w:p>
    <w:p>
      <w:pPr>
        <w:ind w:firstLine="640"/>
      </w:pPr>
      <w:r>
        <w:rPr>
          <w:rFonts w:hint="eastAsia"/>
        </w:rPr>
        <w:t>1</w:t>
      </w:r>
      <w:r>
        <w:t>.</w:t>
      </w:r>
      <w:r>
        <w:rPr>
          <w:rFonts w:hint="eastAsia"/>
        </w:rPr>
        <w:t>生态水系修复项目</w:t>
      </w:r>
    </w:p>
    <w:p>
      <w:pPr>
        <w:ind w:firstLine="640"/>
      </w:pPr>
      <w:r>
        <w:rPr>
          <w:rFonts w:hint="eastAsia"/>
        </w:rPr>
        <w:t>针对内乡</w:t>
      </w:r>
      <w:r>
        <w:t>县域内</w:t>
      </w:r>
      <w:r>
        <w:rPr>
          <w:rFonts w:hint="eastAsia"/>
        </w:rPr>
        <w:t>湍河、默河、刁河</w:t>
      </w:r>
      <w:r>
        <w:t>等</w:t>
      </w:r>
      <w:r>
        <w:rPr>
          <w:rFonts w:hint="eastAsia"/>
        </w:rPr>
        <w:t>开展综合整治及生态建设项目，包括清淤疏浚、构建河道防洪体系、生态湿地建设、坑塘整治、水利基础设施建设等。</w:t>
      </w:r>
      <w:bookmarkStart w:id="181" w:name="_Hlk200638653"/>
      <w:r>
        <w:rPr>
          <w:rFonts w:hint="eastAsia"/>
        </w:rPr>
        <w:t>项目总规模</w:t>
      </w:r>
      <w:r>
        <w:t>6025亩，</w:t>
      </w:r>
      <w:bookmarkEnd w:id="181"/>
      <w:r>
        <w:t>主要集中于</w:t>
      </w:r>
      <w:r>
        <w:rPr>
          <w:rFonts w:hint="eastAsia"/>
        </w:rPr>
        <w:t>庵北村、茨园村、大寨村、杜洛庄村、樊岗村、河口村、河西村、花北村、石庙村、闫岗村、郑湾村、朱庙村等村庄</w:t>
      </w:r>
      <w:r>
        <w:t>。</w:t>
      </w:r>
    </w:p>
    <w:p>
      <w:pPr>
        <w:ind w:firstLine="640"/>
      </w:pPr>
      <w:bookmarkStart w:id="182" w:name="_Hlk200638611"/>
      <w:r>
        <w:rPr>
          <w:rFonts w:hint="eastAsia"/>
        </w:rPr>
        <w:t>2</w:t>
      </w:r>
      <w:r>
        <w:t>.</w:t>
      </w:r>
      <w:r>
        <w:rPr>
          <w:rFonts w:hint="eastAsia"/>
        </w:rPr>
        <w:t>南水北调中线工程水源地（南阳片区）历史遗留废弃矿山生态修复示范工程项目（内乡县）</w:t>
      </w:r>
    </w:p>
    <w:p>
      <w:pPr>
        <w:ind w:firstLine="640"/>
      </w:pPr>
      <w:r>
        <w:t>以矿产资源集中开采区为重点</w:t>
      </w:r>
      <w:r>
        <w:rPr>
          <w:rFonts w:hint="eastAsia"/>
        </w:rPr>
        <w:t>，通过地形重塑、废弃土地复垦、植被恢复、矿石渣清理、边坡治理、矿山土壤及水资源治理等措施，恢复矿山生态环境。项目总规模</w:t>
      </w:r>
      <w:r>
        <w:t>25</w:t>
      </w:r>
      <w:r>
        <w:rPr>
          <w:rFonts w:hint="eastAsia"/>
        </w:rPr>
        <w:t>亩，主要集中于花北村、河西村。至20</w:t>
      </w:r>
      <w:r>
        <w:t>2</w:t>
      </w:r>
      <w:r>
        <w:rPr>
          <w:rFonts w:hint="eastAsia"/>
        </w:rPr>
        <w:t>5年，</w:t>
      </w:r>
      <w:r>
        <w:t>历史遗留矿山完成上级下发任务，至2035年，历史遗留矿山实现应治尽治</w:t>
      </w:r>
      <w:r>
        <w:rPr>
          <w:rFonts w:hint="eastAsia"/>
        </w:rPr>
        <w:t>。</w:t>
      </w:r>
    </w:p>
    <w:bookmarkEnd w:id="182"/>
    <w:p>
      <w:pPr>
        <w:ind w:firstLine="640"/>
      </w:pPr>
      <w:r>
        <w:rPr>
          <w:rFonts w:hint="eastAsia"/>
        </w:rPr>
        <w:t>3</w:t>
      </w:r>
      <w:r>
        <w:t>.</w:t>
      </w:r>
      <w:r>
        <w:rPr>
          <w:rFonts w:hint="eastAsia"/>
        </w:rPr>
        <w:t>石漠化治理项目</w:t>
      </w:r>
    </w:p>
    <w:p>
      <w:pPr>
        <w:ind w:firstLine="640"/>
      </w:pPr>
      <w:r>
        <w:rPr>
          <w:rFonts w:hint="eastAsia"/>
        </w:rPr>
        <w:t>以石漠化区域为重点开展石漠化治理，在保护现有植被的基础上，以营造水源涵养林与水土保持林为重点，坚持人工造林、封山育林并举，宜造则造、宜封则封、宜林则林、宜灌则灌、宜草则草，遏制石漠化进一步发展。项目总规模2</w:t>
      </w:r>
      <w:r>
        <w:t>4100亩，主要集中于</w:t>
      </w:r>
      <w:r>
        <w:rPr>
          <w:rFonts w:hint="eastAsia"/>
        </w:rPr>
        <w:t>白庙村、李井村、王场村、马坪村、李井村、花北村、河口村和庵北村等村庄</w:t>
      </w:r>
      <w:r>
        <w:t>。</w:t>
      </w:r>
    </w:p>
    <w:bookmarkEnd w:id="179"/>
    <w:p>
      <w:pPr>
        <w:spacing w:before="65"/>
        <w:ind w:firstLine="640"/>
      </w:pPr>
    </w:p>
    <w:p>
      <w:pPr>
        <w:ind w:firstLine="640"/>
      </w:pPr>
      <w:bookmarkStart w:id="183" w:name="_Toc185606089"/>
      <w:r>
        <w:br w:type="page"/>
      </w:r>
    </w:p>
    <w:p>
      <w:pPr>
        <w:ind w:firstLine="640"/>
      </w:pPr>
    </w:p>
    <w:p>
      <w:pPr>
        <w:pStyle w:val="2"/>
        <w:spacing w:before="489" w:beforeLines="150" w:after="489" w:afterLines="150"/>
      </w:pPr>
      <w:bookmarkStart w:id="184" w:name="_Toc211258500"/>
      <w:bookmarkStart w:id="185" w:name="_Toc221004627"/>
      <w:r>
        <w:rPr>
          <w:rFonts w:hint="eastAsia"/>
        </w:rPr>
        <w:t>规划传导</w:t>
      </w:r>
      <w:bookmarkEnd w:id="183"/>
      <w:bookmarkEnd w:id="184"/>
      <w:bookmarkEnd w:id="185"/>
    </w:p>
    <w:p>
      <w:pPr>
        <w:pStyle w:val="3"/>
        <w:spacing w:before="326" w:beforeLines="100" w:after="326" w:afterLines="100"/>
      </w:pPr>
      <w:bookmarkStart w:id="186" w:name="_Toc185606090"/>
      <w:r>
        <w:rPr>
          <w:rFonts w:hint="eastAsia"/>
        </w:rPr>
        <w:t>镇区详细规划单元与指引</w:t>
      </w:r>
      <w:bookmarkEnd w:id="186"/>
    </w:p>
    <w:p>
      <w:pPr>
        <w:pStyle w:val="4"/>
      </w:pPr>
      <w:r>
        <w:rPr>
          <w:rFonts w:hint="eastAsia"/>
        </w:rPr>
        <w:t>划分镇区详规单元</w:t>
      </w:r>
    </w:p>
    <w:p>
      <w:pPr>
        <w:spacing w:before="65"/>
        <w:ind w:firstLine="640"/>
      </w:pPr>
      <w:r>
        <w:rPr>
          <w:rFonts w:hint="eastAsia"/>
        </w:rPr>
        <w:t>根据用地功能、镇区更新和发展需求，以城镇道路等为界，划分为若干详细规划管理单元；镇区共划定</w:t>
      </w:r>
      <w:r>
        <w:t>1个详细规划单元。</w:t>
      </w:r>
    </w:p>
    <w:p>
      <w:pPr>
        <w:pStyle w:val="4"/>
      </w:pPr>
      <w:r>
        <w:rPr>
          <w:rFonts w:hint="eastAsia"/>
        </w:rPr>
        <w:t>单元规划指引</w:t>
      </w:r>
    </w:p>
    <w:p>
      <w:pPr>
        <w:spacing w:before="163" w:beforeLines="50"/>
        <w:ind w:firstLine="640"/>
      </w:pPr>
      <w:r>
        <w:rPr>
          <w:rFonts w:hint="eastAsia"/>
        </w:rPr>
        <w:t>公共活动中心单元：以提供商业商务、市民服务、文体中心、医疗卫生等为主要功能导向的区域，传导乡镇国土空间总体规划功能分区中商业商务区和综合服务区的功能，在统筹考虑主导功能、服务能级、服务人口、市政承载力、功能特色的基础上，坚持核心带动、集约高效、功能复合、绿色低碳的原则，打造开放复合、尺度宜人、富有活力的功能片区。北侧以仓储物流及其配套产业为主要功能导向的区域，结合产业空间布局和产业链条设置，按照效率优先、绿色低碳、安全韧性的原则优化用地布局</w:t>
      </w:r>
      <w:r>
        <w:rPr>
          <w:rFonts w:hint="eastAsia" w:hAnsi="Times New Roman"/>
          <w:lang w:bidi="ar"/>
        </w:rPr>
        <w:t>。</w:t>
      </w:r>
    </w:p>
    <w:p>
      <w:pPr>
        <w:pStyle w:val="3"/>
        <w:spacing w:before="326" w:beforeLines="100" w:after="326" w:afterLines="100"/>
      </w:pPr>
      <w:bookmarkStart w:id="187" w:name="_Toc185606091"/>
      <w:r>
        <w:rPr>
          <w:rFonts w:hint="eastAsia"/>
        </w:rPr>
        <w:t>详细规划编制单元与指引</w:t>
      </w:r>
      <w:bookmarkEnd w:id="187"/>
    </w:p>
    <w:p>
      <w:pPr>
        <w:pStyle w:val="4"/>
      </w:pPr>
      <w:r>
        <w:rPr>
          <w:rFonts w:hint="eastAsia"/>
        </w:rPr>
        <w:t>划定镇域详细规划编制单元</w:t>
      </w:r>
    </w:p>
    <w:p>
      <w:pPr>
        <w:spacing w:before="65"/>
        <w:ind w:firstLine="640"/>
      </w:pPr>
      <w:bookmarkStart w:id="188" w:name="_Hlk200563683"/>
      <w:r>
        <w:rPr>
          <w:rFonts w:hint="eastAsia"/>
        </w:rPr>
        <w:t>全镇共划定</w:t>
      </w:r>
      <w:r>
        <w:t>25个详细规划编制单元，包括镇区1个编制单元。以马山口镇镇区城镇开发边界为依据，确定为马山口镇镇区编制单元,分别为马山口</w:t>
      </w:r>
      <w:r>
        <w:rPr>
          <w:rFonts w:hint="eastAsia"/>
        </w:rPr>
        <w:t>镇区编制单元</w:t>
      </w:r>
      <w:r>
        <w:t>MSK01；其余为以行政村界限为边界的详规单元，分别为闫岗村编制单元MSK02、茨园村编制单元MSK03、岳岗村编制单元MSK04、大寨村编制单元MSK05、寺山庙村编制单元MSK06、庵北村编制单元MSK07、河口村编制单元MSK08、杜洛庄村编制单元MSK09、石庙村</w:t>
      </w:r>
      <w:r>
        <w:rPr>
          <w:rFonts w:hint="eastAsia"/>
        </w:rPr>
        <w:t>编制单元</w:t>
      </w:r>
      <w:r>
        <w:t>MSK10、朱庙村编制单元MSK11、打磨岗村编制单元MSK12、白庙村编制单元MSK13、三岔河村编制单元MSK14、关帝坪村编制单元MSK15、花北村编制单元MSK16、李井村编制单元MSK17、王场村编制单元MSK18、唐河村编制单元MSK19、马坪村编制单元MSK20、杏树坪村编制单元MSK21、河西村编制单元MSK22、郑湾村编制单元MSK23、樊岗村编制单元MSK24、老庄村编制单元MSK25</w:t>
      </w:r>
      <w:bookmarkEnd w:id="188"/>
      <w:r>
        <w:rPr>
          <w:rFonts w:hint="eastAsia"/>
        </w:rPr>
        <w:t>。</w:t>
      </w:r>
    </w:p>
    <w:p>
      <w:pPr>
        <w:pStyle w:val="4"/>
      </w:pPr>
      <w:r>
        <w:rPr>
          <w:rFonts w:hint="eastAsia"/>
        </w:rPr>
        <w:t>详细规划编制指引</w:t>
      </w:r>
    </w:p>
    <w:p>
      <w:pPr>
        <w:spacing w:before="65"/>
        <w:ind w:firstLine="640"/>
        <w:rPr>
          <w:lang w:bidi="ar"/>
        </w:rPr>
      </w:pPr>
      <w:r>
        <w:rPr>
          <w:rFonts w:hint="eastAsia"/>
          <w:lang w:bidi="ar"/>
        </w:rPr>
        <w:t>全镇镇区范围外，城镇开发边界外共涉及</w:t>
      </w:r>
      <w:r>
        <w:rPr>
          <w:lang w:bidi="ar"/>
        </w:rPr>
        <w:t>24个详细规划编制单元，</w:t>
      </w:r>
      <w:r>
        <w:rPr>
          <w:rFonts w:hint="eastAsia"/>
          <w:lang w:bidi="ar"/>
        </w:rPr>
        <w:t>，根据村庄类型和发展需求选择编制“实用性”村庄规划、“通则式”村庄规划、“通则式村庄规划管理规定”和“单元”村庄规划。</w:t>
      </w:r>
    </w:p>
    <w:p>
      <w:pPr>
        <w:spacing w:before="65"/>
        <w:ind w:firstLine="640"/>
        <w:rPr>
          <w:lang w:bidi="ar"/>
        </w:rPr>
      </w:pPr>
      <w:r>
        <w:rPr>
          <w:rFonts w:hint="eastAsia"/>
          <w:lang w:bidi="ar"/>
        </w:rPr>
        <w:t>“实用性”村庄规划编制深度最深，集“策划、规划、设计、管控”四位一体，成果应符合《河南省实用性村庄规划编制导则（第二次修订）》的要求。“通则式”村庄规划内容相对简单，深度介于实用性村庄规划、“通则式村庄规划管理规定”之间，成果应符合《河南省通则式村庄规划管理规定（修订）》的要求。“通则式村庄规划管理规定”的内容最为简单，成果应符合《河南省“通则式村庄规划管理规定”编制导则（试行）》的要求。“单元”村庄规划重点是对规划范围内的村庄建设边界做优化、建设项目做安排、建筑风貌做引导，可参照《河南省实用性村庄规划编制导则（第二次修订）》要求编制涉及的规划内容，无需面面俱到。</w:t>
      </w:r>
    </w:p>
    <w:p>
      <w:pPr>
        <w:spacing w:before="65"/>
        <w:ind w:firstLine="640"/>
        <w:rPr>
          <w:lang w:bidi="ar"/>
        </w:rPr>
      </w:pPr>
      <w:r>
        <w:rPr>
          <w:lang w:bidi="ar"/>
        </w:rPr>
        <w:br w:type="page"/>
      </w:r>
    </w:p>
    <w:p>
      <w:pPr>
        <w:spacing w:before="65"/>
        <w:ind w:firstLine="640"/>
        <w:rPr>
          <w:lang w:bidi="ar"/>
        </w:rPr>
      </w:pPr>
    </w:p>
    <w:p>
      <w:pPr>
        <w:pStyle w:val="2"/>
        <w:spacing w:before="489" w:beforeLines="150" w:after="489" w:afterLines="150"/>
      </w:pPr>
      <w:bookmarkStart w:id="189" w:name="_Toc221004628"/>
      <w:r>
        <w:rPr>
          <w:rFonts w:hint="eastAsia"/>
        </w:rPr>
        <w:t>实施保障</w:t>
      </w:r>
      <w:bookmarkEnd w:id="189"/>
    </w:p>
    <w:p>
      <w:pPr>
        <w:pStyle w:val="3"/>
        <w:spacing w:before="326" w:beforeLines="100" w:after="326" w:afterLines="100"/>
      </w:pPr>
      <w:bookmarkStart w:id="190" w:name="_Toc185606092"/>
      <w:r>
        <w:rPr>
          <w:rFonts w:hint="eastAsia"/>
        </w:rPr>
        <w:t>近期行动计划制定</w:t>
      </w:r>
      <w:bookmarkEnd w:id="190"/>
    </w:p>
    <w:p>
      <w:pPr>
        <w:pStyle w:val="4"/>
      </w:pPr>
      <w:bookmarkStart w:id="191" w:name="_Hlk142927673"/>
      <w:bookmarkStart w:id="192" w:name="_Toc122362506"/>
      <w:bookmarkStart w:id="193" w:name="_Toc122364916"/>
      <w:bookmarkStart w:id="194" w:name="_Toc126054148"/>
      <w:r>
        <w:rPr>
          <w:rFonts w:hint="eastAsia"/>
        </w:rPr>
        <w:t>近期实施重点任务</w:t>
      </w:r>
    </w:p>
    <w:bookmarkEnd w:id="191"/>
    <w:p>
      <w:pPr>
        <w:spacing w:before="65"/>
        <w:ind w:firstLine="640"/>
      </w:pPr>
      <w:r>
        <w:rPr>
          <w:rFonts w:hint="eastAsia"/>
        </w:rPr>
        <w:t>编制国土空间五年行动规划和年度实施计划。衔接十四五规划，加强对于国土空间规划目标任务的分解落实和实施推动，统筹各类专项行动，落实重大项目推进要求，滚动编制近期行动以及年度实施计划。</w:t>
      </w:r>
    </w:p>
    <w:p>
      <w:pPr>
        <w:pStyle w:val="4"/>
      </w:pPr>
      <w:bookmarkStart w:id="195" w:name="_Hlk142927680"/>
      <w:r>
        <w:rPr>
          <w:rFonts w:hint="eastAsia"/>
        </w:rPr>
        <w:t>行动计划</w:t>
      </w:r>
      <w:bookmarkEnd w:id="192"/>
      <w:bookmarkEnd w:id="193"/>
      <w:bookmarkEnd w:id="194"/>
    </w:p>
    <w:bookmarkEnd w:id="195"/>
    <w:p>
      <w:pPr>
        <w:ind w:firstLine="640"/>
      </w:pPr>
      <w:bookmarkStart w:id="196" w:name="_Hlk200563714"/>
      <w:bookmarkStart w:id="197" w:name="_Hlk167092865"/>
      <w:r>
        <w:rPr>
          <w:rFonts w:hint="eastAsia"/>
        </w:rPr>
        <w:t>1</w:t>
      </w:r>
      <w:r>
        <w:t>.</w:t>
      </w:r>
      <w:r>
        <w:rPr>
          <w:rFonts w:hint="eastAsia"/>
        </w:rPr>
        <w:t>生态修复类项目</w:t>
      </w:r>
    </w:p>
    <w:p>
      <w:pPr>
        <w:ind w:firstLine="640"/>
      </w:pPr>
      <w:r>
        <w:rPr>
          <w:rFonts w:hint="eastAsia"/>
        </w:rPr>
        <w:t>重点</w:t>
      </w:r>
      <w:r>
        <w:t>推进</w:t>
      </w:r>
      <w:r>
        <w:rPr>
          <w:rFonts w:hint="eastAsia"/>
        </w:rPr>
        <w:t>马山口镇生态水系修复项目、南水北调中线工程水源地（南阳片区）历史遗留废弃矿山生态修复示范工程项目（内乡县）马山口镇农业面源污染治理项目等</w:t>
      </w:r>
      <w:r>
        <w:t>3</w:t>
      </w:r>
      <w:r>
        <w:rPr>
          <w:rFonts w:hint="eastAsia"/>
        </w:rPr>
        <w:t>个生态修复类项目。</w:t>
      </w:r>
    </w:p>
    <w:p>
      <w:pPr>
        <w:ind w:firstLine="640"/>
      </w:pPr>
      <w:r>
        <w:t>2.</w:t>
      </w:r>
      <w:r>
        <w:rPr>
          <w:rFonts w:hint="eastAsia"/>
        </w:rPr>
        <w:t>土地整治类项目</w:t>
      </w:r>
    </w:p>
    <w:p>
      <w:pPr>
        <w:ind w:firstLine="640"/>
      </w:pPr>
      <w:r>
        <w:rPr>
          <w:rFonts w:hint="eastAsia"/>
        </w:rPr>
        <w:t>重点</w:t>
      </w:r>
      <w:r>
        <w:t>推进</w:t>
      </w:r>
      <w:r>
        <w:rPr>
          <w:rFonts w:hint="eastAsia"/>
        </w:rPr>
        <w:t>马山口镇全域土地综合整治项目等</w:t>
      </w:r>
      <w:r>
        <w:t>1</w:t>
      </w:r>
      <w:r>
        <w:rPr>
          <w:rFonts w:hint="eastAsia"/>
        </w:rPr>
        <w:t>个土地整治类项目。</w:t>
      </w:r>
    </w:p>
    <w:p>
      <w:pPr>
        <w:ind w:firstLine="640"/>
      </w:pPr>
      <w:r>
        <w:t>3.</w:t>
      </w:r>
      <w:r>
        <w:rPr>
          <w:rFonts w:hint="eastAsia"/>
        </w:rPr>
        <w:t>水利类项目</w:t>
      </w:r>
    </w:p>
    <w:p>
      <w:pPr>
        <w:ind w:firstLine="640"/>
      </w:pPr>
      <w:r>
        <w:rPr>
          <w:rFonts w:hint="eastAsia"/>
        </w:rPr>
        <w:t>重点推进内乡县抗旱水源工程红石峡水库、云露湖水库扩容改建项目、抗旱水源杏树坪水库项目、梅子河白庙村段河道治理项目、水库库库连通项目、青山河庵北村、河口村段河道治理项目等</w:t>
      </w:r>
      <w:r>
        <w:t>6</w:t>
      </w:r>
      <w:r>
        <w:rPr>
          <w:rFonts w:hint="eastAsia"/>
        </w:rPr>
        <w:t>个水利类项目。</w:t>
      </w:r>
    </w:p>
    <w:p>
      <w:pPr>
        <w:ind w:firstLine="640"/>
      </w:pPr>
      <w:r>
        <w:t>4.</w:t>
      </w:r>
      <w:r>
        <w:rPr>
          <w:rFonts w:hint="eastAsia"/>
        </w:rPr>
        <w:t>产业发展类项目</w:t>
      </w:r>
    </w:p>
    <w:p>
      <w:pPr>
        <w:ind w:firstLine="640"/>
      </w:pPr>
      <w:r>
        <w:rPr>
          <w:rFonts w:hint="eastAsia"/>
        </w:rPr>
        <w:t>重点推进牧原集团新型环保智能生猪养殖及屠宰加工项目、内乡县马山口镇旅游拓展基地建设项目、红色马山口旅游研学一体化项目、河西村旅游民宿项目、牧原产业博物馆建设、郑湾村中药材储运中心、郑湾村中药材交易中心、马山口镇粮食烘干加工中心项目、朱庙石墨矿矿产资源开发利用项目、马山口镇矿业新型高端建材项目、马山口镇农牧装备产业园项目、天然石墨高质化综合利用项目、马山口镇天然真石漆新型建材项目、马山口镇中草药产业深加工项目、马山口镇圣垛山中草药文旅康养研学基地项目、马山口镇中药材交易市场项目、马山口镇智能粮食供应链优化基地项目、马山口镇王场粉条扩产升级项目、马山口镇豆制品加工项目、马山口镇药香小镇项目、豫西六地委红色文化纪念馆项目、马山口镇唐王寨生态文化旅游区建设项目、马山口镇河西村乡村振兴示范项目、马山口镇法云寺文化旅游项目、马山口镇精品民宿建设项目等</w:t>
      </w:r>
      <w:r>
        <w:t>25</w:t>
      </w:r>
      <w:r>
        <w:rPr>
          <w:rFonts w:hint="eastAsia"/>
        </w:rPr>
        <w:t>个产业发展类项目。</w:t>
      </w:r>
    </w:p>
    <w:p>
      <w:pPr>
        <w:ind w:firstLine="640"/>
      </w:pPr>
      <w:r>
        <w:t>5.</w:t>
      </w:r>
      <w:r>
        <w:rPr>
          <w:rFonts w:hint="eastAsia"/>
        </w:rPr>
        <w:t>基础设施类项目</w:t>
      </w:r>
    </w:p>
    <w:p>
      <w:pPr>
        <w:ind w:firstLine="640"/>
      </w:pPr>
      <w:r>
        <w:rPr>
          <w:rFonts w:hint="eastAsia"/>
        </w:rPr>
        <w:t>重点推进内乡县杜洛庄夏沟至马坪农村公路改建项目、内乡县靳河至王店交</w:t>
      </w:r>
      <w:r>
        <w:t>S330农村公路改建项目</w:t>
      </w:r>
      <w:r>
        <w:rPr>
          <w:rFonts w:hint="eastAsia"/>
        </w:rPr>
        <w:t>、马关公路、灌二公路改造提升项目、马山口镇南环路项目、马山口镇北环路项目、马山口镇石庙村生产道路建设项目、马山口镇公墓建设项目、马山口永安公墓、通村入户道路改造升级项目、马山口镇天燃气管道铺设项目、马山口镇小城镇改造提升项目、马山口镇集镇防洪排涝治理项目、默河马山口镇滨水景观提升工程、马山口镇农村人居环境提升项目、马山口镇农村安全饮水巩固提升项目、马山口镇危桥改造项目等</w:t>
      </w:r>
      <w:r>
        <w:t>16</w:t>
      </w:r>
      <w:r>
        <w:rPr>
          <w:rFonts w:hint="eastAsia"/>
        </w:rPr>
        <w:t>个基础设施类项目</w:t>
      </w:r>
      <w:bookmarkEnd w:id="196"/>
      <w:r>
        <w:rPr>
          <w:rFonts w:hint="eastAsia"/>
        </w:rPr>
        <w:t>。</w:t>
      </w:r>
    </w:p>
    <w:p>
      <w:pPr>
        <w:ind w:firstLine="640"/>
      </w:pPr>
      <w:r>
        <w:t>6.</w:t>
      </w:r>
      <w:r>
        <w:rPr>
          <w:rFonts w:hint="eastAsia"/>
        </w:rPr>
        <w:t>公共服务类项目</w:t>
      </w:r>
    </w:p>
    <w:p>
      <w:pPr>
        <w:ind w:firstLine="640"/>
      </w:pPr>
      <w:r>
        <w:rPr>
          <w:rFonts w:hint="eastAsia"/>
        </w:rPr>
        <w:t>重点推进马山口镇卫生院医养结合项目、马山口镇云露山景区康养服务中心项目、实施马山口镇农村文化建设提升工程、实施马山口镇特殊群体托养中心项目等</w:t>
      </w:r>
      <w:r>
        <w:t>4</w:t>
      </w:r>
      <w:r>
        <w:rPr>
          <w:rFonts w:hint="eastAsia"/>
        </w:rPr>
        <w:t>个公共服务类项目。</w:t>
      </w:r>
    </w:p>
    <w:bookmarkEnd w:id="197"/>
    <w:p>
      <w:pPr>
        <w:pStyle w:val="3"/>
        <w:spacing w:before="326" w:beforeLines="100" w:after="326" w:afterLines="100"/>
      </w:pPr>
      <w:bookmarkStart w:id="198" w:name="_Toc185606093"/>
      <w:r>
        <w:rPr>
          <w:rFonts w:hint="eastAsia"/>
        </w:rPr>
        <w:t>规划全周期实施监督管理</w:t>
      </w:r>
      <w:bookmarkEnd w:id="198"/>
    </w:p>
    <w:p>
      <w:pPr>
        <w:pStyle w:val="4"/>
      </w:pPr>
      <w:bookmarkStart w:id="199" w:name="_Hlk142927625"/>
      <w:r>
        <w:rPr>
          <w:rFonts w:hint="eastAsia"/>
        </w:rPr>
        <w:t>提升规划信息化水平</w:t>
      </w:r>
    </w:p>
    <w:bookmarkEnd w:id="199"/>
    <w:p>
      <w:pPr>
        <w:spacing w:before="65"/>
        <w:ind w:firstLine="640"/>
        <w:rPr>
          <w:lang w:bidi="ar"/>
        </w:rPr>
      </w:pPr>
      <w:r>
        <w:rPr>
          <w:rFonts w:hint="eastAsia"/>
          <w:lang w:bidi="ar"/>
        </w:rPr>
        <w:t>形成国土空间规划数据库，数据成果应同步上报，纳入国土空间规划“一张图”实施监督信息系统。</w:t>
      </w:r>
    </w:p>
    <w:p>
      <w:pPr>
        <w:pStyle w:val="4"/>
      </w:pPr>
      <w:bookmarkStart w:id="200" w:name="_Hlk142927630"/>
      <w:r>
        <w:rPr>
          <w:rFonts w:hint="eastAsia"/>
        </w:rPr>
        <w:t>落实国土空间用途管制制度</w:t>
      </w:r>
    </w:p>
    <w:bookmarkEnd w:id="200"/>
    <w:p>
      <w:pPr>
        <w:spacing w:before="65"/>
        <w:ind w:firstLine="640"/>
        <w:rPr>
          <w:lang w:bidi="ar"/>
        </w:rPr>
      </w:pPr>
      <w:r>
        <w:rPr>
          <w:rFonts w:hint="eastAsia"/>
          <w:lang w:bidi="ar"/>
        </w:rPr>
        <w:t>对所有国土空间分区分类实施用途管制，落实分区准入、用途转换等管制规则。城镇开发边界内实行“详细规划+规划许可”；城镇开发边界外按照主导用途分区，实行“详细规划+规划许可”和“约束指标+分区准入”。严格耕地、自然保护地、生态保护红线、生态敏感脆弱区等特殊区域的用途管制。</w:t>
      </w:r>
    </w:p>
    <w:p>
      <w:pPr>
        <w:pStyle w:val="4"/>
      </w:pPr>
      <w:bookmarkStart w:id="201" w:name="_Hlk142927634"/>
      <w:r>
        <w:rPr>
          <w:rFonts w:hint="eastAsia"/>
        </w:rPr>
        <w:t>加强规划实施监测评估</w:t>
      </w:r>
    </w:p>
    <w:bookmarkEnd w:id="201"/>
    <w:p>
      <w:pPr>
        <w:spacing w:before="65"/>
        <w:ind w:firstLine="640"/>
        <w:rPr>
          <w:lang w:bidi="ar"/>
        </w:rPr>
      </w:pPr>
      <w:r>
        <w:rPr>
          <w:rFonts w:hint="eastAsia"/>
          <w:lang w:bidi="ar"/>
        </w:rPr>
        <w:t>建立规划实施评估指标体系和“体检评估”机制，落实国土空间规划监测评估预警系统，为市、县开展城市体检和规划全周期管理提供支撑。</w:t>
      </w:r>
    </w:p>
    <w:p>
      <w:pPr>
        <w:spacing w:before="65"/>
        <w:ind w:firstLine="640"/>
        <w:rPr>
          <w:lang w:bidi="ar"/>
        </w:rPr>
      </w:pPr>
      <w:r>
        <w:rPr>
          <w:lang w:bidi="ar"/>
        </w:rPr>
        <w:br w:type="page"/>
      </w:r>
    </w:p>
    <w:p>
      <w:pPr>
        <w:ind w:firstLine="640"/>
      </w:pPr>
      <w:bookmarkStart w:id="202" w:name="_Hlk220575031"/>
    </w:p>
    <w:p>
      <w:pPr>
        <w:pStyle w:val="2"/>
      </w:pPr>
      <w:bookmarkStart w:id="203" w:name="_Toc216450862"/>
      <w:bookmarkStart w:id="204" w:name="_Toc221004629"/>
      <w:r>
        <w:t>“</w:t>
      </w:r>
      <w:r>
        <w:rPr>
          <w:rFonts w:hint="eastAsia"/>
        </w:rPr>
        <w:t>通则式</w:t>
      </w:r>
      <w:r>
        <w:t>”</w:t>
      </w:r>
      <w:r>
        <w:rPr>
          <w:rFonts w:hint="eastAsia"/>
        </w:rPr>
        <w:t>村庄规划管理规定</w:t>
      </w:r>
      <w:bookmarkEnd w:id="203"/>
      <w:bookmarkEnd w:id="204"/>
    </w:p>
    <w:p>
      <w:pPr>
        <w:pStyle w:val="3"/>
      </w:pPr>
      <w:bookmarkStart w:id="205" w:name="_Toc214543577"/>
      <w:r>
        <w:rPr>
          <w:rFonts w:hint="eastAsia"/>
        </w:rPr>
        <w:t>适用范围</w:t>
      </w:r>
      <w:bookmarkEnd w:id="205"/>
    </w:p>
    <w:p>
      <w:pPr>
        <w:pStyle w:val="4"/>
      </w:pPr>
      <w:r>
        <w:rPr>
          <w:rFonts w:hint="eastAsia"/>
        </w:rPr>
        <w:t>适用范围</w:t>
      </w:r>
    </w:p>
    <w:p>
      <w:pPr>
        <w:ind w:firstLine="640"/>
      </w:pPr>
      <w:r>
        <w:rPr>
          <w:rFonts w:hint="eastAsia"/>
        </w:rPr>
        <w:t>在单独编制的村庄规划批准前，本辖区范围内需要编制村庄规划的村庄适用本规定，在有条件有需求时，可再行单独编制“实用性”或“通则式”村庄规划，</w:t>
      </w:r>
      <w:r>
        <w:t>规划获批后上传至国土空间规划“一张图”，更新替代原规划</w:t>
      </w:r>
      <w:r>
        <w:rPr>
          <w:rFonts w:hint="eastAsia"/>
        </w:rPr>
        <w:t>。</w:t>
      </w:r>
    </w:p>
    <w:p>
      <w:pPr>
        <w:ind w:firstLine="640"/>
      </w:pPr>
      <w:r>
        <w:rPr>
          <w:rFonts w:hint="eastAsia"/>
        </w:rPr>
        <w:t>符合条件的农民建房（新建、改建、扩建）、乡村公共服务设施、公用设施和产业项目的建设，可依据通则式村庄规划管理规定，按相关规定办理规划许可手续。已单独编制村庄规划的，可参照执行。</w:t>
      </w:r>
    </w:p>
    <w:p>
      <w:pPr>
        <w:pStyle w:val="3"/>
      </w:pPr>
      <w:bookmarkStart w:id="206" w:name="_Toc214543578"/>
      <w:r>
        <w:rPr>
          <w:rFonts w:hint="eastAsia"/>
        </w:rPr>
        <w:t>底线管控要求</w:t>
      </w:r>
      <w:bookmarkEnd w:id="206"/>
    </w:p>
    <w:p>
      <w:pPr>
        <w:pStyle w:val="4"/>
      </w:pPr>
      <w:r>
        <w:rPr>
          <w:rFonts w:hint="eastAsia"/>
        </w:rPr>
        <w:t>耕地和</w:t>
      </w:r>
      <w:r>
        <w:t>永久基本农田</w:t>
      </w:r>
    </w:p>
    <w:p>
      <w:pPr>
        <w:ind w:firstLine="640"/>
      </w:pPr>
      <w:r>
        <w:rPr>
          <w:rFonts w:hint="eastAsia"/>
        </w:rPr>
        <w:t>乡村建设不得擅自占用永久基本农田。严格耕地用途管制，全面落实耕地占补平衡制度。</w:t>
      </w:r>
    </w:p>
    <w:p>
      <w:pPr>
        <w:ind w:firstLine="640"/>
      </w:pPr>
      <w:r>
        <w:t>1.耕地保护</w:t>
      </w:r>
    </w:p>
    <w:p>
      <w:pPr>
        <w:ind w:firstLine="640"/>
      </w:pPr>
      <w:r>
        <w:rPr>
          <w:rFonts w:hint="eastAsia"/>
        </w:rPr>
        <w:t>耕地主要用于粮食和棉、油、糖、蔬菜等农产品及饲草饲料生产；在不破坏耕地耕作层且不造成耕地地类改变的前提下</w:t>
      </w:r>
      <w:r>
        <w:t>,可以适度种植其他农作物。耕地管控“八不准”、“六严禁、五不得”。</w:t>
      </w:r>
    </w:p>
    <w:p>
      <w:pPr>
        <w:ind w:firstLine="640"/>
      </w:pPr>
    </w:p>
    <w:tbl>
      <w:tblPr>
        <w:tblStyle w:val="31"/>
        <w:tblW w:w="87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13"/>
        <w:gridCol w:w="2752"/>
        <w:gridCol w:w="30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8739" w:type="dxa"/>
            <w:gridSpan w:val="3"/>
            <w:vAlign w:val="center"/>
          </w:tcPr>
          <w:p>
            <w:pPr>
              <w:pStyle w:val="98"/>
              <w:ind w:firstLine="640"/>
            </w:pPr>
            <w:r>
              <w:rPr>
                <w:rFonts w:hint="eastAsia"/>
              </w:rPr>
              <w:t>专栏1</w:t>
            </w:r>
            <w:r>
              <w:t>6</w:t>
            </w:r>
            <w:r>
              <w:rPr>
                <w:rFonts w:hint="eastAsia"/>
              </w:rPr>
              <w:t>-1 耕地管控要求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2913" w:type="dxa"/>
            <w:vAlign w:val="center"/>
          </w:tcPr>
          <w:p>
            <w:pPr>
              <w:pStyle w:val="96"/>
            </w:pPr>
            <w:r>
              <w:rPr>
                <w:rFonts w:hint="eastAsia"/>
              </w:rPr>
              <w:t>八不准</w:t>
            </w:r>
          </w:p>
        </w:tc>
        <w:tc>
          <w:tcPr>
            <w:tcW w:w="2752" w:type="dxa"/>
            <w:vAlign w:val="center"/>
          </w:tcPr>
          <w:p>
            <w:pPr>
              <w:pStyle w:val="96"/>
            </w:pPr>
            <w:r>
              <w:rPr>
                <w:rFonts w:hint="eastAsia"/>
              </w:rPr>
              <w:t>六严禁</w:t>
            </w:r>
          </w:p>
        </w:tc>
        <w:tc>
          <w:tcPr>
            <w:tcW w:w="3074" w:type="dxa"/>
            <w:vAlign w:val="center"/>
          </w:tcPr>
          <w:p>
            <w:pPr>
              <w:pStyle w:val="96"/>
            </w:pPr>
            <w:r>
              <w:rPr>
                <w:rFonts w:hint="eastAsia"/>
              </w:rPr>
              <w:t>五不得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6" w:hRule="atLeast"/>
          <w:jc w:val="center"/>
        </w:trPr>
        <w:tc>
          <w:tcPr>
            <w:tcW w:w="2913" w:type="dxa"/>
          </w:tcPr>
          <w:p>
            <w:pPr>
              <w:pStyle w:val="96"/>
              <w:jc w:val="left"/>
            </w:pPr>
            <w:r>
              <w:t>不准占用永久基本农田建房。</w:t>
            </w:r>
          </w:p>
          <w:p>
            <w:pPr>
              <w:pStyle w:val="96"/>
              <w:jc w:val="left"/>
            </w:pPr>
            <w:r>
              <w:t>不准强占多占耕地建房。</w:t>
            </w:r>
          </w:p>
          <w:p>
            <w:pPr>
              <w:pStyle w:val="96"/>
              <w:jc w:val="left"/>
            </w:pPr>
            <w:r>
              <w:t>不准买卖、流转耕地违法建房。</w:t>
            </w:r>
          </w:p>
          <w:p>
            <w:pPr>
              <w:pStyle w:val="96"/>
              <w:jc w:val="left"/>
            </w:pPr>
            <w:r>
              <w:t>不准在承包耕地上违法建房。</w:t>
            </w:r>
          </w:p>
          <w:p>
            <w:pPr>
              <w:pStyle w:val="96"/>
              <w:jc w:val="left"/>
            </w:pPr>
            <w:r>
              <w:t>不准巧立名目违法占用耕地建房。</w:t>
            </w:r>
          </w:p>
          <w:p>
            <w:pPr>
              <w:pStyle w:val="96"/>
              <w:jc w:val="left"/>
            </w:pPr>
            <w:r>
              <w:t>不准违反“一户一宅”规定占用耕地建房。</w:t>
            </w:r>
          </w:p>
          <w:p>
            <w:pPr>
              <w:pStyle w:val="96"/>
              <w:jc w:val="left"/>
            </w:pPr>
            <w:r>
              <w:t>不准非法出售占用耕地建的房屋。</w:t>
            </w:r>
          </w:p>
          <w:p>
            <w:pPr>
              <w:pStyle w:val="96"/>
              <w:jc w:val="left"/>
            </w:pPr>
            <w:r>
              <w:t>不准违法审批占用耕地建房。</w:t>
            </w:r>
          </w:p>
        </w:tc>
        <w:tc>
          <w:tcPr>
            <w:tcW w:w="2752" w:type="dxa"/>
          </w:tcPr>
          <w:p>
            <w:pPr>
              <w:pStyle w:val="96"/>
              <w:jc w:val="left"/>
            </w:pPr>
            <w:r>
              <w:t>严禁违规占用耕地绿化造林；</w:t>
            </w:r>
          </w:p>
          <w:p>
            <w:pPr>
              <w:pStyle w:val="96"/>
              <w:jc w:val="left"/>
            </w:pPr>
            <w:r>
              <w:t>严禁超标准建设绿色通道</w:t>
            </w:r>
          </w:p>
          <w:p>
            <w:pPr>
              <w:pStyle w:val="96"/>
              <w:jc w:val="left"/>
            </w:pPr>
            <w:r>
              <w:t>严禁违规占用耕地挖湖造景；</w:t>
            </w:r>
          </w:p>
          <w:p>
            <w:pPr>
              <w:pStyle w:val="96"/>
              <w:jc w:val="left"/>
            </w:pPr>
            <w:r>
              <w:t>严禁占用永久基本农田扩大自然保护地；</w:t>
            </w:r>
          </w:p>
          <w:p>
            <w:pPr>
              <w:pStyle w:val="96"/>
              <w:jc w:val="left"/>
            </w:pPr>
            <w:r>
              <w:t>严禁违规占用耕地从事非农建设；</w:t>
            </w:r>
          </w:p>
          <w:p>
            <w:pPr>
              <w:pStyle w:val="96"/>
              <w:jc w:val="left"/>
            </w:pPr>
            <w:r>
              <w:t>严禁违法违规批地用地。</w:t>
            </w:r>
          </w:p>
          <w:p>
            <w:pPr>
              <w:pStyle w:val="96"/>
              <w:jc w:val="left"/>
            </w:pPr>
          </w:p>
        </w:tc>
        <w:tc>
          <w:tcPr>
            <w:tcW w:w="3074" w:type="dxa"/>
          </w:tcPr>
          <w:p>
            <w:pPr>
              <w:pStyle w:val="96"/>
              <w:jc w:val="left"/>
            </w:pPr>
            <w:r>
              <w:t>不得在一般耕地上挖湖造景、种植草皮；</w:t>
            </w:r>
          </w:p>
          <w:p>
            <w:pPr>
              <w:pStyle w:val="96"/>
              <w:jc w:val="left"/>
            </w:pPr>
            <w:r>
              <w:t>不得擅自扩大退耕还林还草还湖规模；</w:t>
            </w:r>
          </w:p>
          <w:p>
            <w:pPr>
              <w:pStyle w:val="96"/>
              <w:jc w:val="left"/>
            </w:pPr>
            <w:r>
              <w:t>不得违规超标准在铁路、公路等用地红线外，以及河渠两侧、水库周边占用一般耕地种树建设绿化带；</w:t>
            </w:r>
          </w:p>
          <w:p>
            <w:pPr>
              <w:pStyle w:val="96"/>
              <w:jc w:val="left"/>
            </w:pPr>
            <w:r>
              <w:t>未经批准不得占用一般耕地实施国土绿化；</w:t>
            </w:r>
          </w:p>
          <w:p>
            <w:pPr>
              <w:pStyle w:val="96"/>
              <w:jc w:val="left"/>
            </w:pPr>
            <w:r>
              <w:t>未经批准工商企业等社会资本不得将通过流转获得土地经营权的一般耕地转为林地、园地等其他农用地。</w:t>
            </w:r>
          </w:p>
        </w:tc>
      </w:tr>
    </w:tbl>
    <w:p>
      <w:pPr>
        <w:ind w:firstLine="640"/>
      </w:pPr>
      <w:r>
        <w:t>2.永久基本农田保护</w:t>
      </w:r>
    </w:p>
    <w:p>
      <w:pPr>
        <w:ind w:firstLine="640"/>
      </w:pPr>
      <w:r>
        <w:rPr>
          <w:rFonts w:hint="eastAsia"/>
        </w:rPr>
        <w:t>永久基本农田主要用于种植粮食作物，对现状种植棉、油、糖、蔬菜等非粮食作物的</w:t>
      </w:r>
      <w:r>
        <w:t>,可以维持不变。</w:t>
      </w:r>
    </w:p>
    <w:p>
      <w:pPr>
        <w:ind w:firstLine="640"/>
      </w:pPr>
      <w:r>
        <w:rPr>
          <w:rFonts w:hint="eastAsia"/>
        </w:rPr>
        <w:t>严禁占用永久基本农田发展林果业和挖塘养鱼；严禁占用永久基本农田种植苗木、草皮等用于绿化装饰以及其他破坏耕作层的植物；严禁占用永久基本农田挖湖造景、建设绿化带；严禁新增占用永久基本农田建设畜禽养殖设施、水产养殖设施和破坏耕作层的种植业设施。</w:t>
      </w:r>
    </w:p>
    <w:p>
      <w:pPr>
        <w:pStyle w:val="4"/>
      </w:pPr>
      <w:r>
        <w:rPr>
          <w:rFonts w:hint="eastAsia"/>
        </w:rPr>
        <w:t>生态保护红线</w:t>
      </w:r>
    </w:p>
    <w:p>
      <w:pPr>
        <w:ind w:firstLine="640"/>
      </w:pPr>
      <w:r>
        <w:rPr>
          <w:rFonts w:hint="eastAsia"/>
        </w:rPr>
        <w:t>加强生态保护红线管理，严守自然生态安全边界。</w:t>
      </w:r>
    </w:p>
    <w:tbl>
      <w:tblPr>
        <w:tblStyle w:val="31"/>
        <w:tblW w:w="84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97"/>
        <w:gridCol w:w="50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8459" w:type="dxa"/>
            <w:gridSpan w:val="2"/>
          </w:tcPr>
          <w:p>
            <w:pPr>
              <w:pStyle w:val="98"/>
              <w:rPr>
                <w:lang w:bidi="ar"/>
              </w:rPr>
            </w:pPr>
            <w:r>
              <w:rPr>
                <w:rFonts w:hint="eastAsia"/>
                <w:lang w:bidi="ar"/>
              </w:rPr>
              <w:t>专栏1</w:t>
            </w:r>
            <w:r>
              <w:rPr>
                <w:lang w:bidi="ar"/>
              </w:rPr>
              <w:t>6</w:t>
            </w:r>
            <w:r>
              <w:rPr>
                <w:rFonts w:hint="eastAsia"/>
                <w:lang w:bidi="ar"/>
              </w:rPr>
              <w:t>-</w:t>
            </w:r>
            <w:r>
              <w:rPr>
                <w:lang w:bidi="ar"/>
              </w:rPr>
              <w:t>2</w:t>
            </w:r>
            <w:r>
              <w:rPr>
                <w:rFonts w:hint="eastAsia"/>
                <w:lang w:bidi="ar"/>
              </w:rPr>
              <w:t>：生态保护红线管控要求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3397" w:type="dxa"/>
            <w:vAlign w:val="center"/>
          </w:tcPr>
          <w:p>
            <w:pPr>
              <w:pStyle w:val="96"/>
              <w:ind w:firstLine="640"/>
              <w:rPr>
                <w:lang w:bidi="ar"/>
              </w:rPr>
            </w:pPr>
            <w:r>
              <w:rPr>
                <w:rFonts w:hint="eastAsia"/>
                <w:lang w:bidi="ar"/>
              </w:rPr>
              <w:t>生态红线管控要求</w:t>
            </w:r>
          </w:p>
        </w:tc>
        <w:tc>
          <w:tcPr>
            <w:tcW w:w="5062" w:type="dxa"/>
            <w:vAlign w:val="center"/>
          </w:tcPr>
          <w:p>
            <w:pPr>
              <w:pStyle w:val="96"/>
              <w:ind w:firstLine="640"/>
              <w:rPr>
                <w:lang w:bidi="ar"/>
              </w:rPr>
            </w:pPr>
            <w:r>
              <w:rPr>
                <w:rFonts w:hint="eastAsia"/>
                <w:lang w:bidi="ar"/>
              </w:rPr>
              <w:t>有限人为活动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trPr>
        <w:tc>
          <w:tcPr>
            <w:tcW w:w="3397" w:type="dxa"/>
          </w:tcPr>
          <w:p>
            <w:pPr>
              <w:pStyle w:val="96"/>
              <w:ind w:firstLine="640"/>
              <w:jc w:val="left"/>
              <w:rPr>
                <w:lang w:bidi="ar"/>
              </w:rPr>
            </w:pPr>
            <w:r>
              <w:rPr>
                <w:rFonts w:hint="eastAsia"/>
                <w:lang w:bidi="ar"/>
              </w:rPr>
              <w:t>生态保护红线核心保护区内，禁止一切人为活动，现有村庄须有序退出。</w:t>
            </w:r>
          </w:p>
          <w:p>
            <w:pPr>
              <w:pStyle w:val="96"/>
              <w:ind w:firstLine="640"/>
              <w:jc w:val="left"/>
              <w:rPr>
                <w:lang w:bidi="ar"/>
              </w:rPr>
            </w:pPr>
            <w:r>
              <w:rPr>
                <w:rFonts w:hint="eastAsia"/>
                <w:lang w:bidi="ar"/>
              </w:rPr>
              <w:t>一般控制区内禁止开发性、生产性建设活动，在符合法律法规的前提下，仅允许以下对生态功能不造成破坏的有限人为活动。</w:t>
            </w:r>
          </w:p>
          <w:p>
            <w:pPr>
              <w:pStyle w:val="96"/>
              <w:ind w:firstLine="640"/>
              <w:jc w:val="left"/>
              <w:rPr>
                <w:spacing w:val="30"/>
              </w:rPr>
            </w:pPr>
            <w:r>
              <w:rPr>
                <w:rFonts w:hint="eastAsia"/>
                <w:lang w:bidi="ar"/>
              </w:rPr>
              <w:t>国家重大项目或有限人为活动涉及新增建设用地涉及生态红线的，须按有关规定进行论证和并办理相关手续。</w:t>
            </w:r>
            <w:r>
              <w:rPr>
                <w:rFonts w:hint="eastAsia"/>
                <w:spacing w:val="30"/>
                <w:shd w:val="clear" w:color="auto" w:fill="FFFFFF"/>
                <w:lang w:bidi="ar"/>
              </w:rPr>
              <w:t> </w:t>
            </w:r>
          </w:p>
          <w:p>
            <w:pPr>
              <w:pStyle w:val="96"/>
              <w:ind w:firstLine="640"/>
              <w:jc w:val="left"/>
              <w:rPr>
                <w:lang w:bidi="ar"/>
              </w:rPr>
            </w:pPr>
            <w:r>
              <w:rPr>
                <w:rFonts w:hint="eastAsia"/>
                <w:lang w:bidi="ar"/>
              </w:rPr>
              <w:t>生态保护红线内涉及自然保护区、风景名胜区、饮用水水源保护区等区域，依照相关法律法规执行。</w:t>
            </w:r>
          </w:p>
          <w:p>
            <w:pPr>
              <w:pStyle w:val="96"/>
              <w:ind w:firstLine="640"/>
              <w:jc w:val="left"/>
            </w:pPr>
            <w:r>
              <w:rPr>
                <w:rFonts w:hint="eastAsia"/>
                <w:lang w:bidi="ar"/>
              </w:rPr>
              <w:t>生态红线内已有水电、风电、光伏等设施，按照相关法律法规规定进行管理，严禁扩大现有规模与范围，项目到期后由建设单位负责做好生态修复。</w:t>
            </w:r>
          </w:p>
        </w:tc>
        <w:tc>
          <w:tcPr>
            <w:tcW w:w="5062" w:type="dxa"/>
          </w:tcPr>
          <w:p>
            <w:pPr>
              <w:pStyle w:val="96"/>
              <w:ind w:firstLine="640"/>
              <w:jc w:val="left"/>
            </w:pPr>
            <w:r>
              <w:rPr>
                <w:rFonts w:hint="eastAsia"/>
                <w:lang w:bidi="ar"/>
              </w:rPr>
              <w:t>管护巡护、保护执法、科学研究、调查监测、测绘导航、防灾减灾救灾、军事国防、疫情防控等活动及相关的必要设施修筑。</w:t>
            </w:r>
          </w:p>
          <w:p>
            <w:pPr>
              <w:pStyle w:val="96"/>
              <w:ind w:firstLine="640"/>
              <w:jc w:val="left"/>
              <w:rPr>
                <w:lang w:bidi="ar"/>
              </w:rPr>
            </w:pPr>
            <w:r>
              <w:rPr>
                <w:rFonts w:hint="eastAsia"/>
                <w:lang w:bidi="ar"/>
              </w:rPr>
              <w:t>原住居民和其他合法权益主体，允许在不扩大现有建设用地、耕地、水产养殖规模和放牧强度的前提下，开展种植、放牧、养殖等活动，修筑生产生活设施。</w:t>
            </w:r>
          </w:p>
          <w:p>
            <w:pPr>
              <w:pStyle w:val="96"/>
              <w:ind w:firstLine="640"/>
              <w:jc w:val="left"/>
              <w:rPr>
                <w:lang w:bidi="ar"/>
              </w:rPr>
            </w:pPr>
            <w:r>
              <w:rPr>
                <w:rFonts w:hint="eastAsia"/>
                <w:lang w:bidi="ar"/>
              </w:rPr>
              <w:t>经依法批准的考古调查发掘、古生物化石调查发掘、标本采集和文物保护活动。</w:t>
            </w:r>
          </w:p>
          <w:p>
            <w:pPr>
              <w:pStyle w:val="96"/>
              <w:ind w:firstLine="640"/>
              <w:jc w:val="left"/>
              <w:rPr>
                <w:lang w:bidi="ar"/>
              </w:rPr>
            </w:pPr>
            <w:r>
              <w:rPr>
                <w:rFonts w:hint="eastAsia"/>
                <w:lang w:bidi="ar"/>
              </w:rPr>
              <w:t>按规定对人工商品林进行抚育采伐，或以提升森林质量、优化栖息地、建设生物防火隔离带等为目的的树种更新，依法开展的竹林采伐经营。</w:t>
            </w:r>
          </w:p>
          <w:p>
            <w:pPr>
              <w:pStyle w:val="96"/>
              <w:ind w:firstLine="640"/>
              <w:jc w:val="left"/>
              <w:rPr>
                <w:lang w:bidi="ar"/>
              </w:rPr>
            </w:pPr>
            <w:r>
              <w:rPr>
                <w:rFonts w:hint="eastAsia"/>
                <w:lang w:bidi="ar"/>
              </w:rPr>
              <w:t>不破坏生态功能的适度参观旅游、科普宣教及符合相关规划的配套性服务设施和相关的必要公共设施建设及维护。</w:t>
            </w:r>
          </w:p>
          <w:p>
            <w:pPr>
              <w:pStyle w:val="96"/>
              <w:ind w:firstLine="640"/>
              <w:jc w:val="left"/>
              <w:rPr>
                <w:lang w:bidi="ar"/>
              </w:rPr>
            </w:pPr>
            <w:r>
              <w:rPr>
                <w:rFonts w:hint="eastAsia"/>
                <w:lang w:bidi="ar"/>
              </w:rPr>
              <w:t>必须且无法避让、符合县级以上国土空间规划的线性基础设施、通讯和防洪、供水设施建设和船舶航行、航道疏浚清淤等活动；已有的合法水利、交通运输等设施运行维护改造。</w:t>
            </w:r>
          </w:p>
          <w:p>
            <w:pPr>
              <w:pStyle w:val="96"/>
              <w:ind w:firstLine="640"/>
              <w:jc w:val="left"/>
              <w:rPr>
                <w:lang w:bidi="ar"/>
              </w:rPr>
            </w:pPr>
            <w:r>
              <w:rPr>
                <w:rFonts w:hint="eastAsia"/>
                <w:lang w:bidi="ar"/>
              </w:rPr>
              <w:t>地质调查与矿产资源勘查等公益性工作。</w:t>
            </w:r>
          </w:p>
          <w:p>
            <w:pPr>
              <w:pStyle w:val="96"/>
              <w:ind w:firstLine="640"/>
              <w:jc w:val="left"/>
            </w:pPr>
            <w:r>
              <w:rPr>
                <w:rFonts w:hint="eastAsia"/>
                <w:lang w:bidi="ar"/>
              </w:rPr>
              <w:t>依据县级以上国土空间规划和生态保护修复专项规划开展的生态修复。</w:t>
            </w:r>
          </w:p>
        </w:tc>
      </w:tr>
    </w:tbl>
    <w:p>
      <w:pPr>
        <w:pStyle w:val="4"/>
      </w:pPr>
      <w:r>
        <w:t>村庄建设边界</w:t>
      </w:r>
    </w:p>
    <w:p>
      <w:pPr>
        <w:ind w:firstLine="640"/>
      </w:pPr>
      <w:r>
        <w:rPr>
          <w:rFonts w:hint="eastAsia"/>
        </w:rPr>
        <w:t>不得突破《内乡县马山口镇国土空间总体规划（</w:t>
      </w:r>
      <w:r>
        <w:t>2021-2035年）》划定的村庄建设边界，村庄建设边界内主要包括以下建设用地类型：</w:t>
      </w:r>
    </w:p>
    <w:p>
      <w:pPr>
        <w:ind w:firstLine="640"/>
      </w:pPr>
      <w:r>
        <w:rPr>
          <w:rFonts w:hint="eastAsia"/>
        </w:rPr>
        <w:t>农村宅基地、农村社区服务设施用地、公共管理与公共服务用地、商业服务业用地、工矿用地、仓储用地、交通运输用地、公用设施用地、绿地与开敞空间用地和特殊用地。</w:t>
      </w:r>
    </w:p>
    <w:p>
      <w:pPr>
        <w:ind w:firstLine="640"/>
      </w:pPr>
      <w:r>
        <w:rPr>
          <w:rFonts w:hint="eastAsia"/>
        </w:rPr>
        <w:t>村庄建设活动原则上应位于村庄建设边界范围内。</w:t>
      </w:r>
    </w:p>
    <w:p>
      <w:pPr>
        <w:ind w:firstLine="640"/>
      </w:pPr>
      <w:r>
        <w:rPr>
          <w:rFonts w:hint="eastAsia"/>
        </w:rPr>
        <w:t>村庄建设边界外的存量建设用地，通过土地整理、置换、整治等方式逐渐向村庄建设边界内集中，原土地可根据实际需要调整为非建设用地。</w:t>
      </w:r>
    </w:p>
    <w:p>
      <w:pPr>
        <w:pStyle w:val="4"/>
        <w:numPr>
          <w:ilvl w:val="2"/>
          <w:numId w:val="1"/>
        </w:numPr>
        <w:spacing w:beforeLines="0" w:afterLines="0" w:line="588" w:lineRule="exact"/>
      </w:pPr>
      <w:r>
        <w:rPr>
          <w:rFonts w:hint="eastAsia"/>
        </w:rPr>
        <w:t>历史文化保护线</w:t>
      </w:r>
    </w:p>
    <w:p>
      <w:pPr>
        <w:ind w:firstLine="640"/>
        <w:rPr>
          <w:kern w:val="0"/>
          <w:lang w:bidi="ar"/>
        </w:rPr>
      </w:pPr>
      <w:r>
        <w:rPr>
          <w:rFonts w:hint="eastAsia"/>
        </w:rPr>
        <w:t>落实内乡县、马山口镇国土空间规划确定的历史文化保护控制线，加强</w:t>
      </w:r>
      <w:r>
        <w:rPr>
          <w:rFonts w:hint="eastAsia"/>
          <w:kern w:val="0"/>
          <w:lang w:bidi="ar"/>
        </w:rPr>
        <w:t>历史文化要素管控。</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4"/>
        <w:gridCol w:w="64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5000" w:type="pct"/>
            <w:gridSpan w:val="2"/>
            <w:vAlign w:val="center"/>
          </w:tcPr>
          <w:p>
            <w:pPr>
              <w:pStyle w:val="98"/>
              <w:rPr>
                <w:lang w:val="zh-CN"/>
              </w:rPr>
            </w:pPr>
            <w:r>
              <w:rPr>
                <w:rFonts w:hint="eastAsia"/>
                <w:lang w:val="zh-CN"/>
              </w:rPr>
              <w:t>专栏</w:t>
            </w:r>
            <w:r>
              <w:rPr>
                <w:lang w:val="zh-CN"/>
              </w:rPr>
              <w:t xml:space="preserve">16-3 </w:t>
            </w:r>
            <w:r>
              <w:rPr>
                <w:rFonts w:hint="eastAsia"/>
                <w:lang w:val="zh-CN"/>
              </w:rPr>
              <w:t>历史文化要素管控要求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1193" w:type="pct"/>
            <w:vAlign w:val="center"/>
          </w:tcPr>
          <w:p>
            <w:pPr>
              <w:pStyle w:val="96"/>
              <w:rPr>
                <w:lang w:val="zh-CN"/>
              </w:rPr>
            </w:pPr>
            <w:r>
              <w:rPr>
                <w:rFonts w:hint="eastAsia"/>
                <w:lang w:val="zh-CN"/>
              </w:rPr>
              <w:t>历史文化要素</w:t>
            </w:r>
          </w:p>
        </w:tc>
        <w:tc>
          <w:tcPr>
            <w:tcW w:w="3807" w:type="pct"/>
            <w:vAlign w:val="center"/>
          </w:tcPr>
          <w:p>
            <w:pPr>
              <w:pStyle w:val="96"/>
              <w:rPr>
                <w:lang w:val="zh-CN"/>
              </w:rPr>
            </w:pPr>
            <w:r>
              <w:rPr>
                <w:rFonts w:hint="eastAsia"/>
                <w:lang w:val="zh-CN"/>
              </w:rPr>
              <w:t>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1193" w:type="pct"/>
            <w:vAlign w:val="center"/>
          </w:tcPr>
          <w:p>
            <w:pPr>
              <w:pStyle w:val="96"/>
              <w:rPr>
                <w:lang w:val="zh-CN"/>
              </w:rPr>
            </w:pPr>
            <w:r>
              <w:rPr>
                <w:rFonts w:hint="eastAsia"/>
                <w:lang w:val="zh-CN"/>
              </w:rPr>
              <w:t>文物保护单位</w:t>
            </w:r>
          </w:p>
        </w:tc>
        <w:tc>
          <w:tcPr>
            <w:tcW w:w="3807" w:type="pct"/>
            <w:vAlign w:val="center"/>
          </w:tcPr>
          <w:p>
            <w:pPr>
              <w:pStyle w:val="96"/>
              <w:jc w:val="left"/>
              <w:rPr>
                <w:lang w:val="zh-CN"/>
              </w:rPr>
            </w:pPr>
            <w:r>
              <w:rPr>
                <w:rFonts w:hint="eastAsia"/>
                <w:lang w:val="zh-CN"/>
              </w:rPr>
              <w:t>各级文物保护单位的保护范围和建设控制地带以及地下文物埋藏区的界线，以各级人民政府公布的保护范围、建设控制地带为准。应严格按照《文物法》相关规定和程序进行保护和修缮。</w:t>
            </w:r>
          </w:p>
        </w:tc>
      </w:tr>
    </w:tbl>
    <w:p>
      <w:pPr>
        <w:ind w:firstLine="640"/>
      </w:pPr>
      <w:r>
        <w:rPr>
          <w:rFonts w:hint="eastAsia"/>
        </w:rPr>
        <w:t>切实加强保护。保护范围内禁止新建其他无关建（构）筑物；不得损害历史文化街区、历史建筑、传统村落的原真性和完整性；不得破坏历史文化街区的历史肌理、历史街巷、空间尺度和景观环境 ,以及古井、古桥、古树等环境要素。</w:t>
      </w:r>
    </w:p>
    <w:p>
      <w:pPr>
        <w:ind w:firstLine="640"/>
      </w:pPr>
      <w:r>
        <w:rPr>
          <w:rFonts w:hint="eastAsia"/>
        </w:rPr>
        <w:t>全面修缮维护。采用“绣花”“织补”等微改造方式，充分利用修缮技艺传承人和传统工匠,结合建筑原有形制、结构、材料，运用传统工艺和现代技术，进行修缮加固，保护、延续传统建筑组群的传统格局特征和风貌特色，让不同时代的建筑完整保留城乡发展变迁的脉络，体现价值特色。</w:t>
      </w:r>
    </w:p>
    <w:p>
      <w:pPr>
        <w:ind w:firstLine="640"/>
      </w:pPr>
      <w:r>
        <w:rPr>
          <w:rFonts w:hint="eastAsia"/>
        </w:rPr>
        <w:t>合理开发利用。坚持“留、改、拆”并举，以“保护、利用、提升”为主的原则,严防大拆大建、拆真建假。系统梳理文物资源，深入挖掘其历史价值和旅游资源禀赋，将文物保护与乡村建设统筹结合。</w:t>
      </w:r>
    </w:p>
    <w:p>
      <w:pPr>
        <w:pStyle w:val="4"/>
        <w:numPr>
          <w:ilvl w:val="2"/>
          <w:numId w:val="1"/>
        </w:numPr>
        <w:spacing w:beforeLines="0" w:afterLines="0" w:line="588" w:lineRule="exact"/>
      </w:pPr>
      <w:r>
        <w:t>洪涝风险控制线</w:t>
      </w:r>
    </w:p>
    <w:p>
      <w:pPr>
        <w:spacing w:before="65" w:after="156"/>
        <w:ind w:firstLine="640"/>
      </w:pPr>
      <w:r>
        <w:rPr>
          <w:rFonts w:hint="eastAsia"/>
        </w:rPr>
        <w:t>洪涝风险控制线内禁止新增城乡建设用地，确需新增的，需经得相关部门的意见后落实。</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7" w:type="dxa"/>
            <w:shd w:val="clear" w:color="auto" w:fill="auto"/>
          </w:tcPr>
          <w:p>
            <w:pPr>
              <w:pStyle w:val="98"/>
              <w:ind w:firstLine="640"/>
            </w:pPr>
            <w:r>
              <w:rPr>
                <w:rFonts w:hint="eastAsia"/>
                <w:lang w:bidi="ar"/>
              </w:rPr>
              <w:t>专栏</w:t>
            </w:r>
            <w:r>
              <w:rPr>
                <w:lang w:bidi="ar"/>
              </w:rPr>
              <w:t xml:space="preserve"> 16-4 </w:t>
            </w:r>
            <w:r>
              <w:rPr>
                <w:rFonts w:hint="eastAsia"/>
                <w:lang w:bidi="ar"/>
              </w:rPr>
              <w:t>洪涝风险控制线管控规则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7" w:type="dxa"/>
          </w:tcPr>
          <w:p>
            <w:pPr>
              <w:pStyle w:val="103"/>
              <w:ind w:firstLine="480"/>
              <w:rPr>
                <w:sz w:val="24"/>
                <w:szCs w:val="24"/>
                <w:lang w:bidi="ar"/>
              </w:rPr>
            </w:pPr>
            <w:r>
              <w:rPr>
                <w:rFonts w:hint="eastAsia"/>
                <w:sz w:val="24"/>
                <w:szCs w:val="24"/>
                <w:lang w:bidi="ar"/>
              </w:rPr>
              <w:t>洪涝灾害高风险区内允许进行的建设活动包括：洪涝灾害的监测设施、预警设施和救援设施；</w:t>
            </w:r>
            <w:r>
              <w:rPr>
                <w:sz w:val="24"/>
                <w:szCs w:val="24"/>
                <w:lang w:bidi="ar"/>
              </w:rPr>
              <w:t>有利于防洪排涝安全的灾害防御工程建设项目，如水库大坝、</w:t>
            </w:r>
            <w:r>
              <w:rPr>
                <w:rFonts w:hint="eastAsia"/>
                <w:sz w:val="24"/>
                <w:szCs w:val="24"/>
                <w:lang w:bidi="ar"/>
              </w:rPr>
              <w:t>调蓄湖、堤防、围堤围堰、水闸、涵洞、排涝泵站、堰坝、塘坝、沟渠、蓄水池、湿地等；现有防洪排涝工程隐患的治理和除险项目；有利于洪涝灾害次生灾害防治安全的治理和建设项目。洪涝灾害的疏散通道，如防洪临时撤离道路；重大洪涝灾害事件的遗址公园、纪念碑等纪念性设施；此类区域内其他类型灾害的防灾减灾治理和建设项目等。</w:t>
            </w:r>
          </w:p>
          <w:p>
            <w:pPr>
              <w:pStyle w:val="103"/>
              <w:ind w:firstLine="480"/>
              <w:rPr>
                <w:lang w:bidi="ar"/>
              </w:rPr>
            </w:pPr>
            <w:r>
              <w:rPr>
                <w:rFonts w:hint="eastAsia"/>
                <w:sz w:val="24"/>
                <w:szCs w:val="24"/>
                <w:lang w:bidi="ar"/>
              </w:rPr>
              <w:t>洪涝灾害高风险区内禁止进行的建设活动包括：禁止新建影响行洪和排涝安全的生产性、开发性建设活动，现有此类项目应逐步退出；禁止新建重大危源项目，以及生产易燃、易爆、有毒物品的工业用地和存放危险品的合储用地现有此类项目应逐步退出。禁止在此类区域内新增建设用地指标等。</w:t>
            </w:r>
          </w:p>
        </w:tc>
      </w:tr>
    </w:tbl>
    <w:p>
      <w:pPr>
        <w:pStyle w:val="3"/>
      </w:pPr>
      <w:bookmarkStart w:id="207" w:name="_Toc214543579"/>
      <w:r>
        <w:rPr>
          <w:rFonts w:hint="eastAsia"/>
        </w:rPr>
        <w:t>建设管控要求</w:t>
      </w:r>
      <w:bookmarkEnd w:id="207"/>
    </w:p>
    <w:p>
      <w:pPr>
        <w:pStyle w:val="4"/>
        <w:numPr>
          <w:ilvl w:val="2"/>
          <w:numId w:val="1"/>
        </w:numPr>
        <w:spacing w:beforeLines="0" w:afterLines="0" w:line="588" w:lineRule="exact"/>
      </w:pPr>
      <w:r>
        <w:rPr>
          <w:rFonts w:hint="eastAsia"/>
        </w:rPr>
        <w:t>村庄建设用地管控</w:t>
      </w:r>
    </w:p>
    <w:p>
      <w:pPr>
        <w:ind w:firstLine="640"/>
      </w:pPr>
      <w:r>
        <w:rPr>
          <w:rFonts w:hint="eastAsia"/>
        </w:rPr>
        <w:t>村庄建设项目应当位于村庄建设边界内，符合乡镇国土空间规划明确的国土空间用途管制规则和建设管控要求。</w:t>
      </w:r>
    </w:p>
    <w:p>
      <w:pPr>
        <w:ind w:firstLine="640"/>
      </w:pPr>
      <w:r>
        <w:rPr>
          <w:rFonts w:hint="eastAsia"/>
        </w:rPr>
        <w:t>位于村庄建设边界外拟撤并搬迁村庄部分，不得进行翻建、扩建、改建。</w:t>
      </w:r>
    </w:p>
    <w:p>
      <w:pPr>
        <w:ind w:firstLine="640"/>
      </w:pPr>
      <w:r>
        <w:rPr>
          <w:rFonts w:hint="eastAsia"/>
        </w:rPr>
        <w:t>位于村庄建设边界内但属于撤并搬迁类村庄部分，可以进行加固、维修，但不能进行翻建、扩建、改建。</w:t>
      </w:r>
    </w:p>
    <w:p>
      <w:pPr>
        <w:ind w:firstLine="640"/>
      </w:pPr>
      <w:r>
        <w:t>村庄建设项目位于自然保护地、风景名胜区、文物保护范围和建设控制地带、历史文化名村、传统村落等区域的,还须符合相关专项规划。</w:t>
      </w:r>
    </w:p>
    <w:p>
      <w:pPr>
        <w:ind w:firstLine="640"/>
      </w:pPr>
      <w:r>
        <w:t>村庄建设项目选址位置应当遵循的一般原则：</w:t>
      </w:r>
      <w:r>
        <w:rPr>
          <w:rFonts w:hint="eastAsia"/>
        </w:rPr>
        <w:t>应选址在地质条件较好、环境适宜、交通方便的地段。坚持节约集约用地，充分利用村内空闲地、废弃地，满足消防、抗震、防洪要求，不得阻碍交通、侵占公共用地和邻里通道，妥善处理给水、排水、日照、采光、通风等方面的相邻关系。严格控制切坡建房，确因用地因难需要切坡的，应当在乡镇政府指导下，按照有关技术规范做好坡体防护工作，确保安全。</w:t>
      </w:r>
    </w:p>
    <w:p>
      <w:pPr>
        <w:ind w:firstLine="640"/>
      </w:pPr>
      <w:r>
        <w:t>村庄建设项目不得在下列地点或地段选址：</w:t>
      </w:r>
      <w:r>
        <w:rPr>
          <w:rFonts w:hint="eastAsia"/>
        </w:rPr>
        <w:t>山体滑坡、泥石流、危岩、塌陷等地质灾害易发区或次生灾害隐患易发地段。洪涝灾害危险地段。文物保护区。生态保护红线、永久基本农田保护区、永久基本农田储备区、生态资源保护区、饮用水源一级保护区、风景名胜区核心保护区、自然保护区核心区和缓冲区、历史文化核心保护范围内。输油、输气管道上、高压供电走廊下。危险化学品生产企业、危险化学品储存仓库或危房旁边。河道管理范围和水库、渠道的控制区范围内。法律、法规禁止建设建（构）筑物的其他区域。</w:t>
      </w:r>
    </w:p>
    <w:p>
      <w:pPr>
        <w:ind w:firstLine="640"/>
        <w:rPr>
          <w:lang w:bidi="ar"/>
        </w:rPr>
      </w:pPr>
      <w:r>
        <w:rPr>
          <w:lang w:bidi="ar"/>
        </w:rPr>
        <w:t>在高铁、国道、省道等交通干线两侧新建农村建筑，必须满足以下铁路、公路</w:t>
      </w:r>
      <w:r>
        <w:rPr>
          <w:rFonts w:hint="eastAsia"/>
          <w:lang w:bidi="ar"/>
        </w:rPr>
        <w:t>控制距离</w:t>
      </w:r>
      <w:r>
        <w:rPr>
          <w:lang w:bidi="ar"/>
        </w:rPr>
        <w:t>要求：</w:t>
      </w:r>
    </w:p>
    <w:tbl>
      <w:tblPr>
        <w:tblStyle w:val="31"/>
        <w:tblW w:w="83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5155"/>
        <w:gridCol w:w="17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45" w:type="dxa"/>
            <w:gridSpan w:val="3"/>
          </w:tcPr>
          <w:p>
            <w:pPr>
              <w:pStyle w:val="98"/>
              <w:rPr>
                <w:lang w:bidi="ar"/>
              </w:rPr>
            </w:pPr>
            <w:r>
              <w:rPr>
                <w:rFonts w:hint="eastAsia"/>
                <w:lang w:bidi="ar"/>
              </w:rPr>
              <w:t>专栏</w:t>
            </w:r>
            <w:r>
              <w:rPr>
                <w:lang w:bidi="ar"/>
              </w:rPr>
              <w:t xml:space="preserve">16-5 </w:t>
            </w:r>
            <w:r>
              <w:rPr>
                <w:rFonts w:hint="eastAsia"/>
                <w:lang w:bidi="ar"/>
              </w:rPr>
              <w:t>建筑退让铁路的控制距离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pPr>
            <w:r>
              <w:rPr>
                <w:rFonts w:hint="eastAsia"/>
              </w:rPr>
              <w:t>铁路等级</w:t>
            </w:r>
          </w:p>
        </w:tc>
        <w:tc>
          <w:tcPr>
            <w:tcW w:w="5155" w:type="dxa"/>
          </w:tcPr>
          <w:p>
            <w:pPr>
              <w:pStyle w:val="96"/>
            </w:pPr>
            <w:r>
              <w:rPr>
                <w:rFonts w:hint="eastAsia"/>
              </w:rPr>
              <w:t>建筑边缘与铁路路基外侧的距离（米）</w:t>
            </w:r>
          </w:p>
        </w:tc>
        <w:tc>
          <w:tcPr>
            <w:tcW w:w="1770" w:type="dxa"/>
          </w:tcPr>
          <w:p>
            <w:pPr>
              <w:pStyle w:val="96"/>
            </w:pPr>
            <w:r>
              <w:rPr>
                <w:rFonts w:hint="eastAsia"/>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pPr>
            <w:r>
              <w:rPr>
                <w:rFonts w:hint="eastAsia"/>
              </w:rPr>
              <w:t>高铁</w:t>
            </w:r>
          </w:p>
        </w:tc>
        <w:tc>
          <w:tcPr>
            <w:tcW w:w="5155" w:type="dxa"/>
          </w:tcPr>
          <w:p>
            <w:pPr>
              <w:pStyle w:val="96"/>
            </w:pPr>
            <w:r>
              <w:rPr>
                <w:rFonts w:hint="eastAsia"/>
              </w:rPr>
              <w:t>不低于50米</w:t>
            </w:r>
          </w:p>
        </w:tc>
        <w:tc>
          <w:tcPr>
            <w:tcW w:w="1770" w:type="dxa"/>
          </w:tcPr>
          <w:p>
            <w:pPr>
              <w:pStyle w:val="9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20" w:type="dxa"/>
          </w:tcPr>
          <w:p>
            <w:pPr>
              <w:pStyle w:val="96"/>
            </w:pPr>
            <w:r>
              <w:rPr>
                <w:rFonts w:hint="eastAsia"/>
              </w:rPr>
              <w:t>铁路干线</w:t>
            </w:r>
          </w:p>
        </w:tc>
        <w:tc>
          <w:tcPr>
            <w:tcW w:w="5155" w:type="dxa"/>
          </w:tcPr>
          <w:p>
            <w:pPr>
              <w:pStyle w:val="96"/>
            </w:pPr>
            <w:r>
              <w:rPr>
                <w:rFonts w:hint="eastAsia"/>
              </w:rPr>
              <w:t>不低于30米</w:t>
            </w:r>
          </w:p>
        </w:tc>
        <w:tc>
          <w:tcPr>
            <w:tcW w:w="1770" w:type="dxa"/>
          </w:tcPr>
          <w:p>
            <w:pPr>
              <w:pStyle w:val="9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pPr>
            <w:r>
              <w:rPr>
                <w:rFonts w:hint="eastAsia"/>
              </w:rPr>
              <w:t>铁路支线</w:t>
            </w:r>
          </w:p>
        </w:tc>
        <w:tc>
          <w:tcPr>
            <w:tcW w:w="5155" w:type="dxa"/>
          </w:tcPr>
          <w:p>
            <w:pPr>
              <w:pStyle w:val="96"/>
            </w:pPr>
            <w:r>
              <w:rPr>
                <w:rFonts w:hint="eastAsia"/>
              </w:rPr>
              <w:t>不低于20米</w:t>
            </w:r>
          </w:p>
        </w:tc>
        <w:tc>
          <w:tcPr>
            <w:tcW w:w="1770" w:type="dxa"/>
          </w:tcPr>
          <w:p>
            <w:pPr>
              <w:pStyle w:val="96"/>
            </w:pPr>
          </w:p>
        </w:tc>
      </w:tr>
    </w:tbl>
    <w:p>
      <w:pPr>
        <w:spacing w:line="500" w:lineRule="exact"/>
        <w:ind w:firstLine="560"/>
        <w:jc w:val="center"/>
        <w:rPr>
          <w:rFonts w:ascii="仿宋" w:hAnsi="仿宋" w:eastAsia="仿宋" w:cs="仿宋"/>
          <w:kern w:val="0"/>
          <w:sz w:val="28"/>
          <w:szCs w:val="28"/>
          <w:lang w:bidi="ar"/>
        </w:rPr>
      </w:pPr>
    </w:p>
    <w:p>
      <w:pPr>
        <w:spacing w:line="500" w:lineRule="exact"/>
        <w:ind w:firstLine="560"/>
        <w:jc w:val="center"/>
        <w:rPr>
          <w:rFonts w:ascii="仿宋" w:hAnsi="仿宋" w:eastAsia="仿宋" w:cs="仿宋"/>
          <w:kern w:val="0"/>
          <w:sz w:val="28"/>
          <w:szCs w:val="28"/>
          <w:lang w:bidi="ar"/>
        </w:rPr>
      </w:pPr>
    </w:p>
    <w:tbl>
      <w:tblPr>
        <w:tblStyle w:val="31"/>
        <w:tblW w:w="83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5155"/>
        <w:gridCol w:w="17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45" w:type="dxa"/>
            <w:gridSpan w:val="3"/>
          </w:tcPr>
          <w:p>
            <w:pPr>
              <w:pStyle w:val="98"/>
              <w:rPr>
                <w:lang w:bidi="ar"/>
              </w:rPr>
            </w:pPr>
            <w:r>
              <w:rPr>
                <w:rFonts w:hint="eastAsia"/>
                <w:lang w:bidi="ar"/>
              </w:rPr>
              <w:t>专栏1</w:t>
            </w:r>
            <w:r>
              <w:rPr>
                <w:lang w:bidi="ar"/>
              </w:rPr>
              <w:t xml:space="preserve">6-6 </w:t>
            </w:r>
            <w:r>
              <w:rPr>
                <w:rFonts w:hint="eastAsia"/>
                <w:lang w:bidi="ar"/>
              </w:rPr>
              <w:t>建筑退让公路的控制距离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lang w:bidi="ar"/>
              </w:rPr>
            </w:pPr>
            <w:r>
              <w:rPr>
                <w:rFonts w:hint="eastAsia"/>
                <w:lang w:bidi="ar"/>
              </w:rPr>
              <w:t>道路类型</w:t>
            </w:r>
          </w:p>
        </w:tc>
        <w:tc>
          <w:tcPr>
            <w:tcW w:w="5155" w:type="dxa"/>
          </w:tcPr>
          <w:p>
            <w:pPr>
              <w:pStyle w:val="96"/>
              <w:rPr>
                <w:lang w:bidi="ar"/>
              </w:rPr>
            </w:pPr>
            <w:r>
              <w:rPr>
                <w:rFonts w:hint="eastAsia"/>
                <w:lang w:bidi="ar"/>
              </w:rPr>
              <w:t>各类建筑物退让道路红线的距离（米</w:t>
            </w:r>
            <w:r>
              <w:rPr>
                <w:lang w:bidi="ar"/>
              </w:rPr>
              <w:t>）</w:t>
            </w:r>
          </w:p>
        </w:tc>
        <w:tc>
          <w:tcPr>
            <w:tcW w:w="1770" w:type="dxa"/>
          </w:tcPr>
          <w:p>
            <w:pPr>
              <w:pStyle w:val="96"/>
              <w:rPr>
                <w:lang w:bidi="ar"/>
              </w:rPr>
            </w:pPr>
            <w:r>
              <w:rPr>
                <w:rFonts w:hint="eastAsia"/>
                <w:lang w:bidi="ar"/>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lang w:bidi="ar"/>
              </w:rPr>
            </w:pPr>
            <w:r>
              <w:rPr>
                <w:rFonts w:hint="eastAsia"/>
                <w:lang w:bidi="ar"/>
              </w:rPr>
              <w:t>高速公路</w:t>
            </w:r>
          </w:p>
        </w:tc>
        <w:tc>
          <w:tcPr>
            <w:tcW w:w="5155" w:type="dxa"/>
          </w:tcPr>
          <w:p>
            <w:pPr>
              <w:pStyle w:val="96"/>
              <w:rPr>
                <w:lang w:bidi="ar"/>
              </w:rPr>
            </w:pPr>
            <w:r>
              <w:rPr>
                <w:rFonts w:hint="eastAsia"/>
                <w:lang w:bidi="ar"/>
              </w:rPr>
              <w:t>≥3</w:t>
            </w:r>
            <w:r>
              <w:rPr>
                <w:lang w:bidi="ar"/>
              </w:rPr>
              <w:t>0</w:t>
            </w:r>
          </w:p>
        </w:tc>
        <w:tc>
          <w:tcPr>
            <w:tcW w:w="1770"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20" w:type="dxa"/>
          </w:tcPr>
          <w:p>
            <w:pPr>
              <w:pStyle w:val="96"/>
              <w:rPr>
                <w:lang w:bidi="ar"/>
              </w:rPr>
            </w:pPr>
            <w:r>
              <w:rPr>
                <w:rFonts w:hint="eastAsia"/>
                <w:lang w:bidi="ar"/>
              </w:rPr>
              <w:t>国道</w:t>
            </w:r>
          </w:p>
        </w:tc>
        <w:tc>
          <w:tcPr>
            <w:tcW w:w="5155" w:type="dxa"/>
          </w:tcPr>
          <w:p>
            <w:pPr>
              <w:pStyle w:val="96"/>
              <w:rPr>
                <w:lang w:bidi="ar"/>
              </w:rPr>
            </w:pPr>
            <w:r>
              <w:rPr>
                <w:rFonts w:hint="eastAsia"/>
                <w:lang w:bidi="ar"/>
              </w:rPr>
              <w:t>≥</w:t>
            </w:r>
            <w:r>
              <w:rPr>
                <w:lang w:bidi="ar"/>
              </w:rPr>
              <w:t>20</w:t>
            </w:r>
          </w:p>
        </w:tc>
        <w:tc>
          <w:tcPr>
            <w:tcW w:w="1770"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lang w:bidi="ar"/>
              </w:rPr>
            </w:pPr>
            <w:r>
              <w:rPr>
                <w:rFonts w:hint="eastAsia"/>
                <w:lang w:bidi="ar"/>
              </w:rPr>
              <w:t>省道</w:t>
            </w:r>
          </w:p>
        </w:tc>
        <w:tc>
          <w:tcPr>
            <w:tcW w:w="5155" w:type="dxa"/>
          </w:tcPr>
          <w:p>
            <w:pPr>
              <w:pStyle w:val="96"/>
              <w:rPr>
                <w:lang w:bidi="ar"/>
              </w:rPr>
            </w:pPr>
            <w:r>
              <w:rPr>
                <w:rFonts w:hint="eastAsia"/>
                <w:lang w:bidi="ar"/>
              </w:rPr>
              <w:t>≥</w:t>
            </w:r>
            <w:r>
              <w:rPr>
                <w:lang w:bidi="ar"/>
              </w:rPr>
              <w:t>15</w:t>
            </w:r>
          </w:p>
        </w:tc>
        <w:tc>
          <w:tcPr>
            <w:tcW w:w="1770"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lang w:bidi="ar"/>
              </w:rPr>
            </w:pPr>
            <w:r>
              <w:rPr>
                <w:rFonts w:hint="eastAsia"/>
                <w:lang w:bidi="ar"/>
              </w:rPr>
              <w:t>县道</w:t>
            </w:r>
          </w:p>
        </w:tc>
        <w:tc>
          <w:tcPr>
            <w:tcW w:w="5155" w:type="dxa"/>
          </w:tcPr>
          <w:p>
            <w:pPr>
              <w:pStyle w:val="96"/>
              <w:rPr>
                <w:lang w:bidi="ar"/>
              </w:rPr>
            </w:pPr>
            <w:r>
              <w:rPr>
                <w:rFonts w:hint="eastAsia"/>
                <w:lang w:bidi="ar"/>
              </w:rPr>
              <w:t>≥</w:t>
            </w:r>
            <w:r>
              <w:rPr>
                <w:lang w:bidi="ar"/>
              </w:rPr>
              <w:t>10</w:t>
            </w:r>
          </w:p>
        </w:tc>
        <w:tc>
          <w:tcPr>
            <w:tcW w:w="1770"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lang w:bidi="ar"/>
              </w:rPr>
            </w:pPr>
            <w:r>
              <w:rPr>
                <w:rFonts w:hint="eastAsia"/>
                <w:lang w:bidi="ar"/>
              </w:rPr>
              <w:t>乡道</w:t>
            </w:r>
          </w:p>
        </w:tc>
        <w:tc>
          <w:tcPr>
            <w:tcW w:w="5155" w:type="dxa"/>
          </w:tcPr>
          <w:p>
            <w:pPr>
              <w:pStyle w:val="96"/>
              <w:rPr>
                <w:lang w:bidi="ar"/>
              </w:rPr>
            </w:pPr>
            <w:r>
              <w:rPr>
                <w:rFonts w:hint="eastAsia"/>
                <w:lang w:bidi="ar"/>
              </w:rPr>
              <w:t>≥</w:t>
            </w:r>
            <w:r>
              <w:rPr>
                <w:lang w:bidi="ar"/>
              </w:rPr>
              <w:t>5</w:t>
            </w:r>
          </w:p>
        </w:tc>
        <w:tc>
          <w:tcPr>
            <w:tcW w:w="1770"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20" w:type="dxa"/>
          </w:tcPr>
          <w:p>
            <w:pPr>
              <w:pStyle w:val="96"/>
              <w:rPr>
                <w:lang w:bidi="ar"/>
              </w:rPr>
            </w:pPr>
            <w:r>
              <w:rPr>
                <w:rFonts w:hint="eastAsia"/>
                <w:lang w:bidi="ar"/>
              </w:rPr>
              <w:t>村道</w:t>
            </w:r>
          </w:p>
        </w:tc>
        <w:tc>
          <w:tcPr>
            <w:tcW w:w="5155" w:type="dxa"/>
          </w:tcPr>
          <w:p>
            <w:pPr>
              <w:pStyle w:val="96"/>
              <w:rPr>
                <w:lang w:bidi="ar"/>
              </w:rPr>
            </w:pPr>
            <w:r>
              <w:rPr>
                <w:rFonts w:hint="eastAsia"/>
                <w:lang w:bidi="ar"/>
              </w:rPr>
              <w:t>≥</w:t>
            </w:r>
            <w:r>
              <w:rPr>
                <w:lang w:bidi="ar"/>
              </w:rPr>
              <w:t>3</w:t>
            </w:r>
          </w:p>
        </w:tc>
        <w:tc>
          <w:tcPr>
            <w:tcW w:w="1770"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lang w:bidi="ar"/>
              </w:rPr>
            </w:pPr>
            <w:r>
              <w:rPr>
                <w:rFonts w:hint="eastAsia"/>
                <w:lang w:bidi="ar"/>
              </w:rPr>
              <w:t>村域主干路</w:t>
            </w:r>
          </w:p>
        </w:tc>
        <w:tc>
          <w:tcPr>
            <w:tcW w:w="5155" w:type="dxa"/>
          </w:tcPr>
          <w:p>
            <w:pPr>
              <w:pStyle w:val="96"/>
              <w:rPr>
                <w:lang w:bidi="ar"/>
              </w:rPr>
            </w:pPr>
            <w:r>
              <w:rPr>
                <w:rFonts w:hint="eastAsia"/>
                <w:lang w:bidi="ar"/>
              </w:rPr>
              <w:t>≥</w:t>
            </w:r>
            <w:r>
              <w:rPr>
                <w:lang w:bidi="ar"/>
              </w:rPr>
              <w:t>1.5</w:t>
            </w:r>
          </w:p>
        </w:tc>
        <w:tc>
          <w:tcPr>
            <w:tcW w:w="1770" w:type="dxa"/>
          </w:tcPr>
          <w:p>
            <w:pPr>
              <w:pStyle w:val="96"/>
              <w:rPr>
                <w:lang w:bidi="ar"/>
              </w:rPr>
            </w:pPr>
          </w:p>
        </w:tc>
      </w:tr>
    </w:tbl>
    <w:p>
      <w:pPr>
        <w:pStyle w:val="105"/>
      </w:pPr>
      <w:r>
        <w:rPr>
          <w:rFonts w:hint="eastAsia"/>
        </w:rPr>
        <w:t>注：若村内有约定的建筑退让道路红线距离，按照约定的退让距离执行。</w:t>
      </w:r>
    </w:p>
    <w:p>
      <w:pPr>
        <w:ind w:firstLine="640"/>
      </w:pPr>
      <w:r>
        <w:t>乡村范围内各类建筑退河道（水库）管护范围线不得小于5米，且应结合防洪、生态、水系及其他专项规划进行合理控制。</w:t>
      </w:r>
    </w:p>
    <w:p>
      <w:pPr>
        <w:pStyle w:val="4"/>
        <w:numPr>
          <w:ilvl w:val="2"/>
          <w:numId w:val="1"/>
        </w:numPr>
        <w:spacing w:beforeLines="0" w:afterLines="0" w:line="588" w:lineRule="exact"/>
      </w:pPr>
      <w:r>
        <w:t>农村村民自建住房管控</w:t>
      </w:r>
    </w:p>
    <w:p>
      <w:pPr>
        <w:ind w:firstLine="640"/>
      </w:pPr>
      <w:r>
        <w:t>村庄建设边界内建设用地优先保障村民自建住房用地，住宅用地不足的不得安排其他产业用地。</w:t>
      </w:r>
      <w:r>
        <w:rPr>
          <w:rFonts w:hint="eastAsia"/>
        </w:rPr>
        <w:t>村庄用地规划按住宅用地、村庄公共设施、公益事业、产业用地顺序保障。</w:t>
      </w:r>
    </w:p>
    <w:p>
      <w:pPr>
        <w:ind w:firstLine="640"/>
      </w:pPr>
      <w:r>
        <w:t>农村村民自建住房建设主体应符合农村宅基地申请条件。</w:t>
      </w:r>
      <w:r>
        <w:rPr>
          <w:rFonts w:hint="eastAsia"/>
        </w:rPr>
        <w:t>农村村民一户只能拥有一处宅基地。新建宅基地平原地区</w:t>
      </w:r>
      <w:r>
        <w:t>每户宅基地面积不得超过167平方米</w:t>
      </w:r>
      <w:r>
        <w:rPr>
          <w:rFonts w:hint="eastAsia"/>
        </w:rPr>
        <w:t>，新建宅基地山地、丘陵地区</w:t>
      </w:r>
      <w:r>
        <w:t>每户宅基地面积不得超过200平方米。</w:t>
      </w:r>
    </w:p>
    <w:p>
      <w:pPr>
        <w:ind w:firstLine="640"/>
      </w:pPr>
      <w:r>
        <w:rPr>
          <w:rFonts w:hint="eastAsia"/>
        </w:rPr>
        <w:t>利用村内原宅基地改造、翻建的，应符合村规民约，与周边住宅建筑对齐，不得扩大用地规模。涉及妨碍村庄道路等公共空间的，须按村规民约退出。</w:t>
      </w:r>
    </w:p>
    <w:p>
      <w:pPr>
        <w:ind w:firstLine="640"/>
      </w:pPr>
      <w:r>
        <w:rPr>
          <w:rFonts w:hint="eastAsia"/>
        </w:rPr>
        <w:t>村民按照规划另选址建房的，无偿退回原有宅基地。</w:t>
      </w:r>
    </w:p>
    <w:p>
      <w:pPr>
        <w:ind w:firstLine="640"/>
      </w:pPr>
      <w:r>
        <w:t>村村民自建住房建筑一般以两层为主，最高不超过三层，建筑限高12米。</w:t>
      </w:r>
    </w:p>
    <w:p>
      <w:pPr>
        <w:ind w:firstLine="640"/>
      </w:pPr>
      <w:r>
        <w:rPr>
          <w:rFonts w:hint="eastAsia"/>
        </w:rPr>
        <w:t>各村村民自建住房在不超建筑限高</w:t>
      </w:r>
      <w:r>
        <w:t>12米的前提下，可根据本村规民约、风土人情、地理环境特点等因素合理确定各村住宅层高及限高，并体现在本村村庄规划或村规民约中。</w:t>
      </w:r>
    </w:p>
    <w:p>
      <w:pPr>
        <w:ind w:firstLine="640"/>
      </w:pPr>
      <w:r>
        <w:rPr>
          <w:rFonts w:hint="eastAsia"/>
        </w:rPr>
        <w:t>对于机场、风景名胜区、文物保护区、传统村落保护区等特殊地段的村民自建住宅，建筑限高还须符合其他相关部门的专项规定。</w:t>
      </w:r>
    </w:p>
    <w:p>
      <w:pPr>
        <w:ind w:firstLine="640"/>
      </w:pPr>
      <w:r>
        <w:rPr>
          <w:rFonts w:hint="eastAsia"/>
        </w:rPr>
        <w:t>平原地区室内外高差不宜大于</w:t>
      </w:r>
      <w:r>
        <w:t>0.45米、院落和街巷高差不宜大于0.3米</w:t>
      </w:r>
      <w:r>
        <w:rPr>
          <w:rFonts w:hint="eastAsia" w:ascii="仿宋_GB2312" w:hAnsi="仿宋_GB2312" w:cs="仿宋_GB2312"/>
        </w:rPr>
        <w:t>。</w:t>
      </w:r>
    </w:p>
    <w:p>
      <w:pPr>
        <w:ind w:firstLine="640"/>
      </w:pPr>
      <w:r>
        <w:t>农村村民自建住宅建筑</w:t>
      </w:r>
      <w:r>
        <w:rPr>
          <w:rFonts w:hint="eastAsia"/>
        </w:rPr>
        <w:t>间</w:t>
      </w:r>
      <w:r>
        <w:t>距应符合村规民约，不妨害相邻权、地役权，应保证相邻利益方房屋的正常采光和通行要求，并符合《农村防火规范（GB50039-2010）》规定。</w:t>
      </w:r>
      <w:r>
        <w:rPr>
          <w:rFonts w:hint="eastAsia"/>
        </w:rPr>
        <w:t>村民联排自建住房（并山）可不考虑山墙建筑间距。</w:t>
      </w:r>
    </w:p>
    <w:p>
      <w:pPr>
        <w:ind w:firstLine="640"/>
      </w:pPr>
      <w:r>
        <w:t>农村村民自建住宅临村内道路进行住宅建设，宜按下列原则退让道路。</w:t>
      </w:r>
      <w:r>
        <w:rPr>
          <w:rFonts w:hint="eastAsia"/>
        </w:rPr>
        <w:t>新建村民自建住房临路方向应与同侧相邻建筑外墙面边界齐平，保证沿路建筑的整齐美观。临路方向退缩距离如有村规民约的，按照村规民约约定退让距离执行。村规民约没有约定的，按照正向临路方向退缩不宜小于</w:t>
      </w:r>
      <w:r>
        <w:t>2米(以道路边线为基准)，侧向临路方向退缩不宜小于1米(以道路中边线为基准)规定执行。</w:t>
      </w:r>
      <w:r>
        <w:rPr>
          <w:rFonts w:hint="eastAsia"/>
        </w:rPr>
        <w:t>村民自建住房与其他公共建筑、企业、仓储等建筑间距离，须符合建筑防火规范。</w:t>
      </w:r>
    </w:p>
    <w:p>
      <w:pPr>
        <w:ind w:firstLine="640"/>
      </w:pPr>
      <w:r>
        <w:t>农村村民自建住房可按照</w:t>
      </w:r>
      <w:r>
        <w:rPr>
          <w:rFonts w:hint="eastAsia"/>
        </w:rPr>
        <w:t>村庄规划推荐</w:t>
      </w:r>
      <w:r>
        <w:t>的农村住房设计图集建设或自行聘请设计单位进行。自行设计的，建筑风貌应与本村建筑风貌一致，符合村规民约，尊重本村居民居住习惯。村民自建低层经营性建筑或三层（含）以上住宅的，必须由有资质建筑设计单位进行设计，并按有关建筑规范要求施工。</w:t>
      </w:r>
    </w:p>
    <w:p>
      <w:pPr>
        <w:ind w:firstLine="640"/>
      </w:pPr>
      <w:r>
        <w:t>鼓励开展“空心村”、闲置用地整治，集约节约用地。为节约集约用地，对宅基地特别紧张的村庄，集体经济组织可通过综合整治，本着村民自愿的原则，统筹建设多层村民集中住宅楼，实现户有所居。</w:t>
      </w:r>
      <w:r>
        <w:rPr>
          <w:rFonts w:hint="eastAsia"/>
        </w:rPr>
        <w:t>村民集中住宅楼只限本村村民，不得对外销售、租赁。</w:t>
      </w:r>
    </w:p>
    <w:p>
      <w:pPr>
        <w:ind w:firstLine="640"/>
      </w:pPr>
      <w:r>
        <w:t>村民集中住宅楼、保障性租赁住房可按下列指标控制：</w:t>
      </w:r>
    </w:p>
    <w:tbl>
      <w:tblPr>
        <w:tblStyle w:val="31"/>
        <w:tblpPr w:leftFromText="180" w:rightFromText="180" w:vertAnchor="text" w:horzAnchor="page" w:tblpX="1821" w:tblpY="286"/>
        <w:tblOverlap w:val="never"/>
        <w:tblW w:w="534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3"/>
        <w:gridCol w:w="1312"/>
        <w:gridCol w:w="1932"/>
        <w:gridCol w:w="1853"/>
        <w:gridCol w:w="1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trPr>
        <w:tc>
          <w:tcPr>
            <w:tcW w:w="5000" w:type="pct"/>
            <w:gridSpan w:val="5"/>
          </w:tcPr>
          <w:p>
            <w:pPr>
              <w:pStyle w:val="98"/>
            </w:pPr>
            <w:r>
              <w:rPr>
                <w:rFonts w:hint="eastAsia"/>
              </w:rPr>
              <w:t>专栏</w:t>
            </w:r>
            <w:r>
              <w:t xml:space="preserve">16-7 </w:t>
            </w:r>
            <w:r>
              <w:rPr>
                <w:rFonts w:hint="eastAsia"/>
              </w:rPr>
              <w:t>村庄集中住宅楼、保障性租赁住房建设指标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trPr>
        <w:tc>
          <w:tcPr>
            <w:tcW w:w="1116" w:type="pct"/>
          </w:tcPr>
          <w:p>
            <w:pPr>
              <w:pStyle w:val="96"/>
            </w:pPr>
            <w:r>
              <w:rPr>
                <w:rFonts w:hint="eastAsia"/>
              </w:rPr>
              <w:t>建筑层数（层）</w:t>
            </w:r>
          </w:p>
        </w:tc>
        <w:tc>
          <w:tcPr>
            <w:tcW w:w="720" w:type="pct"/>
          </w:tcPr>
          <w:p>
            <w:pPr>
              <w:pStyle w:val="96"/>
            </w:pPr>
            <w:r>
              <w:rPr>
                <w:rFonts w:hint="eastAsia"/>
              </w:rPr>
              <w:t>容积率</w:t>
            </w:r>
          </w:p>
        </w:tc>
        <w:tc>
          <w:tcPr>
            <w:tcW w:w="1060" w:type="pct"/>
          </w:tcPr>
          <w:p>
            <w:pPr>
              <w:pStyle w:val="96"/>
            </w:pPr>
            <w:r>
              <w:rPr>
                <w:rFonts w:hint="eastAsia"/>
              </w:rPr>
              <w:t>建筑密度（%）</w:t>
            </w:r>
          </w:p>
        </w:tc>
        <w:tc>
          <w:tcPr>
            <w:tcW w:w="1017" w:type="pct"/>
          </w:tcPr>
          <w:p>
            <w:pPr>
              <w:pStyle w:val="96"/>
            </w:pPr>
            <w:r>
              <w:rPr>
                <w:rFonts w:hint="eastAsia"/>
              </w:rPr>
              <w:t>绿地率（%）</w:t>
            </w:r>
          </w:p>
        </w:tc>
        <w:tc>
          <w:tcPr>
            <w:tcW w:w="1087" w:type="pct"/>
          </w:tcPr>
          <w:p>
            <w:pPr>
              <w:pStyle w:val="96"/>
            </w:pPr>
            <w:r>
              <w:rPr>
                <w:rFonts w:hint="eastAsia"/>
              </w:rPr>
              <w:t>建筑高度（米）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trPr>
        <w:tc>
          <w:tcPr>
            <w:tcW w:w="1116" w:type="pct"/>
          </w:tcPr>
          <w:p>
            <w:pPr>
              <w:pStyle w:val="96"/>
            </w:pPr>
            <w:r>
              <w:rPr>
                <w:rFonts w:hint="eastAsia"/>
              </w:rPr>
              <w:t>≤3</w:t>
            </w:r>
          </w:p>
        </w:tc>
        <w:tc>
          <w:tcPr>
            <w:tcW w:w="720" w:type="pct"/>
          </w:tcPr>
          <w:p>
            <w:pPr>
              <w:pStyle w:val="96"/>
            </w:pPr>
            <w:r>
              <w:rPr>
                <w:rFonts w:hint="eastAsia"/>
              </w:rPr>
              <w:t>≥0</w:t>
            </w:r>
            <w:r>
              <w:t>.8</w:t>
            </w:r>
          </w:p>
        </w:tc>
        <w:tc>
          <w:tcPr>
            <w:tcW w:w="1060" w:type="pct"/>
          </w:tcPr>
          <w:p>
            <w:pPr>
              <w:pStyle w:val="96"/>
            </w:pPr>
            <w:r>
              <w:rPr>
                <w:rFonts w:hint="eastAsia"/>
              </w:rPr>
              <w:t>≤4</w:t>
            </w:r>
            <w:r>
              <w:t>7</w:t>
            </w:r>
          </w:p>
        </w:tc>
        <w:tc>
          <w:tcPr>
            <w:tcW w:w="1017" w:type="pct"/>
          </w:tcPr>
          <w:p>
            <w:pPr>
              <w:pStyle w:val="96"/>
            </w:pPr>
            <w:r>
              <w:rPr>
                <w:rFonts w:hint="eastAsia"/>
              </w:rPr>
              <w:t>≥2</w:t>
            </w:r>
            <w:r>
              <w:t>3</w:t>
            </w:r>
          </w:p>
        </w:tc>
        <w:tc>
          <w:tcPr>
            <w:tcW w:w="1087" w:type="pct"/>
          </w:tcPr>
          <w:p>
            <w:pPr>
              <w:pStyle w:val="96"/>
            </w:pPr>
            <w:r>
              <w:rPr>
                <w:rFonts w:hint="eastAsia"/>
              </w:rPr>
              <w:t>≤1</w:t>
            </w: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trPr>
        <w:tc>
          <w:tcPr>
            <w:tcW w:w="1116" w:type="pct"/>
          </w:tcPr>
          <w:p>
            <w:pPr>
              <w:pStyle w:val="96"/>
              <w:rPr>
                <w:rFonts w:ascii="仿宋_GB2312"/>
              </w:rPr>
            </w:pPr>
            <w:r>
              <w:rPr>
                <w:rFonts w:hint="eastAsia"/>
              </w:rPr>
              <w:t>4</w:t>
            </w:r>
            <w:r>
              <w:t>-6</w:t>
            </w:r>
          </w:p>
        </w:tc>
        <w:tc>
          <w:tcPr>
            <w:tcW w:w="720" w:type="pct"/>
          </w:tcPr>
          <w:p>
            <w:pPr>
              <w:pStyle w:val="96"/>
              <w:rPr>
                <w:rFonts w:ascii="仿宋_GB2312"/>
              </w:rPr>
            </w:pPr>
            <w:r>
              <w:rPr>
                <w:rFonts w:hint="eastAsia"/>
              </w:rPr>
              <w:t>≥</w:t>
            </w:r>
            <w:r>
              <w:t>1.2</w:t>
            </w:r>
          </w:p>
        </w:tc>
        <w:tc>
          <w:tcPr>
            <w:tcW w:w="1060" w:type="pct"/>
          </w:tcPr>
          <w:p>
            <w:pPr>
              <w:pStyle w:val="96"/>
              <w:rPr>
                <w:rFonts w:ascii="仿宋_GB2312"/>
              </w:rPr>
            </w:pPr>
            <w:r>
              <w:rPr>
                <w:rFonts w:hint="eastAsia"/>
              </w:rPr>
              <w:t>≤3</w:t>
            </w:r>
            <w:r>
              <w:t>8</w:t>
            </w:r>
          </w:p>
        </w:tc>
        <w:tc>
          <w:tcPr>
            <w:tcW w:w="1017" w:type="pct"/>
          </w:tcPr>
          <w:p>
            <w:pPr>
              <w:pStyle w:val="96"/>
              <w:rPr>
                <w:rFonts w:ascii="仿宋_GB2312"/>
              </w:rPr>
            </w:pPr>
            <w:r>
              <w:rPr>
                <w:rFonts w:hint="eastAsia"/>
              </w:rPr>
              <w:t>≥</w:t>
            </w:r>
            <w:r>
              <w:t>28</w:t>
            </w:r>
          </w:p>
        </w:tc>
        <w:tc>
          <w:tcPr>
            <w:tcW w:w="1087" w:type="pct"/>
          </w:tcPr>
          <w:p>
            <w:pPr>
              <w:pStyle w:val="96"/>
              <w:rPr>
                <w:rFonts w:ascii="仿宋_GB2312"/>
              </w:rPr>
            </w:pPr>
            <w:r>
              <w:rPr>
                <w:rFonts w:hint="eastAsia"/>
              </w:rPr>
              <w:t>≤</w:t>
            </w:r>
            <w:r>
              <w:t>24</w:t>
            </w:r>
          </w:p>
        </w:tc>
      </w:tr>
    </w:tbl>
    <w:p>
      <w:pPr>
        <w:ind w:firstLine="640"/>
      </w:pPr>
      <w:r>
        <w:t>村民集中住宅楼、保障性租赁住房建筑间距、建筑退让及其他配套设施设置可参照城市居住区有关标准执行。</w:t>
      </w:r>
    </w:p>
    <w:p>
      <w:pPr>
        <w:pStyle w:val="4"/>
        <w:numPr>
          <w:ilvl w:val="2"/>
          <w:numId w:val="1"/>
        </w:numPr>
        <w:spacing w:beforeLines="0" w:afterLines="0" w:line="588" w:lineRule="exact"/>
      </w:pPr>
      <w:r>
        <w:rPr>
          <w:rFonts w:hint="eastAsia"/>
        </w:rPr>
        <w:t>村庄基础设施</w:t>
      </w:r>
    </w:p>
    <w:p>
      <w:pPr>
        <w:ind w:firstLine="640"/>
      </w:pPr>
      <w:r>
        <w:t>落实镇国土空间规划规划确定的区域性基础设施，在梳理村庄现状设施的基础上，结合实际需求，明确道路、给排水、环卫等设施的设置要求。</w:t>
      </w:r>
    </w:p>
    <w:tbl>
      <w:tblPr>
        <w:tblStyle w:val="31"/>
        <w:tblW w:w="82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5"/>
        <w:gridCol w:w="1984"/>
        <w:gridCol w:w="1559"/>
        <w:gridCol w:w="1701"/>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217" w:type="dxa"/>
            <w:gridSpan w:val="5"/>
            <w:vAlign w:val="center"/>
          </w:tcPr>
          <w:p>
            <w:pPr>
              <w:pStyle w:val="98"/>
              <w:rPr>
                <w:lang w:bidi="ar"/>
              </w:rPr>
            </w:pPr>
            <w:r>
              <w:rPr>
                <w:rFonts w:hint="eastAsia"/>
                <w:lang w:bidi="ar"/>
              </w:rPr>
              <w:t>专栏</w:t>
            </w:r>
            <w:r>
              <w:rPr>
                <w:lang w:bidi="ar"/>
              </w:rPr>
              <w:t xml:space="preserve">16-8 </w:t>
            </w:r>
            <w:r>
              <w:rPr>
                <w:rFonts w:hint="eastAsia"/>
                <w:lang w:bidi="ar"/>
              </w:rPr>
              <w:t>村庄基础设施分类及项目基本配置表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restart"/>
            <w:vAlign w:val="center"/>
          </w:tcPr>
          <w:p>
            <w:pPr>
              <w:pStyle w:val="96"/>
              <w:rPr>
                <w:lang w:bidi="ar"/>
              </w:rPr>
            </w:pPr>
            <w:r>
              <w:rPr>
                <w:rFonts w:hint="eastAsia"/>
                <w:lang w:bidi="ar"/>
              </w:rPr>
              <w:t>类别</w:t>
            </w:r>
          </w:p>
        </w:tc>
        <w:tc>
          <w:tcPr>
            <w:tcW w:w="1984" w:type="dxa"/>
            <w:vMerge w:val="restart"/>
            <w:vAlign w:val="center"/>
          </w:tcPr>
          <w:p>
            <w:pPr>
              <w:pStyle w:val="96"/>
              <w:rPr>
                <w:lang w:bidi="ar"/>
              </w:rPr>
            </w:pPr>
            <w:r>
              <w:rPr>
                <w:rFonts w:hint="eastAsia"/>
                <w:lang w:bidi="ar"/>
              </w:rPr>
              <w:t>项目</w:t>
            </w:r>
          </w:p>
        </w:tc>
        <w:tc>
          <w:tcPr>
            <w:tcW w:w="4678" w:type="dxa"/>
            <w:gridSpan w:val="3"/>
            <w:vAlign w:val="center"/>
          </w:tcPr>
          <w:p>
            <w:pPr>
              <w:pStyle w:val="96"/>
              <w:rPr>
                <w:lang w:bidi="ar"/>
              </w:rPr>
            </w:pPr>
            <w:r>
              <w:rPr>
                <w:rFonts w:hint="eastAsia"/>
                <w:lang w:bidi="ar"/>
              </w:rPr>
              <w:t>基础设施项目配置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continue"/>
          </w:tcPr>
          <w:p>
            <w:pPr>
              <w:pStyle w:val="96"/>
              <w:rPr>
                <w:lang w:bidi="ar"/>
              </w:rPr>
            </w:pPr>
          </w:p>
        </w:tc>
        <w:tc>
          <w:tcPr>
            <w:tcW w:w="1984" w:type="dxa"/>
            <w:vMerge w:val="continue"/>
          </w:tcPr>
          <w:p>
            <w:pPr>
              <w:pStyle w:val="96"/>
              <w:rPr>
                <w:lang w:bidi="ar"/>
              </w:rPr>
            </w:pPr>
          </w:p>
        </w:tc>
        <w:tc>
          <w:tcPr>
            <w:tcW w:w="1559" w:type="dxa"/>
          </w:tcPr>
          <w:p>
            <w:pPr>
              <w:pStyle w:val="96"/>
              <w:rPr>
                <w:lang w:bidi="ar"/>
              </w:rPr>
            </w:pPr>
            <w:r>
              <w:rPr>
                <w:rFonts w:hint="eastAsia"/>
                <w:lang w:bidi="ar"/>
              </w:rPr>
              <w:t>集聚提升类</w:t>
            </w:r>
          </w:p>
        </w:tc>
        <w:tc>
          <w:tcPr>
            <w:tcW w:w="1701" w:type="dxa"/>
          </w:tcPr>
          <w:p>
            <w:pPr>
              <w:pStyle w:val="96"/>
              <w:rPr>
                <w:lang w:bidi="ar"/>
              </w:rPr>
            </w:pPr>
            <w:r>
              <w:rPr>
                <w:rFonts w:hint="eastAsia"/>
                <w:lang w:bidi="ar"/>
              </w:rPr>
              <w:t>特色保护类</w:t>
            </w:r>
          </w:p>
        </w:tc>
        <w:tc>
          <w:tcPr>
            <w:tcW w:w="1418" w:type="dxa"/>
          </w:tcPr>
          <w:p>
            <w:pPr>
              <w:pStyle w:val="96"/>
              <w:rPr>
                <w:lang w:bidi="ar"/>
              </w:rPr>
            </w:pPr>
            <w:r>
              <w:rPr>
                <w:rFonts w:hint="eastAsia"/>
                <w:lang w:bidi="ar"/>
              </w:rPr>
              <w:t>整治改善类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restart"/>
            <w:vAlign w:val="center"/>
          </w:tcPr>
          <w:p>
            <w:pPr>
              <w:pStyle w:val="96"/>
              <w:rPr>
                <w:lang w:bidi="ar"/>
              </w:rPr>
            </w:pPr>
            <w:r>
              <w:rPr>
                <w:rFonts w:hint="eastAsia"/>
                <w:lang w:bidi="ar"/>
              </w:rPr>
              <w:t>道路交通</w:t>
            </w:r>
          </w:p>
        </w:tc>
        <w:tc>
          <w:tcPr>
            <w:tcW w:w="1984" w:type="dxa"/>
          </w:tcPr>
          <w:p>
            <w:pPr>
              <w:pStyle w:val="96"/>
              <w:rPr>
                <w:lang w:bidi="ar"/>
              </w:rPr>
            </w:pPr>
            <w:r>
              <w:rPr>
                <w:rFonts w:hint="eastAsia"/>
                <w:lang w:bidi="ar"/>
              </w:rPr>
              <w:t>公交站点</w:t>
            </w:r>
          </w:p>
        </w:tc>
        <w:tc>
          <w:tcPr>
            <w:tcW w:w="1559" w:type="dxa"/>
          </w:tcPr>
          <w:p>
            <w:pPr>
              <w:pStyle w:val="96"/>
              <w:rPr>
                <w:lang w:bidi="ar"/>
              </w:rPr>
            </w:pPr>
            <w:r>
              <w:rPr>
                <w:rFonts w:hint="eastAsia"/>
                <w:lang w:bidi="ar"/>
              </w:rPr>
              <w:t>●</w:t>
            </w:r>
          </w:p>
        </w:tc>
        <w:tc>
          <w:tcPr>
            <w:tcW w:w="1701" w:type="dxa"/>
          </w:tcPr>
          <w:p>
            <w:pPr>
              <w:pStyle w:val="96"/>
              <w:rPr>
                <w:lang w:bidi="ar"/>
              </w:rPr>
            </w:pPr>
            <w:r>
              <w:rPr>
                <w:rFonts w:hint="eastAsia"/>
                <w:lang w:bidi="ar"/>
              </w:rPr>
              <w:t>○</w:t>
            </w:r>
          </w:p>
        </w:tc>
        <w:tc>
          <w:tcPr>
            <w:tcW w:w="1418" w:type="dxa"/>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continue"/>
            <w:vAlign w:val="center"/>
          </w:tcPr>
          <w:p>
            <w:pPr>
              <w:pStyle w:val="96"/>
              <w:rPr>
                <w:lang w:bidi="ar"/>
              </w:rPr>
            </w:pPr>
          </w:p>
        </w:tc>
        <w:tc>
          <w:tcPr>
            <w:tcW w:w="1984" w:type="dxa"/>
          </w:tcPr>
          <w:p>
            <w:pPr>
              <w:pStyle w:val="96"/>
              <w:rPr>
                <w:lang w:bidi="ar"/>
              </w:rPr>
            </w:pPr>
            <w:r>
              <w:rPr>
                <w:rFonts w:hint="eastAsia"/>
                <w:lang w:bidi="ar"/>
              </w:rPr>
              <w:t>停车场</w:t>
            </w:r>
          </w:p>
        </w:tc>
        <w:tc>
          <w:tcPr>
            <w:tcW w:w="1559" w:type="dxa"/>
          </w:tcPr>
          <w:p>
            <w:pPr>
              <w:pStyle w:val="96"/>
              <w:rPr>
                <w:lang w:bidi="ar"/>
              </w:rPr>
            </w:pPr>
            <w:r>
              <w:rPr>
                <w:rFonts w:hint="eastAsia"/>
                <w:lang w:bidi="ar"/>
              </w:rPr>
              <w:t>●</w:t>
            </w:r>
          </w:p>
        </w:tc>
        <w:tc>
          <w:tcPr>
            <w:tcW w:w="1701" w:type="dxa"/>
          </w:tcPr>
          <w:p>
            <w:pPr>
              <w:pStyle w:val="96"/>
              <w:rPr>
                <w:lang w:bidi="ar"/>
              </w:rPr>
            </w:pPr>
            <w:r>
              <w:rPr>
                <w:rFonts w:hint="eastAsia"/>
                <w:lang w:bidi="ar"/>
              </w:rPr>
              <w:t>●</w:t>
            </w:r>
          </w:p>
        </w:tc>
        <w:tc>
          <w:tcPr>
            <w:tcW w:w="1418" w:type="dxa"/>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restart"/>
            <w:vAlign w:val="center"/>
          </w:tcPr>
          <w:p>
            <w:pPr>
              <w:pStyle w:val="96"/>
              <w:rPr>
                <w:lang w:bidi="ar"/>
              </w:rPr>
            </w:pPr>
            <w:r>
              <w:rPr>
                <w:rFonts w:hint="eastAsia"/>
                <w:lang w:bidi="ar"/>
              </w:rPr>
              <w:t>市政设施</w:t>
            </w:r>
          </w:p>
        </w:tc>
        <w:tc>
          <w:tcPr>
            <w:tcW w:w="1984" w:type="dxa"/>
          </w:tcPr>
          <w:p>
            <w:pPr>
              <w:pStyle w:val="96"/>
              <w:rPr>
                <w:lang w:bidi="ar"/>
              </w:rPr>
            </w:pPr>
            <w:r>
              <w:rPr>
                <w:rFonts w:hint="eastAsia"/>
                <w:lang w:bidi="ar"/>
              </w:rPr>
              <w:t>变压器，配电室</w:t>
            </w:r>
          </w:p>
        </w:tc>
        <w:tc>
          <w:tcPr>
            <w:tcW w:w="1559" w:type="dxa"/>
          </w:tcPr>
          <w:p>
            <w:pPr>
              <w:pStyle w:val="96"/>
              <w:rPr>
                <w:lang w:bidi="ar"/>
              </w:rPr>
            </w:pPr>
            <w:r>
              <w:rPr>
                <w:rFonts w:hint="eastAsia"/>
                <w:lang w:bidi="ar"/>
              </w:rPr>
              <w:t>●</w:t>
            </w:r>
          </w:p>
        </w:tc>
        <w:tc>
          <w:tcPr>
            <w:tcW w:w="1701" w:type="dxa"/>
          </w:tcPr>
          <w:p>
            <w:pPr>
              <w:pStyle w:val="96"/>
              <w:rPr>
                <w:lang w:bidi="ar"/>
              </w:rPr>
            </w:pPr>
            <w:r>
              <w:rPr>
                <w:rFonts w:hint="eastAsia"/>
                <w:lang w:bidi="ar"/>
              </w:rPr>
              <w:t>●</w:t>
            </w:r>
          </w:p>
        </w:tc>
        <w:tc>
          <w:tcPr>
            <w:tcW w:w="1418" w:type="dxa"/>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continue"/>
            <w:vAlign w:val="center"/>
          </w:tcPr>
          <w:p>
            <w:pPr>
              <w:pStyle w:val="96"/>
              <w:rPr>
                <w:lang w:bidi="ar"/>
              </w:rPr>
            </w:pPr>
          </w:p>
        </w:tc>
        <w:tc>
          <w:tcPr>
            <w:tcW w:w="1984" w:type="dxa"/>
          </w:tcPr>
          <w:p>
            <w:pPr>
              <w:pStyle w:val="96"/>
              <w:rPr>
                <w:lang w:bidi="ar"/>
              </w:rPr>
            </w:pPr>
            <w:r>
              <w:rPr>
                <w:rFonts w:hint="eastAsia"/>
                <w:lang w:bidi="ar"/>
              </w:rPr>
              <w:t>污水处理设施</w:t>
            </w:r>
          </w:p>
        </w:tc>
        <w:tc>
          <w:tcPr>
            <w:tcW w:w="1559" w:type="dxa"/>
          </w:tcPr>
          <w:p>
            <w:pPr>
              <w:pStyle w:val="96"/>
              <w:rPr>
                <w:lang w:bidi="ar"/>
              </w:rPr>
            </w:pPr>
            <w:r>
              <w:rPr>
                <w:rFonts w:hint="eastAsia"/>
                <w:lang w:bidi="ar"/>
              </w:rPr>
              <w:t>●</w:t>
            </w:r>
          </w:p>
        </w:tc>
        <w:tc>
          <w:tcPr>
            <w:tcW w:w="1701" w:type="dxa"/>
          </w:tcPr>
          <w:p>
            <w:pPr>
              <w:pStyle w:val="96"/>
              <w:rPr>
                <w:lang w:bidi="ar"/>
              </w:rPr>
            </w:pPr>
            <w:r>
              <w:rPr>
                <w:rFonts w:hint="eastAsia"/>
                <w:lang w:bidi="ar"/>
              </w:rPr>
              <w:t>●</w:t>
            </w:r>
          </w:p>
        </w:tc>
        <w:tc>
          <w:tcPr>
            <w:tcW w:w="1418" w:type="dxa"/>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continue"/>
            <w:vAlign w:val="center"/>
          </w:tcPr>
          <w:p>
            <w:pPr>
              <w:pStyle w:val="96"/>
              <w:rPr>
                <w:lang w:bidi="ar"/>
              </w:rPr>
            </w:pPr>
          </w:p>
        </w:tc>
        <w:tc>
          <w:tcPr>
            <w:tcW w:w="1984" w:type="dxa"/>
          </w:tcPr>
          <w:p>
            <w:pPr>
              <w:pStyle w:val="96"/>
              <w:rPr>
                <w:lang w:bidi="ar"/>
              </w:rPr>
            </w:pPr>
            <w:r>
              <w:rPr>
                <w:rFonts w:hint="eastAsia"/>
                <w:lang w:bidi="ar"/>
              </w:rPr>
              <w:t>水泵房</w:t>
            </w:r>
          </w:p>
        </w:tc>
        <w:tc>
          <w:tcPr>
            <w:tcW w:w="4678" w:type="dxa"/>
            <w:gridSpan w:val="3"/>
          </w:tcPr>
          <w:p>
            <w:pPr>
              <w:pStyle w:val="96"/>
              <w:rPr>
                <w:lang w:bidi="ar"/>
              </w:rPr>
            </w:pPr>
            <w:r>
              <w:rPr>
                <w:rFonts w:hint="eastAsia"/>
                <w:lang w:bidi="ar"/>
              </w:rPr>
              <w:t>非集中供水村庄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restart"/>
            <w:vAlign w:val="center"/>
          </w:tcPr>
          <w:p>
            <w:pPr>
              <w:pStyle w:val="96"/>
              <w:rPr>
                <w:lang w:bidi="ar"/>
              </w:rPr>
            </w:pPr>
            <w:r>
              <w:rPr>
                <w:rFonts w:hint="eastAsia"/>
                <w:lang w:bidi="ar"/>
              </w:rPr>
              <w:t>环境卫生</w:t>
            </w:r>
          </w:p>
        </w:tc>
        <w:tc>
          <w:tcPr>
            <w:tcW w:w="1984" w:type="dxa"/>
          </w:tcPr>
          <w:p>
            <w:pPr>
              <w:pStyle w:val="96"/>
              <w:rPr>
                <w:lang w:bidi="ar"/>
              </w:rPr>
            </w:pPr>
            <w:r>
              <w:rPr>
                <w:rFonts w:hint="eastAsia"/>
                <w:lang w:bidi="ar"/>
              </w:rPr>
              <w:t>垃圾收集点</w:t>
            </w:r>
          </w:p>
        </w:tc>
        <w:tc>
          <w:tcPr>
            <w:tcW w:w="1559" w:type="dxa"/>
          </w:tcPr>
          <w:p>
            <w:pPr>
              <w:pStyle w:val="96"/>
              <w:rPr>
                <w:lang w:bidi="ar"/>
              </w:rPr>
            </w:pPr>
            <w:r>
              <w:rPr>
                <w:rFonts w:hint="eastAsia"/>
                <w:lang w:bidi="ar"/>
              </w:rPr>
              <w:t>●</w:t>
            </w:r>
          </w:p>
        </w:tc>
        <w:tc>
          <w:tcPr>
            <w:tcW w:w="1701" w:type="dxa"/>
          </w:tcPr>
          <w:p>
            <w:pPr>
              <w:pStyle w:val="96"/>
              <w:rPr>
                <w:lang w:bidi="ar"/>
              </w:rPr>
            </w:pPr>
            <w:r>
              <w:rPr>
                <w:rFonts w:hint="eastAsia"/>
                <w:lang w:bidi="ar"/>
              </w:rPr>
              <w:t>●</w:t>
            </w:r>
          </w:p>
        </w:tc>
        <w:tc>
          <w:tcPr>
            <w:tcW w:w="1418" w:type="dxa"/>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55" w:type="dxa"/>
            <w:vMerge w:val="continue"/>
          </w:tcPr>
          <w:p>
            <w:pPr>
              <w:pStyle w:val="96"/>
              <w:rPr>
                <w:lang w:bidi="ar"/>
              </w:rPr>
            </w:pPr>
          </w:p>
        </w:tc>
        <w:tc>
          <w:tcPr>
            <w:tcW w:w="1984" w:type="dxa"/>
          </w:tcPr>
          <w:p>
            <w:pPr>
              <w:pStyle w:val="96"/>
              <w:rPr>
                <w:lang w:bidi="ar"/>
              </w:rPr>
            </w:pPr>
            <w:r>
              <w:rPr>
                <w:rFonts w:hint="eastAsia"/>
                <w:lang w:bidi="ar"/>
              </w:rPr>
              <w:t>公厕</w:t>
            </w:r>
          </w:p>
        </w:tc>
        <w:tc>
          <w:tcPr>
            <w:tcW w:w="1559" w:type="dxa"/>
          </w:tcPr>
          <w:p>
            <w:pPr>
              <w:pStyle w:val="96"/>
              <w:rPr>
                <w:lang w:bidi="ar"/>
              </w:rPr>
            </w:pPr>
            <w:r>
              <w:rPr>
                <w:rFonts w:hint="eastAsia"/>
                <w:lang w:bidi="ar"/>
              </w:rPr>
              <w:t>●</w:t>
            </w:r>
          </w:p>
        </w:tc>
        <w:tc>
          <w:tcPr>
            <w:tcW w:w="1701" w:type="dxa"/>
          </w:tcPr>
          <w:p>
            <w:pPr>
              <w:pStyle w:val="96"/>
              <w:rPr>
                <w:lang w:bidi="ar"/>
              </w:rPr>
            </w:pPr>
            <w:r>
              <w:rPr>
                <w:rFonts w:hint="eastAsia"/>
                <w:lang w:bidi="ar"/>
              </w:rPr>
              <w:t>●</w:t>
            </w:r>
          </w:p>
        </w:tc>
        <w:tc>
          <w:tcPr>
            <w:tcW w:w="1418" w:type="dxa"/>
          </w:tcPr>
          <w:p>
            <w:pPr>
              <w:pStyle w:val="96"/>
              <w:rPr>
                <w:lang w:bidi="ar"/>
              </w:rPr>
            </w:pPr>
            <w:r>
              <w:rPr>
                <w:rFonts w:hint="eastAsia"/>
                <w:lang w:bidi="ar"/>
              </w:rPr>
              <w:t>○</w:t>
            </w:r>
          </w:p>
        </w:tc>
      </w:tr>
    </w:tbl>
    <w:p>
      <w:pPr>
        <w:autoSpaceDE w:val="0"/>
        <w:autoSpaceDN w:val="0"/>
        <w:ind w:firstLine="420"/>
        <w:jc w:val="left"/>
        <w:rPr>
          <w:rFonts w:ascii="楷体" w:hAnsi="楷体" w:eastAsia="楷体" w:cs="楷体"/>
          <w:kern w:val="0"/>
          <w:sz w:val="21"/>
          <w:szCs w:val="21"/>
        </w:rPr>
      </w:pPr>
      <w:r>
        <w:rPr>
          <w:rFonts w:hint="eastAsia" w:ascii="楷体" w:hAnsi="楷体" w:eastAsia="楷体" w:cs="楷体"/>
          <w:kern w:val="0"/>
          <w:sz w:val="21"/>
          <w:szCs w:val="21"/>
        </w:rPr>
        <w:t>注： ●——为应设的内容  ○——为可设的内容</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1351"/>
        <w:gridCol w:w="3043"/>
        <w:gridCol w:w="30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7" w:type="dxa"/>
            <w:gridSpan w:val="4"/>
          </w:tcPr>
          <w:p>
            <w:pPr>
              <w:pStyle w:val="98"/>
              <w:rPr>
                <w:lang w:bidi="ar"/>
              </w:rPr>
            </w:pPr>
            <w:r>
              <w:rPr>
                <w:rFonts w:hint="eastAsia"/>
                <w:lang w:bidi="ar"/>
              </w:rPr>
              <w:t>专栏</w:t>
            </w:r>
            <w:r>
              <w:rPr>
                <w:lang w:bidi="ar"/>
              </w:rPr>
              <w:t xml:space="preserve">16-9 </w:t>
            </w:r>
            <w:r>
              <w:rPr>
                <w:rFonts w:hint="eastAsia"/>
                <w:lang w:bidi="ar"/>
              </w:rPr>
              <w:t>村庄基础设施配置内容表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96"/>
              <w:rPr>
                <w:lang w:bidi="ar"/>
              </w:rPr>
            </w:pPr>
            <w:r>
              <w:rPr>
                <w:rFonts w:hint="eastAsia"/>
                <w:lang w:bidi="ar"/>
              </w:rPr>
              <w:t>类别</w:t>
            </w:r>
          </w:p>
        </w:tc>
        <w:tc>
          <w:tcPr>
            <w:tcW w:w="1351" w:type="dxa"/>
          </w:tcPr>
          <w:p>
            <w:pPr>
              <w:pStyle w:val="96"/>
              <w:rPr>
                <w:lang w:bidi="ar"/>
              </w:rPr>
            </w:pPr>
            <w:r>
              <w:rPr>
                <w:rFonts w:hint="eastAsia"/>
                <w:lang w:bidi="ar"/>
              </w:rPr>
              <w:t>项目</w:t>
            </w:r>
          </w:p>
        </w:tc>
        <w:tc>
          <w:tcPr>
            <w:tcW w:w="3043" w:type="dxa"/>
          </w:tcPr>
          <w:p>
            <w:pPr>
              <w:pStyle w:val="96"/>
              <w:rPr>
                <w:lang w:bidi="ar"/>
              </w:rPr>
            </w:pPr>
            <w:r>
              <w:rPr>
                <w:rFonts w:hint="eastAsia"/>
                <w:lang w:bidi="ar"/>
              </w:rPr>
              <w:t>配置方式</w:t>
            </w:r>
          </w:p>
        </w:tc>
        <w:tc>
          <w:tcPr>
            <w:tcW w:w="3057" w:type="dxa"/>
          </w:tcPr>
          <w:p>
            <w:pPr>
              <w:pStyle w:val="96"/>
              <w:rPr>
                <w:lang w:bidi="ar"/>
              </w:rPr>
            </w:pPr>
            <w:r>
              <w:rPr>
                <w:rFonts w:hint="eastAsia"/>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Merge w:val="restart"/>
            <w:vAlign w:val="center"/>
          </w:tcPr>
          <w:p>
            <w:pPr>
              <w:pStyle w:val="96"/>
              <w:rPr>
                <w:lang w:bidi="ar"/>
              </w:rPr>
            </w:pPr>
            <w:r>
              <w:rPr>
                <w:rFonts w:hint="eastAsia"/>
                <w:lang w:bidi="ar"/>
              </w:rPr>
              <w:t>道路交通</w:t>
            </w:r>
          </w:p>
        </w:tc>
        <w:tc>
          <w:tcPr>
            <w:tcW w:w="1351" w:type="dxa"/>
            <w:vAlign w:val="center"/>
          </w:tcPr>
          <w:p>
            <w:pPr>
              <w:pStyle w:val="96"/>
              <w:rPr>
                <w:lang w:bidi="ar"/>
              </w:rPr>
            </w:pPr>
            <w:r>
              <w:rPr>
                <w:rFonts w:hint="eastAsia"/>
                <w:lang w:bidi="ar"/>
              </w:rPr>
              <w:t>公交站点</w:t>
            </w:r>
          </w:p>
        </w:tc>
        <w:tc>
          <w:tcPr>
            <w:tcW w:w="3043" w:type="dxa"/>
            <w:vAlign w:val="center"/>
          </w:tcPr>
          <w:p>
            <w:pPr>
              <w:pStyle w:val="96"/>
              <w:rPr>
                <w:lang w:bidi="ar"/>
              </w:rPr>
            </w:pPr>
            <w:r>
              <w:rPr>
                <w:rFonts w:hint="eastAsia"/>
                <w:lang w:bidi="ar"/>
              </w:rPr>
              <w:t>满足公交车辆运行安全要求，同时尽可能不影响其他交通工具在道路的通行。</w:t>
            </w:r>
          </w:p>
        </w:tc>
        <w:tc>
          <w:tcPr>
            <w:tcW w:w="3057" w:type="dxa"/>
          </w:tcPr>
          <w:p>
            <w:pPr>
              <w:pStyle w:val="96"/>
              <w:rPr>
                <w:lang w:bidi="ar"/>
              </w:rPr>
            </w:pPr>
            <w:r>
              <w:rPr>
                <w:rFonts w:hint="eastAsia"/>
              </w:rPr>
              <w:t>宜设置在道路使用面积较富裕而人口又比较集中的村居点或村委会附近。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3" w:hRule="atLeast"/>
        </w:trPr>
        <w:tc>
          <w:tcPr>
            <w:tcW w:w="846" w:type="dxa"/>
            <w:vMerge w:val="continue"/>
            <w:vAlign w:val="center"/>
          </w:tcPr>
          <w:p>
            <w:pPr>
              <w:pStyle w:val="96"/>
              <w:rPr>
                <w:lang w:bidi="ar"/>
              </w:rPr>
            </w:pPr>
          </w:p>
        </w:tc>
        <w:tc>
          <w:tcPr>
            <w:tcW w:w="1351" w:type="dxa"/>
            <w:vAlign w:val="center"/>
          </w:tcPr>
          <w:p>
            <w:pPr>
              <w:pStyle w:val="96"/>
              <w:rPr>
                <w:lang w:bidi="ar"/>
              </w:rPr>
            </w:pPr>
            <w:r>
              <w:rPr>
                <w:rFonts w:hint="eastAsia"/>
                <w:lang w:bidi="ar"/>
              </w:rPr>
              <w:t>停车场</w:t>
            </w:r>
          </w:p>
        </w:tc>
        <w:tc>
          <w:tcPr>
            <w:tcW w:w="3043" w:type="dxa"/>
            <w:vAlign w:val="center"/>
          </w:tcPr>
          <w:p>
            <w:pPr>
              <w:pStyle w:val="96"/>
              <w:rPr>
                <w:lang w:bidi="ar"/>
              </w:rPr>
            </w:pPr>
            <w:r>
              <w:rPr>
                <w:rFonts w:hint="eastAsia"/>
              </w:rPr>
              <w:t>结合村庄实际，灵活设施</w:t>
            </w:r>
          </w:p>
        </w:tc>
        <w:tc>
          <w:tcPr>
            <w:tcW w:w="3057"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46" w:type="dxa"/>
            <w:vMerge w:val="restart"/>
            <w:vAlign w:val="center"/>
          </w:tcPr>
          <w:p>
            <w:pPr>
              <w:pStyle w:val="96"/>
              <w:rPr>
                <w:lang w:bidi="ar"/>
              </w:rPr>
            </w:pPr>
            <w:r>
              <w:rPr>
                <w:rFonts w:hint="eastAsia"/>
                <w:lang w:bidi="ar"/>
              </w:rPr>
              <w:t>市政设施</w:t>
            </w:r>
          </w:p>
        </w:tc>
        <w:tc>
          <w:tcPr>
            <w:tcW w:w="1351" w:type="dxa"/>
            <w:vAlign w:val="center"/>
          </w:tcPr>
          <w:p>
            <w:pPr>
              <w:pStyle w:val="96"/>
              <w:rPr>
                <w:lang w:bidi="ar"/>
              </w:rPr>
            </w:pPr>
            <w:r>
              <w:rPr>
                <w:rFonts w:hint="eastAsia"/>
                <w:lang w:bidi="ar"/>
              </w:rPr>
              <w:t>变压器、配电室</w:t>
            </w:r>
          </w:p>
        </w:tc>
        <w:tc>
          <w:tcPr>
            <w:tcW w:w="3043" w:type="dxa"/>
            <w:vAlign w:val="center"/>
          </w:tcPr>
          <w:p>
            <w:pPr>
              <w:pStyle w:val="96"/>
            </w:pPr>
            <w:r>
              <w:rPr>
                <w:rFonts w:hint="eastAsia"/>
              </w:rPr>
              <w:t>供电半径以不超过500m为宜。</w:t>
            </w:r>
          </w:p>
        </w:tc>
        <w:tc>
          <w:tcPr>
            <w:tcW w:w="3057" w:type="dxa"/>
          </w:tcPr>
          <w:p>
            <w:pPr>
              <w:pStyle w:val="9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9" w:hRule="atLeast"/>
        </w:trPr>
        <w:tc>
          <w:tcPr>
            <w:tcW w:w="846" w:type="dxa"/>
            <w:vMerge w:val="continue"/>
            <w:vAlign w:val="center"/>
          </w:tcPr>
          <w:p>
            <w:pPr>
              <w:pStyle w:val="96"/>
              <w:rPr>
                <w:lang w:bidi="ar"/>
              </w:rPr>
            </w:pPr>
          </w:p>
        </w:tc>
        <w:tc>
          <w:tcPr>
            <w:tcW w:w="1351" w:type="dxa"/>
            <w:vAlign w:val="center"/>
          </w:tcPr>
          <w:p>
            <w:pPr>
              <w:pStyle w:val="96"/>
              <w:rPr>
                <w:lang w:bidi="ar"/>
              </w:rPr>
            </w:pPr>
            <w:r>
              <w:rPr>
                <w:rFonts w:hint="eastAsia"/>
                <w:lang w:bidi="ar"/>
              </w:rPr>
              <w:t>村庄排水</w:t>
            </w:r>
          </w:p>
        </w:tc>
        <w:tc>
          <w:tcPr>
            <w:tcW w:w="3043" w:type="dxa"/>
            <w:vAlign w:val="center"/>
          </w:tcPr>
          <w:p>
            <w:pPr>
              <w:pStyle w:val="96"/>
            </w:pPr>
            <w:r>
              <w:rPr>
                <w:rFonts w:hint="eastAsia"/>
              </w:rPr>
              <w:t>污水量按生活用水量的75%～90%计算。</w:t>
            </w:r>
          </w:p>
        </w:tc>
        <w:tc>
          <w:tcPr>
            <w:tcW w:w="3057" w:type="dxa"/>
          </w:tcPr>
          <w:p>
            <w:pPr>
              <w:pStyle w:val="96"/>
            </w:pPr>
            <w:r>
              <w:rPr>
                <w:rFonts w:hint="eastAsia"/>
              </w:rPr>
              <w:t>鼓励雨水采用自然下渗或排水明沟等方式收集，污水根据不同村庄实际，采用盖板渠、管网等方式进行收集。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2" w:hRule="atLeast"/>
        </w:trPr>
        <w:tc>
          <w:tcPr>
            <w:tcW w:w="846" w:type="dxa"/>
            <w:vMerge w:val="continue"/>
            <w:vAlign w:val="center"/>
          </w:tcPr>
          <w:p>
            <w:pPr>
              <w:pStyle w:val="96"/>
              <w:rPr>
                <w:lang w:bidi="ar"/>
              </w:rPr>
            </w:pPr>
          </w:p>
        </w:tc>
        <w:tc>
          <w:tcPr>
            <w:tcW w:w="1351" w:type="dxa"/>
            <w:vAlign w:val="center"/>
          </w:tcPr>
          <w:p>
            <w:pPr>
              <w:pStyle w:val="96"/>
              <w:rPr>
                <w:lang w:bidi="ar"/>
              </w:rPr>
            </w:pPr>
            <w:r>
              <w:rPr>
                <w:rFonts w:hint="eastAsia"/>
                <w:lang w:bidi="ar"/>
              </w:rPr>
              <w:t>水泵房</w:t>
            </w:r>
          </w:p>
        </w:tc>
        <w:tc>
          <w:tcPr>
            <w:tcW w:w="3043" w:type="dxa"/>
            <w:vAlign w:val="center"/>
          </w:tcPr>
          <w:p>
            <w:pPr>
              <w:pStyle w:val="96"/>
            </w:pPr>
            <w:r>
              <w:rPr>
                <w:rFonts w:hint="eastAsia"/>
              </w:rPr>
              <w:t>泵房的主要通道宽度不应小于1.2米。</w:t>
            </w:r>
          </w:p>
        </w:tc>
        <w:tc>
          <w:tcPr>
            <w:tcW w:w="3057" w:type="dxa"/>
            <w:vAlign w:val="center"/>
          </w:tcPr>
          <w:p>
            <w:pPr>
              <w:pStyle w:val="96"/>
            </w:pPr>
            <w:r>
              <w:rPr>
                <w:rFonts w:hint="eastAsia"/>
              </w:rPr>
              <w:t>非集中供水村庄</w:t>
            </w:r>
          </w:p>
          <w:p>
            <w:pPr>
              <w:pStyle w:val="9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trPr>
        <w:tc>
          <w:tcPr>
            <w:tcW w:w="846" w:type="dxa"/>
            <w:vMerge w:val="restart"/>
            <w:vAlign w:val="center"/>
          </w:tcPr>
          <w:p>
            <w:pPr>
              <w:pStyle w:val="96"/>
              <w:rPr>
                <w:lang w:bidi="ar"/>
              </w:rPr>
            </w:pPr>
            <w:r>
              <w:rPr>
                <w:rFonts w:hint="eastAsia"/>
                <w:lang w:bidi="ar"/>
              </w:rPr>
              <w:t>环境卫生</w:t>
            </w:r>
          </w:p>
        </w:tc>
        <w:tc>
          <w:tcPr>
            <w:tcW w:w="1351" w:type="dxa"/>
            <w:vAlign w:val="center"/>
          </w:tcPr>
          <w:p>
            <w:pPr>
              <w:pStyle w:val="96"/>
              <w:rPr>
                <w:lang w:bidi="ar"/>
              </w:rPr>
            </w:pPr>
            <w:r>
              <w:rPr>
                <w:rFonts w:hint="eastAsia"/>
                <w:lang w:bidi="ar"/>
              </w:rPr>
              <w:t>垃圾筒</w:t>
            </w:r>
          </w:p>
        </w:tc>
        <w:tc>
          <w:tcPr>
            <w:tcW w:w="3043" w:type="dxa"/>
            <w:vAlign w:val="center"/>
          </w:tcPr>
          <w:p>
            <w:pPr>
              <w:pStyle w:val="96"/>
            </w:pPr>
            <w:r>
              <w:rPr>
                <w:rFonts w:hint="eastAsia"/>
              </w:rPr>
              <w:t>服务半径一般不超过70m。</w:t>
            </w:r>
          </w:p>
        </w:tc>
        <w:tc>
          <w:tcPr>
            <w:tcW w:w="3057" w:type="dxa"/>
            <w:vAlign w:val="center"/>
          </w:tcPr>
          <w:p>
            <w:pPr>
              <w:pStyle w:val="96"/>
            </w:pPr>
            <w:r>
              <w:rPr>
                <w:rFonts w:hint="eastAsia"/>
              </w:rPr>
              <w:t>五星支部村庄服务半径一般不超过50m。</w:t>
            </w:r>
          </w:p>
          <w:p>
            <w:pPr>
              <w:pStyle w:val="9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846" w:type="dxa"/>
            <w:vMerge w:val="continue"/>
            <w:vAlign w:val="center"/>
          </w:tcPr>
          <w:p>
            <w:pPr>
              <w:pStyle w:val="96"/>
              <w:rPr>
                <w:lang w:bidi="ar"/>
              </w:rPr>
            </w:pPr>
          </w:p>
        </w:tc>
        <w:tc>
          <w:tcPr>
            <w:tcW w:w="1351" w:type="dxa"/>
            <w:vAlign w:val="center"/>
          </w:tcPr>
          <w:p>
            <w:pPr>
              <w:pStyle w:val="96"/>
              <w:rPr>
                <w:lang w:bidi="ar"/>
              </w:rPr>
            </w:pPr>
            <w:r>
              <w:rPr>
                <w:rFonts w:hint="eastAsia"/>
                <w:lang w:bidi="ar"/>
              </w:rPr>
              <w:t>公厕</w:t>
            </w:r>
          </w:p>
        </w:tc>
        <w:tc>
          <w:tcPr>
            <w:tcW w:w="3043" w:type="dxa"/>
            <w:vAlign w:val="center"/>
          </w:tcPr>
          <w:p>
            <w:pPr>
              <w:pStyle w:val="96"/>
            </w:pPr>
            <w:r>
              <w:rPr>
                <w:rFonts w:hint="eastAsia"/>
              </w:rPr>
              <w:t>每村至少设置一个。</w:t>
            </w:r>
          </w:p>
        </w:tc>
        <w:tc>
          <w:tcPr>
            <w:tcW w:w="3057" w:type="dxa"/>
            <w:vAlign w:val="center"/>
          </w:tcPr>
          <w:p>
            <w:pPr>
              <w:pStyle w:val="96"/>
            </w:pPr>
            <w:r>
              <w:rPr>
                <w:rFonts w:hint="eastAsia"/>
              </w:rPr>
              <w:t>建筑面积不大于60平米。</w:t>
            </w:r>
          </w:p>
        </w:tc>
      </w:tr>
    </w:tbl>
    <w:p>
      <w:pPr>
        <w:ind w:firstLine="640"/>
        <w:rPr>
          <w:lang w:bidi="ar"/>
        </w:rPr>
      </w:pPr>
      <w:r>
        <w:rPr>
          <w:rFonts w:hint="eastAsia"/>
          <w:lang w:bidi="ar"/>
        </w:rPr>
        <w:t>在乡村地区建设的机动车停车场，其用地规划控制指标宜符合下表</w:t>
      </w:r>
      <w:r>
        <w:rPr>
          <w:lang w:bidi="ar"/>
        </w:rPr>
        <w:t>的规定。</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8"/>
        <w:gridCol w:w="1701"/>
        <w:gridCol w:w="2126"/>
        <w:gridCol w:w="26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4"/>
          </w:tcPr>
          <w:p>
            <w:pPr>
              <w:pStyle w:val="98"/>
              <w:ind w:firstLine="640"/>
              <w:rPr>
                <w:rFonts w:ascii="仿宋" w:hAnsi="仿宋" w:eastAsia="仿宋" w:cs="仿宋"/>
                <w:sz w:val="21"/>
                <w:szCs w:val="21"/>
              </w:rPr>
            </w:pPr>
            <w:r>
              <w:rPr>
                <w:rFonts w:hint="eastAsia"/>
                <w:lang w:bidi="ar"/>
              </w:rPr>
              <w:t>专栏</w:t>
            </w:r>
            <w:r>
              <w:rPr>
                <w:lang w:bidi="ar"/>
              </w:rPr>
              <w:t xml:space="preserve">16-10 </w:t>
            </w:r>
            <w:r>
              <w:rPr>
                <w:rFonts w:hint="eastAsia"/>
                <w:lang w:bidi="ar"/>
              </w:rPr>
              <w:t>机动车停车场建设用地规划控制指标表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1838" w:type="dxa"/>
            <w:vAlign w:val="center"/>
          </w:tcPr>
          <w:p>
            <w:pPr>
              <w:spacing w:line="500" w:lineRule="exact"/>
              <w:ind w:firstLine="0" w:firstLineChars="0"/>
              <w:jc w:val="center"/>
              <w:rPr>
                <w:rFonts w:ascii="仿宋_GB2312" w:hAnsi="仿宋" w:cs="仿宋"/>
                <w:sz w:val="24"/>
                <w:szCs w:val="24"/>
              </w:rPr>
            </w:pPr>
          </w:p>
        </w:tc>
        <w:tc>
          <w:tcPr>
            <w:tcW w:w="170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机动车数量（辆）</w:t>
            </w:r>
          </w:p>
        </w:tc>
        <w:tc>
          <w:tcPr>
            <w:tcW w:w="212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用地标准（平方米/标准停车位）</w:t>
            </w:r>
          </w:p>
        </w:tc>
        <w:tc>
          <w:tcPr>
            <w:tcW w:w="263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用地面积（平方米）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83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小型停车场</w:t>
            </w:r>
          </w:p>
        </w:tc>
        <w:tc>
          <w:tcPr>
            <w:tcW w:w="170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≤5</w:t>
            </w:r>
            <w:r>
              <w:rPr>
                <w:rFonts w:ascii="仿宋_GB2312" w:hAnsi="仿宋" w:cs="仿宋"/>
                <w:sz w:val="24"/>
                <w:szCs w:val="24"/>
              </w:rPr>
              <w:t>0</w:t>
            </w:r>
          </w:p>
        </w:tc>
        <w:tc>
          <w:tcPr>
            <w:tcW w:w="212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w:t>
            </w:r>
            <w:r>
              <w:rPr>
                <w:rFonts w:ascii="仿宋_GB2312" w:hAnsi="仿宋" w:cs="仿宋"/>
                <w:sz w:val="24"/>
                <w:szCs w:val="24"/>
              </w:rPr>
              <w:t>0</w:t>
            </w:r>
          </w:p>
        </w:tc>
        <w:tc>
          <w:tcPr>
            <w:tcW w:w="263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1500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83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中型停车场</w:t>
            </w:r>
          </w:p>
        </w:tc>
        <w:tc>
          <w:tcPr>
            <w:tcW w:w="170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5</w:t>
            </w:r>
            <w:r>
              <w:rPr>
                <w:rFonts w:ascii="仿宋_GB2312" w:hAnsi="仿宋" w:cs="仿宋"/>
                <w:sz w:val="24"/>
                <w:szCs w:val="24"/>
              </w:rPr>
              <w:t>0-300</w:t>
            </w:r>
          </w:p>
        </w:tc>
        <w:tc>
          <w:tcPr>
            <w:tcW w:w="212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w:t>
            </w:r>
            <w:r>
              <w:rPr>
                <w:rFonts w:ascii="仿宋_GB2312" w:hAnsi="仿宋" w:cs="仿宋"/>
                <w:sz w:val="24"/>
                <w:szCs w:val="24"/>
              </w:rPr>
              <w:t>0</w:t>
            </w:r>
          </w:p>
        </w:tc>
        <w:tc>
          <w:tcPr>
            <w:tcW w:w="263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500-9000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83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大型停车场</w:t>
            </w:r>
          </w:p>
        </w:tc>
        <w:tc>
          <w:tcPr>
            <w:tcW w:w="170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w:t>
            </w:r>
            <w:r>
              <w:rPr>
                <w:rFonts w:ascii="仿宋_GB2312" w:hAnsi="仿宋" w:cs="仿宋"/>
                <w:sz w:val="24"/>
                <w:szCs w:val="24"/>
              </w:rPr>
              <w:t>00</w:t>
            </w:r>
          </w:p>
        </w:tc>
        <w:tc>
          <w:tcPr>
            <w:tcW w:w="212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w:t>
            </w:r>
            <w:r>
              <w:rPr>
                <w:rFonts w:ascii="仿宋_GB2312" w:hAnsi="仿宋" w:cs="仿宋"/>
                <w:sz w:val="24"/>
                <w:szCs w:val="24"/>
              </w:rPr>
              <w:t>0</w:t>
            </w:r>
          </w:p>
        </w:tc>
        <w:tc>
          <w:tcPr>
            <w:tcW w:w="263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＞9</w:t>
            </w:r>
            <w:r>
              <w:rPr>
                <w:rFonts w:ascii="仿宋_GB2312" w:hAnsi="仿宋" w:cs="仿宋"/>
                <w:sz w:val="24"/>
                <w:szCs w:val="24"/>
              </w:rPr>
              <w:t>000</w:t>
            </w:r>
          </w:p>
        </w:tc>
      </w:tr>
    </w:tbl>
    <w:p>
      <w:pPr>
        <w:pStyle w:val="105"/>
        <w:rPr>
          <w:lang w:bidi="ar"/>
        </w:rPr>
      </w:pPr>
      <w:r>
        <w:rPr>
          <w:rFonts w:hint="eastAsia"/>
          <w:lang w:bidi="ar"/>
        </w:rPr>
        <w:t>注：</w:t>
      </w:r>
      <w:r>
        <w:rPr>
          <w:lang w:bidi="ar"/>
        </w:rPr>
        <w:t>1.标准车停车位以小型汽车为基本单位，其他车型折合为小型汽车车位的换算系数为：微型</w:t>
      </w:r>
      <w:r>
        <w:rPr>
          <w:rFonts w:hint="eastAsia"/>
          <w:lang w:bidi="ar"/>
        </w:rPr>
        <w:t>车</w:t>
      </w:r>
      <w:r>
        <w:rPr>
          <w:lang w:bidi="ar"/>
        </w:rPr>
        <w:t>0.7，小型车1.0，中型车2.0，大型车2.5，铰接车3.5。</w:t>
      </w:r>
    </w:p>
    <w:p>
      <w:pPr>
        <w:pStyle w:val="105"/>
        <w:rPr>
          <w:lang w:bidi="ar"/>
        </w:rPr>
      </w:pPr>
      <w:r>
        <w:rPr>
          <w:lang w:bidi="ar"/>
        </w:rPr>
        <w:t>2.为乡村旅游服务的停车场，可适当提高机动车停车场用地标准，结合地形地貌和游客流量，</w:t>
      </w:r>
      <w:r>
        <w:rPr>
          <w:rFonts w:hint="eastAsia"/>
          <w:lang w:bidi="ar"/>
        </w:rPr>
        <w:t>合理安排用地规模。</w:t>
      </w:r>
    </w:p>
    <w:p>
      <w:pPr>
        <w:pStyle w:val="105"/>
        <w:rPr>
          <w:lang w:bidi="ar"/>
        </w:rPr>
      </w:pPr>
      <w:r>
        <w:rPr>
          <w:lang w:bidi="ar"/>
        </w:rPr>
        <w:t>3.在村庄内部宜建设小型、中型机动车停车场，乡村文旅项目宜结合停车需求建设中型、大</w:t>
      </w:r>
      <w:r>
        <w:rPr>
          <w:rFonts w:hint="eastAsia"/>
          <w:lang w:bidi="ar"/>
        </w:rPr>
        <w:t>型停车场。</w:t>
      </w:r>
    </w:p>
    <w:p>
      <w:pPr>
        <w:pStyle w:val="4"/>
        <w:numPr>
          <w:ilvl w:val="2"/>
          <w:numId w:val="1"/>
        </w:numPr>
        <w:spacing w:beforeLines="0" w:afterLines="0" w:line="588" w:lineRule="exact"/>
        <w:rPr>
          <w:lang w:bidi="ar"/>
        </w:rPr>
      </w:pPr>
      <w:r>
        <w:rPr>
          <w:rFonts w:hint="eastAsia"/>
          <w:lang w:bidi="ar"/>
        </w:rPr>
        <w:t>村庄公共服务设施</w:t>
      </w:r>
    </w:p>
    <w:p>
      <w:pPr>
        <w:ind w:firstLine="640"/>
        <w:rPr>
          <w:lang w:bidi="ar"/>
        </w:rPr>
      </w:pPr>
      <w:r>
        <w:rPr>
          <w:rFonts w:hint="eastAsia"/>
          <w:lang w:bidi="ar"/>
        </w:rPr>
        <w:t>公共服务设施应根据村庄分类、当地村民的生产生活习惯和地域乡土风貌特色设置。可参照下表设置。</w:t>
      </w:r>
    </w:p>
    <w:tbl>
      <w:tblPr>
        <w:tblStyle w:val="31"/>
        <w:tblW w:w="84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3"/>
        <w:gridCol w:w="1983"/>
        <w:gridCol w:w="1558"/>
        <w:gridCol w:w="1417"/>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499" w:type="dxa"/>
            <w:gridSpan w:val="5"/>
            <w:vAlign w:val="center"/>
          </w:tcPr>
          <w:p>
            <w:pPr>
              <w:pStyle w:val="98"/>
              <w:rPr>
                <w:lang w:bidi="ar"/>
              </w:rPr>
            </w:pPr>
            <w:r>
              <w:rPr>
                <w:rFonts w:hint="eastAsia"/>
                <w:lang w:bidi="ar"/>
              </w:rPr>
              <w:t>专栏</w:t>
            </w:r>
            <w:r>
              <w:rPr>
                <w:lang w:bidi="ar"/>
              </w:rPr>
              <w:t xml:space="preserve">16-11 </w:t>
            </w:r>
            <w:r>
              <w:rPr>
                <w:rFonts w:hint="eastAsia"/>
                <w:lang w:bidi="ar"/>
              </w:rPr>
              <w:t>村庄公共服务设施分类及项目基本配置表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restart"/>
            <w:vAlign w:val="center"/>
          </w:tcPr>
          <w:p>
            <w:pPr>
              <w:pStyle w:val="96"/>
              <w:rPr>
                <w:lang w:bidi="ar"/>
              </w:rPr>
            </w:pPr>
            <w:r>
              <w:rPr>
                <w:rFonts w:hint="eastAsia"/>
                <w:lang w:bidi="ar"/>
              </w:rPr>
              <w:t>类别</w:t>
            </w:r>
          </w:p>
        </w:tc>
        <w:tc>
          <w:tcPr>
            <w:tcW w:w="1983" w:type="dxa"/>
            <w:vMerge w:val="restart"/>
            <w:vAlign w:val="center"/>
          </w:tcPr>
          <w:p>
            <w:pPr>
              <w:pStyle w:val="96"/>
              <w:rPr>
                <w:lang w:bidi="ar"/>
              </w:rPr>
            </w:pPr>
            <w:r>
              <w:rPr>
                <w:rFonts w:hint="eastAsia"/>
                <w:lang w:bidi="ar"/>
              </w:rPr>
              <w:t>项目</w:t>
            </w:r>
          </w:p>
        </w:tc>
        <w:tc>
          <w:tcPr>
            <w:tcW w:w="4393" w:type="dxa"/>
            <w:gridSpan w:val="3"/>
          </w:tcPr>
          <w:p>
            <w:pPr>
              <w:pStyle w:val="96"/>
              <w:rPr>
                <w:lang w:bidi="ar"/>
              </w:rPr>
            </w:pPr>
            <w:r>
              <w:rPr>
                <w:rFonts w:hint="eastAsia"/>
                <w:lang w:bidi="ar"/>
              </w:rPr>
              <w:t>公共设施项目配置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tcPr>
          <w:p>
            <w:pPr>
              <w:pStyle w:val="96"/>
              <w:rPr>
                <w:lang w:bidi="ar"/>
              </w:rPr>
            </w:pPr>
          </w:p>
        </w:tc>
        <w:tc>
          <w:tcPr>
            <w:tcW w:w="1983" w:type="dxa"/>
            <w:vMerge w:val="continue"/>
          </w:tcPr>
          <w:p>
            <w:pPr>
              <w:pStyle w:val="96"/>
              <w:rPr>
                <w:lang w:bidi="ar"/>
              </w:rPr>
            </w:pPr>
          </w:p>
        </w:tc>
        <w:tc>
          <w:tcPr>
            <w:tcW w:w="1558" w:type="dxa"/>
          </w:tcPr>
          <w:p>
            <w:pPr>
              <w:pStyle w:val="96"/>
              <w:rPr>
                <w:lang w:bidi="ar"/>
              </w:rPr>
            </w:pPr>
            <w:r>
              <w:rPr>
                <w:rFonts w:hint="eastAsia"/>
                <w:lang w:bidi="ar"/>
              </w:rPr>
              <w:t>集聚提升类</w:t>
            </w:r>
          </w:p>
        </w:tc>
        <w:tc>
          <w:tcPr>
            <w:tcW w:w="1417" w:type="dxa"/>
          </w:tcPr>
          <w:p>
            <w:pPr>
              <w:pStyle w:val="96"/>
              <w:rPr>
                <w:lang w:bidi="ar"/>
              </w:rPr>
            </w:pPr>
            <w:r>
              <w:rPr>
                <w:rFonts w:hint="eastAsia"/>
                <w:lang w:bidi="ar"/>
              </w:rPr>
              <w:t>特色保护类</w:t>
            </w:r>
          </w:p>
        </w:tc>
        <w:tc>
          <w:tcPr>
            <w:tcW w:w="1418" w:type="dxa"/>
          </w:tcPr>
          <w:p>
            <w:pPr>
              <w:pStyle w:val="96"/>
              <w:rPr>
                <w:lang w:bidi="ar"/>
              </w:rPr>
            </w:pPr>
            <w:r>
              <w:rPr>
                <w:rFonts w:hint="eastAsia"/>
                <w:lang w:bidi="ar"/>
              </w:rPr>
              <w:t>整治改善类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lang w:bidi="ar"/>
              </w:rPr>
            </w:pPr>
            <w:r>
              <w:rPr>
                <w:rFonts w:hint="eastAsia"/>
                <w:lang w:bidi="ar"/>
              </w:rPr>
              <w:t>行政管理</w:t>
            </w:r>
          </w:p>
        </w:tc>
        <w:tc>
          <w:tcPr>
            <w:tcW w:w="1983" w:type="dxa"/>
            <w:vAlign w:val="center"/>
          </w:tcPr>
          <w:p>
            <w:pPr>
              <w:pStyle w:val="96"/>
              <w:rPr>
                <w:lang w:bidi="ar"/>
              </w:rPr>
            </w:pPr>
            <w:r>
              <w:rPr>
                <w:rFonts w:hint="eastAsia"/>
                <w:lang w:bidi="ar"/>
              </w:rPr>
              <w:t>村委会</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restart"/>
            <w:vAlign w:val="center"/>
          </w:tcPr>
          <w:p>
            <w:pPr>
              <w:pStyle w:val="96"/>
              <w:rPr>
                <w:lang w:bidi="ar"/>
              </w:rPr>
            </w:pPr>
            <w:r>
              <w:rPr>
                <w:rFonts w:hint="eastAsia"/>
                <w:lang w:bidi="ar"/>
              </w:rPr>
              <w:t>教育机构</w:t>
            </w:r>
          </w:p>
        </w:tc>
        <w:tc>
          <w:tcPr>
            <w:tcW w:w="1983" w:type="dxa"/>
            <w:vAlign w:val="center"/>
          </w:tcPr>
          <w:p>
            <w:pPr>
              <w:pStyle w:val="96"/>
              <w:rPr>
                <w:lang w:bidi="ar"/>
              </w:rPr>
            </w:pPr>
            <w:r>
              <w:rPr>
                <w:rFonts w:hint="eastAsia"/>
                <w:lang w:bidi="ar"/>
              </w:rPr>
              <w:t>小学</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lang w:bidi="ar"/>
              </w:rPr>
            </w:pPr>
          </w:p>
        </w:tc>
        <w:tc>
          <w:tcPr>
            <w:tcW w:w="1983" w:type="dxa"/>
            <w:vAlign w:val="center"/>
          </w:tcPr>
          <w:p>
            <w:pPr>
              <w:pStyle w:val="96"/>
              <w:rPr>
                <w:lang w:bidi="ar"/>
              </w:rPr>
            </w:pPr>
            <w:r>
              <w:rPr>
                <w:rFonts w:hint="eastAsia"/>
                <w:lang w:bidi="ar"/>
              </w:rPr>
              <w:t>幼儿园</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lang w:bidi="ar"/>
              </w:rPr>
            </w:pPr>
          </w:p>
        </w:tc>
        <w:tc>
          <w:tcPr>
            <w:tcW w:w="1983" w:type="dxa"/>
            <w:vAlign w:val="center"/>
          </w:tcPr>
          <w:p>
            <w:pPr>
              <w:pStyle w:val="96"/>
              <w:rPr>
                <w:lang w:bidi="ar"/>
              </w:rPr>
            </w:pPr>
            <w:r>
              <w:rPr>
                <w:rFonts w:hint="eastAsia"/>
                <w:lang w:bidi="ar"/>
              </w:rPr>
              <w:t>托儿所</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lang w:bidi="ar"/>
              </w:rPr>
            </w:pPr>
            <w:r>
              <w:rPr>
                <w:rFonts w:hint="eastAsia"/>
                <w:lang w:bidi="ar"/>
              </w:rPr>
              <w:t>文化科技</w:t>
            </w:r>
          </w:p>
        </w:tc>
        <w:tc>
          <w:tcPr>
            <w:tcW w:w="1983" w:type="dxa"/>
            <w:vAlign w:val="center"/>
          </w:tcPr>
          <w:p>
            <w:pPr>
              <w:pStyle w:val="96"/>
              <w:rPr>
                <w:lang w:bidi="ar"/>
              </w:rPr>
            </w:pPr>
            <w:r>
              <w:rPr>
                <w:rFonts w:hint="eastAsia"/>
                <w:lang w:bidi="ar"/>
              </w:rPr>
              <w:t>文化大院</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lang w:bidi="ar"/>
              </w:rPr>
            </w:pPr>
            <w:r>
              <w:rPr>
                <w:rFonts w:hint="eastAsia"/>
                <w:lang w:bidi="ar"/>
              </w:rPr>
              <w:t>体育设施</w:t>
            </w:r>
          </w:p>
        </w:tc>
        <w:tc>
          <w:tcPr>
            <w:tcW w:w="1983" w:type="dxa"/>
            <w:vAlign w:val="center"/>
          </w:tcPr>
          <w:p>
            <w:pPr>
              <w:pStyle w:val="96"/>
              <w:rPr>
                <w:lang w:bidi="ar"/>
              </w:rPr>
            </w:pPr>
            <w:r>
              <w:rPr>
                <w:rFonts w:hint="eastAsia"/>
                <w:lang w:bidi="ar"/>
              </w:rPr>
              <w:t>休闲运动广场</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lang w:bidi="ar"/>
              </w:rPr>
            </w:pPr>
            <w:r>
              <w:rPr>
                <w:rFonts w:hint="eastAsia"/>
                <w:lang w:bidi="ar"/>
              </w:rPr>
              <w:t>医疗设施</w:t>
            </w:r>
          </w:p>
        </w:tc>
        <w:tc>
          <w:tcPr>
            <w:tcW w:w="1983" w:type="dxa"/>
            <w:vAlign w:val="center"/>
          </w:tcPr>
          <w:p>
            <w:pPr>
              <w:pStyle w:val="96"/>
              <w:rPr>
                <w:lang w:bidi="ar"/>
              </w:rPr>
            </w:pPr>
            <w:r>
              <w:rPr>
                <w:rFonts w:hint="eastAsia"/>
                <w:lang w:bidi="ar"/>
              </w:rPr>
              <w:t>村卫生室</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lang w:bidi="ar"/>
              </w:rPr>
            </w:pPr>
            <w:r>
              <w:rPr>
                <w:rFonts w:hint="eastAsia"/>
                <w:lang w:bidi="ar"/>
              </w:rPr>
              <w:t>社会保障</w:t>
            </w:r>
          </w:p>
        </w:tc>
        <w:tc>
          <w:tcPr>
            <w:tcW w:w="1983" w:type="dxa"/>
            <w:vAlign w:val="center"/>
          </w:tcPr>
          <w:p>
            <w:pPr>
              <w:pStyle w:val="96"/>
              <w:rPr>
                <w:lang w:bidi="ar"/>
              </w:rPr>
            </w:pPr>
            <w:r>
              <w:rPr>
                <w:rFonts w:hint="eastAsia"/>
                <w:lang w:bidi="ar"/>
              </w:rPr>
              <w:t>日间照料中心</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restart"/>
            <w:vAlign w:val="center"/>
          </w:tcPr>
          <w:p>
            <w:pPr>
              <w:pStyle w:val="96"/>
              <w:rPr>
                <w:lang w:bidi="ar"/>
              </w:rPr>
            </w:pPr>
            <w:r>
              <w:rPr>
                <w:rFonts w:hint="eastAsia"/>
                <w:lang w:bidi="ar"/>
              </w:rPr>
              <w:t>商业服务</w:t>
            </w:r>
          </w:p>
        </w:tc>
        <w:tc>
          <w:tcPr>
            <w:tcW w:w="1983" w:type="dxa"/>
            <w:vAlign w:val="center"/>
          </w:tcPr>
          <w:p>
            <w:pPr>
              <w:pStyle w:val="96"/>
              <w:rPr>
                <w:lang w:bidi="ar"/>
              </w:rPr>
            </w:pPr>
            <w:r>
              <w:rPr>
                <w:rFonts w:hint="eastAsia"/>
                <w:lang w:bidi="ar"/>
              </w:rPr>
              <w:t>小卖部</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lang w:bidi="ar"/>
              </w:rPr>
            </w:pPr>
          </w:p>
        </w:tc>
        <w:tc>
          <w:tcPr>
            <w:tcW w:w="1983" w:type="dxa"/>
            <w:vAlign w:val="center"/>
          </w:tcPr>
          <w:p>
            <w:pPr>
              <w:pStyle w:val="96"/>
              <w:rPr>
                <w:lang w:bidi="ar"/>
              </w:rPr>
            </w:pPr>
            <w:r>
              <w:rPr>
                <w:rFonts w:hint="eastAsia"/>
                <w:lang w:bidi="ar"/>
              </w:rPr>
              <w:t>小型超市</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lang w:bidi="ar"/>
              </w:rPr>
            </w:pPr>
          </w:p>
        </w:tc>
        <w:tc>
          <w:tcPr>
            <w:tcW w:w="1983" w:type="dxa"/>
            <w:vAlign w:val="center"/>
          </w:tcPr>
          <w:p>
            <w:pPr>
              <w:pStyle w:val="96"/>
              <w:rPr>
                <w:lang w:bidi="ar"/>
              </w:rPr>
            </w:pPr>
            <w:r>
              <w:rPr>
                <w:rFonts w:hint="eastAsia"/>
                <w:lang w:bidi="ar"/>
              </w:rPr>
              <w:t>餐饮、特产店</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lang w:bidi="ar"/>
              </w:rPr>
            </w:pPr>
          </w:p>
        </w:tc>
        <w:tc>
          <w:tcPr>
            <w:tcW w:w="1983" w:type="dxa"/>
            <w:vAlign w:val="center"/>
          </w:tcPr>
          <w:p>
            <w:pPr>
              <w:pStyle w:val="96"/>
              <w:rPr>
                <w:lang w:bidi="ar"/>
              </w:rPr>
            </w:pPr>
            <w:r>
              <w:rPr>
                <w:rFonts w:hint="eastAsia"/>
                <w:lang w:bidi="ar"/>
              </w:rPr>
              <w:t>旅馆、招待所</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bl>
    <w:p>
      <w:pPr>
        <w:ind w:firstLine="420"/>
        <w:jc w:val="left"/>
        <w:rPr>
          <w:rFonts w:ascii="楷体" w:hAnsi="楷体" w:eastAsia="楷体" w:cs="楷体"/>
          <w:sz w:val="21"/>
          <w:szCs w:val="21"/>
        </w:rPr>
      </w:pPr>
      <w:r>
        <w:rPr>
          <w:rFonts w:hint="eastAsia" w:ascii="楷体" w:hAnsi="楷体" w:eastAsia="楷体" w:cs="楷体"/>
          <w:kern w:val="0"/>
          <w:sz w:val="21"/>
          <w:szCs w:val="21"/>
          <w:lang w:bidi="ar"/>
        </w:rPr>
        <w:t>注： ●—为应设的内容○—为可设的内容</w:t>
      </w:r>
    </w:p>
    <w:p>
      <w:pPr>
        <w:ind w:firstLine="640"/>
        <w:rPr>
          <w:lang w:bidi="ar"/>
        </w:rPr>
      </w:pPr>
      <w:r>
        <w:rPr>
          <w:rFonts w:hint="eastAsia"/>
          <w:lang w:bidi="ar"/>
        </w:rPr>
        <w:t>配置标准应根据村庄类别配置村庄公共设施，村庄主要公共设施的单项设施用地面积可参考下表规定。</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1276"/>
        <w:gridCol w:w="1701"/>
        <w:gridCol w:w="44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8297" w:type="dxa"/>
            <w:gridSpan w:val="4"/>
          </w:tcPr>
          <w:p>
            <w:pPr>
              <w:pStyle w:val="98"/>
              <w:rPr>
                <w:lang w:bidi="ar"/>
              </w:rPr>
            </w:pPr>
            <w:r>
              <w:rPr>
                <w:rFonts w:hint="eastAsia"/>
                <w:lang w:bidi="ar"/>
              </w:rPr>
              <w:t>专栏</w:t>
            </w:r>
            <w:r>
              <w:rPr>
                <w:lang w:bidi="ar"/>
              </w:rPr>
              <w:t xml:space="preserve">16-12 </w:t>
            </w:r>
            <w:r>
              <w:rPr>
                <w:rFonts w:hint="eastAsia"/>
                <w:lang w:bidi="ar"/>
              </w:rPr>
              <w:t>村庄公共设施用地面积参考指标（单位：平方米）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846" w:type="dxa"/>
          </w:tcPr>
          <w:p>
            <w:pPr>
              <w:pStyle w:val="96"/>
              <w:rPr>
                <w:lang w:bidi="ar"/>
              </w:rPr>
            </w:pPr>
            <w:r>
              <w:rPr>
                <w:rFonts w:hint="eastAsia"/>
                <w:lang w:bidi="ar"/>
              </w:rPr>
              <w:t>类别</w:t>
            </w:r>
          </w:p>
        </w:tc>
        <w:tc>
          <w:tcPr>
            <w:tcW w:w="1276" w:type="dxa"/>
          </w:tcPr>
          <w:p>
            <w:pPr>
              <w:pStyle w:val="96"/>
              <w:rPr>
                <w:lang w:bidi="ar"/>
              </w:rPr>
            </w:pPr>
            <w:r>
              <w:rPr>
                <w:rFonts w:hint="eastAsia"/>
                <w:lang w:bidi="ar"/>
              </w:rPr>
              <w:t>设施名称</w:t>
            </w:r>
          </w:p>
        </w:tc>
        <w:tc>
          <w:tcPr>
            <w:tcW w:w="1701" w:type="dxa"/>
          </w:tcPr>
          <w:p>
            <w:pPr>
              <w:pStyle w:val="96"/>
              <w:rPr>
                <w:lang w:bidi="ar"/>
              </w:rPr>
            </w:pPr>
            <w:r>
              <w:rPr>
                <w:rFonts w:hint="eastAsia"/>
                <w:lang w:bidi="ar"/>
              </w:rPr>
              <w:t>建筑面积</w:t>
            </w:r>
          </w:p>
        </w:tc>
        <w:tc>
          <w:tcPr>
            <w:tcW w:w="4474" w:type="dxa"/>
          </w:tcPr>
          <w:p>
            <w:pPr>
              <w:pStyle w:val="96"/>
              <w:rPr>
                <w:lang w:bidi="ar"/>
              </w:rPr>
            </w:pPr>
            <w:r>
              <w:rPr>
                <w:rFonts w:hint="eastAsia"/>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96"/>
              <w:rPr>
                <w:lang w:bidi="ar"/>
              </w:rPr>
            </w:pPr>
            <w:r>
              <w:rPr>
                <w:rFonts w:hint="eastAsia"/>
                <w:lang w:bidi="ar"/>
              </w:rPr>
              <w:t>行政管理</w:t>
            </w:r>
          </w:p>
        </w:tc>
        <w:tc>
          <w:tcPr>
            <w:tcW w:w="1276" w:type="dxa"/>
            <w:vAlign w:val="center"/>
          </w:tcPr>
          <w:p>
            <w:pPr>
              <w:pStyle w:val="96"/>
              <w:rPr>
                <w:lang w:bidi="ar"/>
              </w:rPr>
            </w:pPr>
            <w:r>
              <w:rPr>
                <w:rFonts w:hint="eastAsia"/>
                <w:lang w:bidi="ar"/>
              </w:rPr>
              <w:t>村委会</w:t>
            </w:r>
          </w:p>
        </w:tc>
        <w:tc>
          <w:tcPr>
            <w:tcW w:w="1701" w:type="dxa"/>
            <w:vAlign w:val="center"/>
          </w:tcPr>
          <w:p>
            <w:pPr>
              <w:pStyle w:val="96"/>
              <w:rPr>
                <w:lang w:bidi="ar"/>
              </w:rPr>
            </w:pPr>
            <w:r>
              <w:rPr>
                <w:rFonts w:hint="eastAsia"/>
                <w:lang w:bidi="ar"/>
              </w:rPr>
              <w:t>200-500</w:t>
            </w:r>
          </w:p>
        </w:tc>
        <w:tc>
          <w:tcPr>
            <w:tcW w:w="4474" w:type="dxa"/>
          </w:tcPr>
          <w:p>
            <w:pPr>
              <w:pStyle w:val="96"/>
              <w:rPr>
                <w:lang w:bidi="ar"/>
              </w:rPr>
            </w:pPr>
            <w:r>
              <w:rPr>
                <w:rFonts w:hint="eastAsia"/>
              </w:rPr>
              <w:t>宜布置在方便出入、便于办事的地点，原则上独立于村民住宅。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Merge w:val="restart"/>
            <w:vAlign w:val="center"/>
          </w:tcPr>
          <w:p>
            <w:pPr>
              <w:pStyle w:val="96"/>
              <w:rPr>
                <w:lang w:bidi="ar"/>
              </w:rPr>
            </w:pPr>
            <w:r>
              <w:rPr>
                <w:rFonts w:hint="eastAsia"/>
                <w:lang w:bidi="ar"/>
              </w:rPr>
              <w:t>教育机构</w:t>
            </w:r>
          </w:p>
        </w:tc>
        <w:tc>
          <w:tcPr>
            <w:tcW w:w="1276" w:type="dxa"/>
            <w:vAlign w:val="center"/>
          </w:tcPr>
          <w:p>
            <w:pPr>
              <w:pStyle w:val="96"/>
              <w:rPr>
                <w:lang w:bidi="ar"/>
              </w:rPr>
            </w:pPr>
            <w:r>
              <w:rPr>
                <w:rFonts w:hint="eastAsia"/>
                <w:lang w:bidi="ar"/>
              </w:rPr>
              <w:t>小学</w:t>
            </w:r>
          </w:p>
        </w:tc>
        <w:tc>
          <w:tcPr>
            <w:tcW w:w="1701" w:type="dxa"/>
            <w:vAlign w:val="center"/>
          </w:tcPr>
          <w:p>
            <w:pPr>
              <w:pStyle w:val="96"/>
              <w:rPr>
                <w:lang w:bidi="ar"/>
              </w:rPr>
            </w:pPr>
            <w:r>
              <w:rPr>
                <w:rFonts w:hint="eastAsia"/>
                <w:lang w:bidi="ar"/>
              </w:rPr>
              <w:t>4000-8000</w:t>
            </w:r>
          </w:p>
        </w:tc>
        <w:tc>
          <w:tcPr>
            <w:tcW w:w="4474" w:type="dxa"/>
          </w:tcPr>
          <w:p>
            <w:pPr>
              <w:pStyle w:val="96"/>
            </w:pPr>
            <w:r>
              <w:rPr>
                <w:rFonts w:hint="eastAsia"/>
              </w:rPr>
              <w:t>应独立占地。可根据乡村生活圈配置要求采取多村合设的方式。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846" w:type="dxa"/>
            <w:vMerge w:val="continue"/>
            <w:vAlign w:val="center"/>
          </w:tcPr>
          <w:p>
            <w:pPr>
              <w:pStyle w:val="96"/>
              <w:rPr>
                <w:lang w:bidi="ar"/>
              </w:rPr>
            </w:pPr>
          </w:p>
        </w:tc>
        <w:tc>
          <w:tcPr>
            <w:tcW w:w="1276" w:type="dxa"/>
            <w:vAlign w:val="center"/>
          </w:tcPr>
          <w:p>
            <w:pPr>
              <w:pStyle w:val="96"/>
              <w:rPr>
                <w:lang w:bidi="ar"/>
              </w:rPr>
            </w:pPr>
            <w:r>
              <w:rPr>
                <w:rFonts w:hint="eastAsia"/>
                <w:lang w:bidi="ar"/>
              </w:rPr>
              <w:t>幼儿园</w:t>
            </w:r>
          </w:p>
        </w:tc>
        <w:tc>
          <w:tcPr>
            <w:tcW w:w="1701" w:type="dxa"/>
            <w:vAlign w:val="center"/>
          </w:tcPr>
          <w:p>
            <w:pPr>
              <w:pStyle w:val="96"/>
              <w:rPr>
                <w:lang w:bidi="ar"/>
              </w:rPr>
            </w:pPr>
            <w:r>
              <w:rPr>
                <w:rFonts w:hint="eastAsia"/>
                <w:lang w:bidi="ar"/>
              </w:rPr>
              <w:t>600-1800</w:t>
            </w:r>
          </w:p>
        </w:tc>
        <w:tc>
          <w:tcPr>
            <w:tcW w:w="4474" w:type="dxa"/>
          </w:tcPr>
          <w:p>
            <w:pPr>
              <w:pStyle w:val="96"/>
            </w:pPr>
            <w:r>
              <w:rPr>
                <w:rFonts w:hint="eastAsia"/>
              </w:rPr>
              <w:t>独立设置或与绿地结合设置。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Merge w:val="continue"/>
            <w:vAlign w:val="center"/>
          </w:tcPr>
          <w:p>
            <w:pPr>
              <w:pStyle w:val="96"/>
              <w:rPr>
                <w:lang w:bidi="ar"/>
              </w:rPr>
            </w:pPr>
          </w:p>
        </w:tc>
        <w:tc>
          <w:tcPr>
            <w:tcW w:w="1276" w:type="dxa"/>
            <w:vAlign w:val="center"/>
          </w:tcPr>
          <w:p>
            <w:pPr>
              <w:pStyle w:val="96"/>
              <w:rPr>
                <w:lang w:bidi="ar"/>
              </w:rPr>
            </w:pPr>
            <w:r>
              <w:rPr>
                <w:rFonts w:hint="eastAsia"/>
                <w:lang w:bidi="ar"/>
              </w:rPr>
              <w:t>托儿所</w:t>
            </w:r>
          </w:p>
        </w:tc>
        <w:tc>
          <w:tcPr>
            <w:tcW w:w="1701" w:type="dxa"/>
            <w:vAlign w:val="center"/>
          </w:tcPr>
          <w:p>
            <w:pPr>
              <w:pStyle w:val="96"/>
              <w:rPr>
                <w:lang w:bidi="ar"/>
              </w:rPr>
            </w:pPr>
            <w:r>
              <w:rPr>
                <w:rFonts w:hint="eastAsia"/>
                <w:lang w:bidi="ar"/>
              </w:rPr>
              <w:t>600-1800</w:t>
            </w:r>
          </w:p>
        </w:tc>
        <w:tc>
          <w:tcPr>
            <w:tcW w:w="4474" w:type="dxa"/>
          </w:tcPr>
          <w:p>
            <w:pPr>
              <w:pStyle w:val="96"/>
            </w:pPr>
            <w:r>
              <w:rPr>
                <w:rFonts w:hint="eastAsia"/>
              </w:rPr>
              <w:t>独立设置或与幼儿园、绿地等结合设置。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96"/>
              <w:rPr>
                <w:lang w:bidi="ar"/>
              </w:rPr>
            </w:pPr>
            <w:r>
              <w:rPr>
                <w:rFonts w:hint="eastAsia"/>
                <w:lang w:bidi="ar"/>
              </w:rPr>
              <w:t>文化科技</w:t>
            </w:r>
          </w:p>
        </w:tc>
        <w:tc>
          <w:tcPr>
            <w:tcW w:w="1276" w:type="dxa"/>
            <w:vAlign w:val="center"/>
          </w:tcPr>
          <w:p>
            <w:pPr>
              <w:pStyle w:val="96"/>
              <w:rPr>
                <w:lang w:bidi="ar"/>
              </w:rPr>
            </w:pPr>
            <w:r>
              <w:rPr>
                <w:rFonts w:hint="eastAsia"/>
                <w:lang w:bidi="ar"/>
              </w:rPr>
              <w:t>文化大院</w:t>
            </w:r>
          </w:p>
        </w:tc>
        <w:tc>
          <w:tcPr>
            <w:tcW w:w="1701" w:type="dxa"/>
            <w:vAlign w:val="center"/>
          </w:tcPr>
          <w:p>
            <w:pPr>
              <w:pStyle w:val="96"/>
              <w:rPr>
                <w:lang w:bidi="ar"/>
              </w:rPr>
            </w:pPr>
            <w:r>
              <w:rPr>
                <w:rFonts w:hint="eastAsia"/>
                <w:lang w:bidi="ar"/>
              </w:rPr>
              <w:t>200-800</w:t>
            </w:r>
          </w:p>
        </w:tc>
        <w:tc>
          <w:tcPr>
            <w:tcW w:w="4474" w:type="dxa"/>
          </w:tcPr>
          <w:p>
            <w:pPr>
              <w:pStyle w:val="96"/>
            </w:pPr>
            <w:r>
              <w:rPr>
                <w:rFonts w:hint="eastAsia"/>
              </w:rPr>
              <w:t>应包括科技服务、图书阅览等功能。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96"/>
              <w:rPr>
                <w:lang w:bidi="ar"/>
              </w:rPr>
            </w:pPr>
            <w:r>
              <w:rPr>
                <w:rFonts w:hint="eastAsia"/>
                <w:lang w:bidi="ar"/>
              </w:rPr>
              <w:t>体育设施</w:t>
            </w:r>
          </w:p>
        </w:tc>
        <w:tc>
          <w:tcPr>
            <w:tcW w:w="1276" w:type="dxa"/>
            <w:vAlign w:val="center"/>
          </w:tcPr>
          <w:p>
            <w:pPr>
              <w:pStyle w:val="96"/>
              <w:rPr>
                <w:lang w:bidi="ar"/>
              </w:rPr>
            </w:pPr>
            <w:r>
              <w:rPr>
                <w:rFonts w:hint="eastAsia"/>
                <w:lang w:bidi="ar"/>
              </w:rPr>
              <w:t>休闲运动广场</w:t>
            </w:r>
          </w:p>
        </w:tc>
        <w:tc>
          <w:tcPr>
            <w:tcW w:w="1701" w:type="dxa"/>
            <w:vAlign w:val="center"/>
          </w:tcPr>
          <w:p>
            <w:pPr>
              <w:pStyle w:val="96"/>
              <w:rPr>
                <w:lang w:bidi="ar"/>
              </w:rPr>
            </w:pPr>
            <w:r>
              <w:rPr>
                <w:rFonts w:hint="eastAsia"/>
                <w:lang w:bidi="ar"/>
              </w:rPr>
              <w:t>600-2000</w:t>
            </w:r>
          </w:p>
          <w:p>
            <w:pPr>
              <w:pStyle w:val="96"/>
              <w:rPr>
                <w:lang w:bidi="ar"/>
              </w:rPr>
            </w:pPr>
            <w:r>
              <w:rPr>
                <w:rFonts w:hint="eastAsia"/>
                <w:lang w:bidi="ar"/>
              </w:rPr>
              <w:t>（用地面积）</w:t>
            </w:r>
          </w:p>
        </w:tc>
        <w:tc>
          <w:tcPr>
            <w:tcW w:w="4474" w:type="dxa"/>
          </w:tcPr>
          <w:p>
            <w:pPr>
              <w:pStyle w:val="96"/>
            </w:pPr>
            <w:r>
              <w:rPr>
                <w:rFonts w:hint="eastAsia"/>
              </w:rPr>
              <w:t>可与绿地结合建设。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846" w:type="dxa"/>
            <w:vAlign w:val="center"/>
          </w:tcPr>
          <w:p>
            <w:pPr>
              <w:pStyle w:val="96"/>
              <w:rPr>
                <w:lang w:bidi="ar"/>
              </w:rPr>
            </w:pPr>
            <w:r>
              <w:rPr>
                <w:rFonts w:hint="eastAsia"/>
                <w:lang w:bidi="ar"/>
              </w:rPr>
              <w:t>医疗设施</w:t>
            </w:r>
          </w:p>
        </w:tc>
        <w:tc>
          <w:tcPr>
            <w:tcW w:w="1276" w:type="dxa"/>
            <w:vAlign w:val="center"/>
          </w:tcPr>
          <w:p>
            <w:pPr>
              <w:pStyle w:val="96"/>
              <w:rPr>
                <w:lang w:bidi="ar"/>
              </w:rPr>
            </w:pPr>
            <w:r>
              <w:rPr>
                <w:rFonts w:hint="eastAsia"/>
                <w:lang w:bidi="ar"/>
              </w:rPr>
              <w:t>村卫生室</w:t>
            </w:r>
          </w:p>
        </w:tc>
        <w:tc>
          <w:tcPr>
            <w:tcW w:w="1701" w:type="dxa"/>
            <w:vAlign w:val="center"/>
          </w:tcPr>
          <w:p>
            <w:pPr>
              <w:pStyle w:val="96"/>
              <w:rPr>
                <w:lang w:bidi="ar"/>
              </w:rPr>
            </w:pPr>
            <w:r>
              <w:rPr>
                <w:rFonts w:hint="eastAsia"/>
                <w:lang w:bidi="ar"/>
              </w:rPr>
              <w:t>50-100</w:t>
            </w:r>
          </w:p>
        </w:tc>
        <w:tc>
          <w:tcPr>
            <w:tcW w:w="4474" w:type="dxa"/>
          </w:tcPr>
          <w:p>
            <w:pPr>
              <w:pStyle w:val="96"/>
            </w:pPr>
            <w:r>
              <w:rPr>
                <w:rFonts w:hint="eastAsia"/>
              </w:rPr>
              <w:t>原则上一个行政村设置一所村卫生室，人口较多或者居住分散的行政村可酌情增设;人口较少或面积较小的行政村，可与相邻行政村联合设置村卫生室。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846" w:type="dxa"/>
            <w:vAlign w:val="center"/>
          </w:tcPr>
          <w:p>
            <w:pPr>
              <w:pStyle w:val="96"/>
              <w:rPr>
                <w:lang w:bidi="ar"/>
              </w:rPr>
            </w:pPr>
            <w:r>
              <w:rPr>
                <w:rFonts w:hint="eastAsia"/>
                <w:lang w:bidi="ar"/>
              </w:rPr>
              <w:t>社会保障</w:t>
            </w:r>
          </w:p>
        </w:tc>
        <w:tc>
          <w:tcPr>
            <w:tcW w:w="1276" w:type="dxa"/>
            <w:vAlign w:val="center"/>
          </w:tcPr>
          <w:p>
            <w:pPr>
              <w:pStyle w:val="96"/>
              <w:rPr>
                <w:lang w:bidi="ar"/>
              </w:rPr>
            </w:pPr>
            <w:r>
              <w:rPr>
                <w:rFonts w:hint="eastAsia"/>
                <w:lang w:bidi="ar"/>
              </w:rPr>
              <w:t>日间照料中心</w:t>
            </w:r>
          </w:p>
        </w:tc>
        <w:tc>
          <w:tcPr>
            <w:tcW w:w="1701" w:type="dxa"/>
            <w:vAlign w:val="center"/>
          </w:tcPr>
          <w:p>
            <w:pPr>
              <w:pStyle w:val="96"/>
              <w:rPr>
                <w:lang w:bidi="ar"/>
              </w:rPr>
            </w:pPr>
            <w:r>
              <w:rPr>
                <w:rFonts w:hint="eastAsia"/>
                <w:lang w:bidi="ar"/>
              </w:rPr>
              <w:t>200-800</w:t>
            </w:r>
          </w:p>
        </w:tc>
        <w:tc>
          <w:tcPr>
            <w:tcW w:w="4474" w:type="dxa"/>
          </w:tcPr>
          <w:p>
            <w:pPr>
              <w:pStyle w:val="96"/>
            </w:pPr>
            <w:r>
              <w:rPr>
                <w:rFonts w:hint="eastAsia"/>
              </w:rPr>
              <w:t>宜综合设置。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846" w:type="dxa"/>
            <w:vMerge w:val="restart"/>
            <w:vAlign w:val="center"/>
          </w:tcPr>
          <w:p>
            <w:pPr>
              <w:pStyle w:val="96"/>
              <w:rPr>
                <w:lang w:bidi="ar"/>
              </w:rPr>
            </w:pPr>
            <w:r>
              <w:rPr>
                <w:rFonts w:hint="eastAsia"/>
                <w:lang w:bidi="ar"/>
              </w:rPr>
              <w:t>商业服务</w:t>
            </w:r>
          </w:p>
        </w:tc>
        <w:tc>
          <w:tcPr>
            <w:tcW w:w="1276" w:type="dxa"/>
            <w:vAlign w:val="center"/>
          </w:tcPr>
          <w:p>
            <w:pPr>
              <w:pStyle w:val="96"/>
              <w:rPr>
                <w:lang w:bidi="ar"/>
              </w:rPr>
            </w:pPr>
            <w:r>
              <w:rPr>
                <w:rFonts w:hint="eastAsia"/>
                <w:lang w:bidi="ar"/>
              </w:rPr>
              <w:t>小卖部</w:t>
            </w:r>
          </w:p>
        </w:tc>
        <w:tc>
          <w:tcPr>
            <w:tcW w:w="1701" w:type="dxa"/>
            <w:vAlign w:val="center"/>
          </w:tcPr>
          <w:p>
            <w:pPr>
              <w:pStyle w:val="96"/>
              <w:rPr>
                <w:lang w:bidi="ar"/>
              </w:rPr>
            </w:pPr>
            <w:r>
              <w:rPr>
                <w:rFonts w:hint="eastAsia"/>
                <w:lang w:bidi="ar"/>
              </w:rPr>
              <w:t>300-1000</w:t>
            </w:r>
          </w:p>
        </w:tc>
        <w:tc>
          <w:tcPr>
            <w:tcW w:w="4474" w:type="dxa"/>
          </w:tcPr>
          <w:p>
            <w:pPr>
              <w:pStyle w:val="96"/>
            </w:pPr>
            <w:r>
              <w:rPr>
                <w:rFonts w:hint="eastAsia"/>
              </w:rPr>
              <w:t>宜综合设置。各行政村设一处，村域面积较大或集中农村居民点较分散情况下可多点设置。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846" w:type="dxa"/>
            <w:vMerge w:val="continue"/>
            <w:vAlign w:val="center"/>
          </w:tcPr>
          <w:p>
            <w:pPr>
              <w:pStyle w:val="96"/>
              <w:rPr>
                <w:lang w:bidi="ar"/>
              </w:rPr>
            </w:pPr>
          </w:p>
        </w:tc>
        <w:tc>
          <w:tcPr>
            <w:tcW w:w="1276" w:type="dxa"/>
            <w:vAlign w:val="center"/>
          </w:tcPr>
          <w:p>
            <w:pPr>
              <w:pStyle w:val="96"/>
              <w:rPr>
                <w:lang w:bidi="ar"/>
              </w:rPr>
            </w:pPr>
            <w:r>
              <w:rPr>
                <w:rFonts w:hint="eastAsia"/>
                <w:lang w:bidi="ar"/>
              </w:rPr>
              <w:t>小型超市</w:t>
            </w:r>
          </w:p>
        </w:tc>
        <w:tc>
          <w:tcPr>
            <w:tcW w:w="1701" w:type="dxa"/>
            <w:vAlign w:val="center"/>
          </w:tcPr>
          <w:p>
            <w:pPr>
              <w:pStyle w:val="96"/>
              <w:rPr>
                <w:lang w:bidi="ar"/>
              </w:rPr>
            </w:pPr>
            <w:r>
              <w:rPr>
                <w:rFonts w:hint="eastAsia"/>
                <w:lang w:bidi="ar"/>
              </w:rPr>
              <w:t>500-800</w:t>
            </w:r>
          </w:p>
        </w:tc>
        <w:tc>
          <w:tcPr>
            <w:tcW w:w="4474" w:type="dxa"/>
          </w:tcPr>
          <w:p>
            <w:pPr>
              <w:pStyle w:val="96"/>
            </w:pPr>
            <w:r>
              <w:rPr>
                <w:rFonts w:hint="eastAsia"/>
              </w:rPr>
              <w:t>根据村庄规模设置。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846" w:type="dxa"/>
            <w:vMerge w:val="continue"/>
            <w:vAlign w:val="center"/>
          </w:tcPr>
          <w:p>
            <w:pPr>
              <w:pStyle w:val="96"/>
              <w:rPr>
                <w:lang w:bidi="ar"/>
              </w:rPr>
            </w:pPr>
          </w:p>
        </w:tc>
        <w:tc>
          <w:tcPr>
            <w:tcW w:w="1276" w:type="dxa"/>
            <w:vAlign w:val="center"/>
          </w:tcPr>
          <w:p>
            <w:pPr>
              <w:pStyle w:val="96"/>
              <w:rPr>
                <w:lang w:bidi="ar"/>
              </w:rPr>
            </w:pPr>
            <w:r>
              <w:rPr>
                <w:rFonts w:hint="eastAsia"/>
                <w:lang w:bidi="ar"/>
              </w:rPr>
              <w:t>餐饮、特产店</w:t>
            </w:r>
          </w:p>
        </w:tc>
        <w:tc>
          <w:tcPr>
            <w:tcW w:w="1701" w:type="dxa"/>
            <w:vAlign w:val="center"/>
          </w:tcPr>
          <w:p>
            <w:pPr>
              <w:pStyle w:val="96"/>
              <w:rPr>
                <w:lang w:bidi="ar"/>
              </w:rPr>
            </w:pPr>
            <w:r>
              <w:rPr>
                <w:rFonts w:hint="eastAsia"/>
                <w:lang w:bidi="ar"/>
              </w:rPr>
              <w:t>——</w:t>
            </w:r>
          </w:p>
        </w:tc>
        <w:tc>
          <w:tcPr>
            <w:tcW w:w="4474" w:type="dxa"/>
          </w:tcPr>
          <w:p>
            <w:pPr>
              <w:pStyle w:val="96"/>
            </w:pPr>
            <w:r>
              <w:rPr>
                <w:rFonts w:hint="eastAsia"/>
              </w:rPr>
              <w:t>根据需求设置。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846" w:type="dxa"/>
            <w:vMerge w:val="continue"/>
            <w:vAlign w:val="center"/>
          </w:tcPr>
          <w:p>
            <w:pPr>
              <w:pStyle w:val="96"/>
              <w:rPr>
                <w:lang w:bidi="ar"/>
              </w:rPr>
            </w:pPr>
          </w:p>
        </w:tc>
        <w:tc>
          <w:tcPr>
            <w:tcW w:w="1276" w:type="dxa"/>
            <w:vAlign w:val="center"/>
          </w:tcPr>
          <w:p>
            <w:pPr>
              <w:pStyle w:val="96"/>
              <w:rPr>
                <w:lang w:bidi="ar"/>
              </w:rPr>
            </w:pPr>
            <w:r>
              <w:rPr>
                <w:rFonts w:hint="eastAsia"/>
                <w:lang w:bidi="ar"/>
              </w:rPr>
              <w:t>旅馆、招待所</w:t>
            </w:r>
          </w:p>
        </w:tc>
        <w:tc>
          <w:tcPr>
            <w:tcW w:w="1701" w:type="dxa"/>
            <w:vAlign w:val="center"/>
          </w:tcPr>
          <w:p>
            <w:pPr>
              <w:pStyle w:val="96"/>
              <w:rPr>
                <w:lang w:bidi="ar"/>
              </w:rPr>
            </w:pPr>
            <w:r>
              <w:rPr>
                <w:rFonts w:hint="eastAsia"/>
                <w:lang w:bidi="ar"/>
              </w:rPr>
              <w:t>——</w:t>
            </w:r>
          </w:p>
        </w:tc>
        <w:tc>
          <w:tcPr>
            <w:tcW w:w="4474" w:type="dxa"/>
          </w:tcPr>
          <w:p>
            <w:pPr>
              <w:pStyle w:val="96"/>
            </w:pPr>
            <w:r>
              <w:rPr>
                <w:rFonts w:hint="eastAsia"/>
              </w:rPr>
              <w:t>根据需求设置</w:t>
            </w:r>
          </w:p>
        </w:tc>
      </w:tr>
    </w:tbl>
    <w:p>
      <w:pPr>
        <w:ind w:firstLine="640"/>
      </w:pPr>
      <w:r>
        <w:rPr>
          <w:rFonts w:hint="eastAsia"/>
        </w:rPr>
        <w:t>村委会办公建筑规划控制指标可参照下表执行。</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72"/>
        <w:gridCol w:w="3119"/>
        <w:gridCol w:w="2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3"/>
          </w:tcPr>
          <w:p>
            <w:pPr>
              <w:pStyle w:val="98"/>
              <w:rPr>
                <w:rFonts w:ascii="仿宋" w:hAnsi="仿宋" w:eastAsia="仿宋" w:cs="仿宋"/>
                <w:sz w:val="21"/>
                <w:szCs w:val="21"/>
              </w:rPr>
            </w:pPr>
            <w:r>
              <w:rPr>
                <w:rFonts w:hint="eastAsia"/>
                <w:lang w:bidi="ar"/>
              </w:rPr>
              <w:t>专栏</w:t>
            </w:r>
            <w:r>
              <w:rPr>
                <w:lang w:bidi="ar"/>
              </w:rPr>
              <w:t xml:space="preserve">16-13 </w:t>
            </w:r>
            <w:r>
              <w:rPr>
                <w:rFonts w:hint="eastAsia"/>
              </w:rPr>
              <w:t>村委会办公</w:t>
            </w:r>
            <w:r>
              <w:rPr>
                <w:rFonts w:hint="eastAsia"/>
                <w:lang w:bidi="ar"/>
              </w:rPr>
              <w:t>建筑建设控制指标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297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建筑类型</w:t>
            </w:r>
          </w:p>
        </w:tc>
        <w:tc>
          <w:tcPr>
            <w:tcW w:w="311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220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建筑高度（米）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297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村委会办公建筑</w:t>
            </w:r>
          </w:p>
        </w:tc>
        <w:tc>
          <w:tcPr>
            <w:tcW w:w="311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≥0</w:t>
            </w:r>
            <w:r>
              <w:rPr>
                <w:rFonts w:ascii="仿宋_GB2312" w:hAnsi="仿宋" w:cs="仿宋"/>
                <w:sz w:val="24"/>
                <w:szCs w:val="24"/>
              </w:rPr>
              <w:t>.8</w:t>
            </w:r>
          </w:p>
        </w:tc>
        <w:tc>
          <w:tcPr>
            <w:tcW w:w="220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2</w:t>
            </w:r>
          </w:p>
        </w:tc>
      </w:tr>
    </w:tbl>
    <w:p>
      <w:pPr>
        <w:ind w:firstLine="640"/>
      </w:pPr>
      <w:r>
        <w:rPr>
          <w:rFonts w:hint="eastAsia"/>
        </w:rPr>
        <w:t>幼儿园建筑规划控制指标可参照下表执行。</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56"/>
        <w:gridCol w:w="2268"/>
        <w:gridCol w:w="27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3"/>
          </w:tcPr>
          <w:p>
            <w:pPr>
              <w:pStyle w:val="98"/>
              <w:rPr>
                <w:rFonts w:ascii="仿宋" w:hAnsi="仿宋" w:eastAsia="仿宋" w:cs="仿宋"/>
                <w:sz w:val="21"/>
                <w:szCs w:val="21"/>
              </w:rPr>
            </w:pPr>
            <w:r>
              <w:rPr>
                <w:rFonts w:hint="eastAsia"/>
                <w:lang w:bidi="ar"/>
              </w:rPr>
              <w:t>专栏</w:t>
            </w:r>
            <w:r>
              <w:rPr>
                <w:lang w:bidi="ar"/>
              </w:rPr>
              <w:t xml:space="preserve">16-14 </w:t>
            </w:r>
            <w:r>
              <w:rPr>
                <w:rFonts w:hint="eastAsia"/>
              </w:rPr>
              <w:t>幼儿园建筑</w:t>
            </w:r>
            <w:r>
              <w:rPr>
                <w:rFonts w:hint="eastAsia"/>
                <w:lang w:bidi="ar"/>
              </w:rPr>
              <w:t>建设控制指标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325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生均建设用地（平方米/人）</w:t>
            </w:r>
          </w:p>
        </w:tc>
        <w:tc>
          <w:tcPr>
            <w:tcW w:w="226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277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绿地率（%）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325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3</w:t>
            </w:r>
          </w:p>
        </w:tc>
        <w:tc>
          <w:tcPr>
            <w:tcW w:w="226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≤0</w:t>
            </w:r>
            <w:r>
              <w:rPr>
                <w:rFonts w:ascii="仿宋_GB2312" w:hAnsi="仿宋" w:cs="仿宋"/>
                <w:sz w:val="24"/>
                <w:szCs w:val="24"/>
              </w:rPr>
              <w:t>.7</w:t>
            </w:r>
          </w:p>
        </w:tc>
        <w:tc>
          <w:tcPr>
            <w:tcW w:w="277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≥30</w:t>
            </w:r>
          </w:p>
        </w:tc>
      </w:tr>
    </w:tbl>
    <w:p>
      <w:pPr>
        <w:ind w:firstLine="640"/>
      </w:pPr>
      <w:r>
        <w:rPr>
          <w:rFonts w:hint="eastAsia"/>
        </w:rPr>
        <w:t>小学建筑规划控制指标可参照下表执行。</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1984"/>
        <w:gridCol w:w="2127"/>
        <w:gridCol w:w="27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4"/>
          </w:tcPr>
          <w:p>
            <w:pPr>
              <w:pStyle w:val="98"/>
              <w:rPr>
                <w:rFonts w:ascii="仿宋" w:hAnsi="仿宋" w:eastAsia="仿宋" w:cs="仿宋"/>
                <w:sz w:val="21"/>
                <w:szCs w:val="21"/>
              </w:rPr>
            </w:pPr>
            <w:r>
              <w:rPr>
                <w:rFonts w:hint="eastAsia"/>
                <w:lang w:bidi="ar"/>
              </w:rPr>
              <w:t>专栏</w:t>
            </w:r>
            <w:r>
              <w:rPr>
                <w:lang w:bidi="ar"/>
              </w:rPr>
              <w:t xml:space="preserve">16-15 </w:t>
            </w:r>
            <w:r>
              <w:rPr>
                <w:rFonts w:hint="eastAsia"/>
              </w:rPr>
              <w:t>小学建筑</w:t>
            </w:r>
            <w:r>
              <w:rPr>
                <w:rFonts w:hint="eastAsia"/>
                <w:lang w:bidi="ar"/>
              </w:rPr>
              <w:t>建设控制指标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3397" w:type="dxa"/>
            <w:gridSpan w:val="2"/>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生均建设用地（平方米/人）</w:t>
            </w:r>
          </w:p>
        </w:tc>
        <w:tc>
          <w:tcPr>
            <w:tcW w:w="2127"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277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绿地率（%）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41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≤2</w:t>
            </w:r>
            <w:r>
              <w:rPr>
                <w:rFonts w:ascii="仿宋_GB2312" w:hAnsi="仿宋" w:cs="仿宋"/>
                <w:sz w:val="24"/>
                <w:szCs w:val="24"/>
              </w:rPr>
              <w:t>4</w:t>
            </w:r>
            <w:r>
              <w:rPr>
                <w:rFonts w:hint="eastAsia" w:ascii="仿宋_GB2312" w:hAnsi="仿宋" w:cs="仿宋"/>
                <w:sz w:val="24"/>
                <w:szCs w:val="24"/>
              </w:rPr>
              <w:t>班</w:t>
            </w:r>
          </w:p>
        </w:tc>
        <w:tc>
          <w:tcPr>
            <w:tcW w:w="198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8</w:t>
            </w:r>
          </w:p>
        </w:tc>
        <w:tc>
          <w:tcPr>
            <w:tcW w:w="2127" w:type="dxa"/>
            <w:vMerge w:val="restart"/>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≤0</w:t>
            </w:r>
            <w:r>
              <w:rPr>
                <w:rFonts w:ascii="仿宋_GB2312" w:hAnsi="仿宋" w:cs="仿宋"/>
                <w:sz w:val="24"/>
                <w:szCs w:val="24"/>
              </w:rPr>
              <w:t>.9</w:t>
            </w:r>
          </w:p>
        </w:tc>
        <w:tc>
          <w:tcPr>
            <w:tcW w:w="2773" w:type="dxa"/>
            <w:vMerge w:val="restart"/>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w:t>
            </w:r>
            <w:r>
              <w:rPr>
                <w:rFonts w:ascii="仿宋_GB2312" w:hAnsi="仿宋" w:cs="仿宋"/>
                <w:sz w:val="24"/>
                <w:szCs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41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＞2</w:t>
            </w:r>
            <w:r>
              <w:rPr>
                <w:rFonts w:ascii="仿宋_GB2312" w:hAnsi="仿宋" w:cs="仿宋"/>
                <w:sz w:val="24"/>
                <w:szCs w:val="24"/>
              </w:rPr>
              <w:t>4</w:t>
            </w:r>
            <w:r>
              <w:rPr>
                <w:rFonts w:hint="eastAsia" w:ascii="仿宋_GB2312" w:hAnsi="仿宋" w:cs="仿宋"/>
                <w:sz w:val="24"/>
                <w:szCs w:val="24"/>
              </w:rPr>
              <w:t>班</w:t>
            </w:r>
          </w:p>
        </w:tc>
        <w:tc>
          <w:tcPr>
            <w:tcW w:w="198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7</w:t>
            </w:r>
          </w:p>
        </w:tc>
        <w:tc>
          <w:tcPr>
            <w:tcW w:w="2127" w:type="dxa"/>
            <w:vMerge w:val="continue"/>
            <w:vAlign w:val="center"/>
          </w:tcPr>
          <w:p>
            <w:pPr>
              <w:spacing w:line="500" w:lineRule="exact"/>
              <w:ind w:firstLine="0" w:firstLineChars="0"/>
              <w:jc w:val="center"/>
              <w:rPr>
                <w:rFonts w:ascii="仿宋_GB2312" w:hAnsi="仿宋" w:cs="仿宋"/>
                <w:sz w:val="24"/>
                <w:szCs w:val="24"/>
              </w:rPr>
            </w:pPr>
          </w:p>
        </w:tc>
        <w:tc>
          <w:tcPr>
            <w:tcW w:w="2773" w:type="dxa"/>
            <w:vMerge w:val="continue"/>
            <w:vAlign w:val="center"/>
          </w:tcPr>
          <w:p>
            <w:pPr>
              <w:spacing w:line="500" w:lineRule="exact"/>
              <w:ind w:firstLine="0" w:firstLineChars="0"/>
              <w:jc w:val="center"/>
              <w:rPr>
                <w:rFonts w:ascii="仿宋_GB2312" w:hAnsi="仿宋" w:cs="仿宋"/>
                <w:sz w:val="24"/>
                <w:szCs w:val="24"/>
              </w:rPr>
            </w:pPr>
          </w:p>
        </w:tc>
      </w:tr>
    </w:tbl>
    <w:p>
      <w:pPr>
        <w:ind w:firstLine="640"/>
      </w:pPr>
      <w:r>
        <w:rPr>
          <w:rFonts w:hint="eastAsia"/>
        </w:rPr>
        <w:t>医疗卫生建筑规划控制指标可参照下表执行。</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1559"/>
        <w:gridCol w:w="1418"/>
        <w:gridCol w:w="1701"/>
        <w:gridCol w:w="2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5"/>
          </w:tcPr>
          <w:p>
            <w:pPr>
              <w:pStyle w:val="98"/>
              <w:rPr>
                <w:rFonts w:ascii="仿宋" w:hAnsi="仿宋" w:eastAsia="仿宋" w:cs="仿宋"/>
                <w:sz w:val="21"/>
                <w:szCs w:val="21"/>
              </w:rPr>
            </w:pPr>
            <w:r>
              <w:rPr>
                <w:rFonts w:hint="eastAsia"/>
                <w:lang w:bidi="ar"/>
              </w:rPr>
              <w:t>专栏</w:t>
            </w:r>
            <w:r>
              <w:rPr>
                <w:lang w:bidi="ar"/>
              </w:rPr>
              <w:t xml:space="preserve">16-16 </w:t>
            </w:r>
            <w:r>
              <w:rPr>
                <w:rFonts w:hint="eastAsia"/>
                <w:lang w:bidi="ar"/>
              </w:rPr>
              <w:t>医疗卫生建筑建设控制指标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141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建筑类型</w:t>
            </w:r>
          </w:p>
        </w:tc>
        <w:tc>
          <w:tcPr>
            <w:tcW w:w="155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床位数（床）</w:t>
            </w:r>
          </w:p>
        </w:tc>
        <w:tc>
          <w:tcPr>
            <w:tcW w:w="141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170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建筑高度（米）</w:t>
            </w:r>
          </w:p>
        </w:tc>
        <w:tc>
          <w:tcPr>
            <w:tcW w:w="220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绿地率（%）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41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村卫生室</w:t>
            </w:r>
          </w:p>
        </w:tc>
        <w:tc>
          <w:tcPr>
            <w:tcW w:w="155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2</w:t>
            </w:r>
            <w:r>
              <w:rPr>
                <w:rFonts w:ascii="仿宋_GB2312" w:hAnsi="仿宋" w:cs="仿宋"/>
                <w:sz w:val="24"/>
                <w:szCs w:val="24"/>
              </w:rPr>
              <w:t>-4</w:t>
            </w:r>
          </w:p>
        </w:tc>
        <w:tc>
          <w:tcPr>
            <w:tcW w:w="141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.0</w:t>
            </w:r>
          </w:p>
        </w:tc>
        <w:tc>
          <w:tcPr>
            <w:tcW w:w="170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2</w:t>
            </w:r>
          </w:p>
        </w:tc>
        <w:tc>
          <w:tcPr>
            <w:tcW w:w="220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p>
        </w:tc>
      </w:tr>
    </w:tbl>
    <w:p>
      <w:pPr>
        <w:ind w:firstLine="640"/>
      </w:pPr>
      <w:r>
        <w:rPr>
          <w:rFonts w:hint="eastAsia"/>
        </w:rPr>
        <w:t>社会福利建筑规划控制指标可参照下表执行。</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3"/>
        <w:gridCol w:w="1279"/>
        <w:gridCol w:w="1145"/>
        <w:gridCol w:w="1453"/>
        <w:gridCol w:w="1755"/>
        <w:gridCol w:w="15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6"/>
          </w:tcPr>
          <w:p>
            <w:pPr>
              <w:pStyle w:val="98"/>
              <w:rPr>
                <w:lang w:bidi="ar"/>
              </w:rPr>
            </w:pPr>
            <w:r>
              <w:rPr>
                <w:rFonts w:hint="eastAsia"/>
                <w:lang w:bidi="ar"/>
              </w:rPr>
              <w:t>专栏</w:t>
            </w:r>
            <w:r>
              <w:rPr>
                <w:lang w:bidi="ar"/>
              </w:rPr>
              <w:t xml:space="preserve">16-17 </w:t>
            </w:r>
            <w:r>
              <w:rPr>
                <w:rFonts w:hint="eastAsia"/>
                <w:lang w:bidi="ar"/>
              </w:rPr>
              <w:t>社会福利建筑建设控制指标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110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建筑类型</w:t>
            </w:r>
          </w:p>
        </w:tc>
        <w:tc>
          <w:tcPr>
            <w:tcW w:w="127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床均用地面积（平方米/床）</w:t>
            </w:r>
          </w:p>
        </w:tc>
        <w:tc>
          <w:tcPr>
            <w:tcW w:w="1145"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145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建筑高度（米）</w:t>
            </w:r>
          </w:p>
        </w:tc>
        <w:tc>
          <w:tcPr>
            <w:tcW w:w="1755"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建筑密度（%）</w:t>
            </w:r>
          </w:p>
        </w:tc>
        <w:tc>
          <w:tcPr>
            <w:tcW w:w="156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绿地率（%）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10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养老院</w:t>
            </w:r>
          </w:p>
        </w:tc>
        <w:tc>
          <w:tcPr>
            <w:tcW w:w="1279" w:type="dxa"/>
            <w:vAlign w:val="center"/>
          </w:tcPr>
          <w:p>
            <w:pPr>
              <w:spacing w:line="500" w:lineRule="exact"/>
              <w:ind w:firstLine="0" w:firstLineChars="0"/>
              <w:jc w:val="center"/>
              <w:rPr>
                <w:rFonts w:ascii="仿宋_GB2312" w:hAnsi="仿宋" w:cs="仿宋"/>
                <w:sz w:val="24"/>
                <w:szCs w:val="24"/>
              </w:rPr>
            </w:pPr>
            <w:r>
              <w:rPr>
                <w:rFonts w:ascii="仿宋_GB2312" w:hAnsi="仿宋" w:cs="仿宋"/>
                <w:sz w:val="24"/>
                <w:szCs w:val="24"/>
              </w:rPr>
              <w:t>35-50</w:t>
            </w:r>
          </w:p>
        </w:tc>
        <w:tc>
          <w:tcPr>
            <w:tcW w:w="1145"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0.8</w:t>
            </w:r>
          </w:p>
        </w:tc>
        <w:tc>
          <w:tcPr>
            <w:tcW w:w="145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24</w:t>
            </w:r>
          </w:p>
        </w:tc>
        <w:tc>
          <w:tcPr>
            <w:tcW w:w="1755"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30</w:t>
            </w:r>
          </w:p>
        </w:tc>
        <w:tc>
          <w:tcPr>
            <w:tcW w:w="156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≥30</w:t>
            </w:r>
          </w:p>
        </w:tc>
      </w:tr>
    </w:tbl>
    <w:p>
      <w:pPr>
        <w:ind w:firstLine="640"/>
      </w:pPr>
      <w:r>
        <w:rPr>
          <w:rFonts w:hint="eastAsia"/>
        </w:rPr>
        <w:t>公共服务建筑</w:t>
      </w:r>
      <w:r>
        <w:rPr>
          <w:rFonts w:hint="eastAsia"/>
          <w:kern w:val="0"/>
          <w:lang w:bidi="ar"/>
        </w:rPr>
        <w:t>间距、道路退让、边界退让须符合建筑防火消防安全和日照标准。</w:t>
      </w:r>
      <w:r>
        <w:rPr>
          <w:rFonts w:hint="eastAsia"/>
        </w:rPr>
        <w:t>公共服务建筑原址翻建、改造的，建筑面积不作限制，但须符合地块建设强度控制指标要求。</w:t>
      </w:r>
    </w:p>
    <w:p>
      <w:pPr>
        <w:ind w:firstLine="640"/>
      </w:pPr>
      <w:r>
        <w:rPr>
          <w:rFonts w:hint="eastAsia"/>
        </w:rPr>
        <w:t>鼓励利用村内空闲地、边角地，因地制宜，建设点式分散的小型绿地游园、活动</w:t>
      </w:r>
      <w:r>
        <w:t>广场</w:t>
      </w:r>
      <w:r>
        <w:rPr>
          <w:rFonts w:hint="eastAsia"/>
        </w:rPr>
        <w:t>、停车场等。游园、</w:t>
      </w:r>
      <w:r>
        <w:t>广场</w:t>
      </w:r>
      <w:r>
        <w:rPr>
          <w:rFonts w:hint="eastAsia"/>
        </w:rPr>
        <w:t>应</w:t>
      </w:r>
      <w:r>
        <w:t>当配备健身活动器材、儿童娱乐设施、休闲座椅等</w:t>
      </w:r>
      <w:r>
        <w:rPr>
          <w:rFonts w:hint="eastAsia"/>
        </w:rPr>
        <w:t>活动设施，</w:t>
      </w:r>
      <w:r>
        <w:t>提升村庄环境品质，增加村民休闲场所。</w:t>
      </w:r>
      <w:r>
        <w:rPr>
          <w:rFonts w:hint="eastAsia"/>
        </w:rPr>
        <w:t>村庄健身广场宜与绿地结合设置，可根据村庄人口数量和人口分布情况设置多处，单个健身广场用地面积不宜大于</w:t>
      </w:r>
      <w:r>
        <w:t>400平方米，每村健身广场的总面积人均不宜大于3平方米。</w:t>
      </w:r>
      <w:r>
        <w:rPr>
          <w:rFonts w:hint="eastAsia"/>
        </w:rPr>
        <w:t>位于旅游景区或特色保护类游客较多的村庄，面积可适当增加。</w:t>
      </w:r>
    </w:p>
    <w:p>
      <w:pPr>
        <w:pStyle w:val="4"/>
        <w:numPr>
          <w:ilvl w:val="2"/>
          <w:numId w:val="1"/>
        </w:numPr>
        <w:spacing w:beforeLines="0" w:afterLines="0" w:line="588" w:lineRule="exact"/>
      </w:pPr>
      <w:r>
        <w:rPr>
          <w:rFonts w:hint="eastAsia"/>
        </w:rPr>
        <w:t>乡村产业管控</w:t>
      </w:r>
    </w:p>
    <w:p>
      <w:pPr>
        <w:ind w:firstLine="640"/>
      </w:pPr>
      <w:r>
        <w:rPr>
          <w:rFonts w:hint="eastAsia"/>
        </w:rPr>
        <w:t>乡村产业主要包括农业产业融合相关类项目和其他产业项目。</w:t>
      </w:r>
    </w:p>
    <w:p>
      <w:pPr>
        <w:ind w:firstLine="640"/>
      </w:pPr>
      <w:r>
        <w:rPr>
          <w:rFonts w:hint="eastAsia"/>
        </w:rPr>
        <w:t>农业产业融合相关类项目主要以农业农村资源为依托，拓展农业农村功能，延伸产业链条，涵盖农产品生产、加工、流通、就地消费等环节，用于农产品加工流通、农村休闲观光旅游、电子商务等混合融合的农村产业融合发展用地，土地用途可确定为工业用地、商业用地、物流仓储用地等。主要包括：农产品加工产业用地（包括农产品烘干、贮藏、保鲜、畜禽屠宰等产业）、生产性服务产业用地（包括农资配送、病虫害防治、农机作业服务、畜禽无害化处理与收集转运、畜禽粪污资源化利用、农产品流通、农产品仓储保鲜冷链物流设施、农业废弃物处理等产业）、生活性服务产业用地（包括乡村综合性服务网点、电商、快递、物流、商贸批发和零售等产业）、新产业新业态用地（包括“互联网+”现代农业、农产品电子商务、休闲农业和乡村旅游、红色文化与民俗文化、非遗传承、传统手工业、文化创意等新型业态用地；依托乡村资源优势，培育的农业特色小镇、地方特色产业用地）。</w:t>
      </w:r>
    </w:p>
    <w:p>
      <w:pPr>
        <w:ind w:firstLine="640"/>
      </w:pPr>
      <w:r>
        <w:rPr>
          <w:rFonts w:hint="eastAsia"/>
        </w:rPr>
        <w:t>农村产业融合相关类发展用地不得用于商品住宅、别墅、酒店、公寓等房地产开发，不得擅自改变用途或分割转让转租。</w:t>
      </w:r>
    </w:p>
    <w:p>
      <w:pPr>
        <w:ind w:firstLine="640"/>
      </w:pPr>
      <w:r>
        <w:rPr>
          <w:rFonts w:hint="eastAsia"/>
        </w:rPr>
        <w:t>农村产业融合类项目布局要求。项目规模较大、工业化程度高、分散布局配套设施成本高的产业项目要进产业园区。具有一定规模的农产品加工要向城区或有条件的乡镇城镇开发边界内集聚。直接服务种植养殖业的农产品加工、电子商务、仓储保鲜冷链、产地低温直销配送等产业，原则上应集中在行政村村庄建设边界内。利用农村本地资源开展农产品初加工、发展休闲观光旅游而必须的配套设施建设，可在不占用永久基本农田和生态保护红线、不突破国土空间规划建设用地指标等约束条件、不破坏生态环境和乡村风貌的前提下，在村庄建设边界外安排少量建设用地，实行比例和面积控制。符合环保政策的其他产业类项目，在不新建、扩建的条件下，可暂予以保留。集体经营性建设用地可以用于工业、商业、仓储、保障性租赁住房等经营性项目，不得用于房（地）产类开发、别墅类、私人会所等项目建设。</w:t>
      </w:r>
    </w:p>
    <w:p>
      <w:pPr>
        <w:ind w:firstLine="640"/>
      </w:pPr>
      <w:r>
        <w:rPr>
          <w:rFonts w:hint="eastAsia"/>
        </w:rPr>
        <w:t>本着节约集约用地的原则，在乡村地区建设的商业服务业设施用地规划控制指标一般符合以下规定：</w:t>
      </w:r>
    </w:p>
    <w:tbl>
      <w:tblPr>
        <w:tblStyle w:val="30"/>
        <w:tblW w:w="5000" w:type="pct"/>
        <w:tblInd w:w="0" w:type="dxa"/>
        <w:tblLayout w:type="autofit"/>
        <w:tblCellMar>
          <w:top w:w="0" w:type="dxa"/>
          <w:left w:w="108" w:type="dxa"/>
          <w:bottom w:w="0" w:type="dxa"/>
          <w:right w:w="108" w:type="dxa"/>
        </w:tblCellMar>
      </w:tblPr>
      <w:tblGrid>
        <w:gridCol w:w="3053"/>
        <w:gridCol w:w="2184"/>
        <w:gridCol w:w="3286"/>
      </w:tblGrid>
      <w:tr>
        <w:tblPrEx>
          <w:tblCellMar>
            <w:top w:w="0" w:type="dxa"/>
            <w:left w:w="108" w:type="dxa"/>
            <w:bottom w:w="0" w:type="dxa"/>
            <w:right w:w="108" w:type="dxa"/>
          </w:tblCellMar>
        </w:tblPrEx>
        <w:trPr>
          <w:trHeight w:val="373" w:hRule="atLeast"/>
        </w:trPr>
        <w:tc>
          <w:tcPr>
            <w:tcW w:w="5000" w:type="pct"/>
            <w:gridSpan w:val="3"/>
            <w:tcBorders>
              <w:top w:val="single" w:color="auto" w:sz="4" w:space="0"/>
              <w:left w:val="single" w:color="auto" w:sz="4" w:space="0"/>
              <w:bottom w:val="single" w:color="auto" w:sz="4" w:space="0"/>
              <w:right w:val="single" w:color="auto" w:sz="4" w:space="0"/>
            </w:tcBorders>
            <w:shd w:val="clear" w:color="auto" w:fill="auto"/>
            <w:noWrap/>
            <w:vAlign w:val="center"/>
          </w:tcPr>
          <w:p>
            <w:pPr>
              <w:pStyle w:val="98"/>
            </w:pPr>
            <w:r>
              <w:rPr>
                <w:rFonts w:hint="eastAsia"/>
              </w:rPr>
              <w:t>专栏</w:t>
            </w:r>
            <w:r>
              <w:t xml:space="preserve">16-18 </w:t>
            </w:r>
            <w:r>
              <w:rPr>
                <w:rFonts w:hint="eastAsia"/>
              </w:rPr>
              <w:t>商业服务业设施建设用地规划控制指标表</w:t>
            </w:r>
          </w:p>
        </w:tc>
      </w:tr>
      <w:tr>
        <w:tblPrEx>
          <w:tblCellMar>
            <w:top w:w="0" w:type="dxa"/>
            <w:left w:w="108" w:type="dxa"/>
            <w:bottom w:w="0" w:type="dxa"/>
            <w:right w:w="108" w:type="dxa"/>
          </w:tblCellMar>
        </w:tblPrEx>
        <w:trPr>
          <w:trHeight w:val="706" w:hRule="atLeast"/>
        </w:trPr>
        <w:tc>
          <w:tcPr>
            <w:tcW w:w="179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96"/>
              <w:rPr>
                <w:szCs w:val="24"/>
              </w:rPr>
            </w:pPr>
            <w:r>
              <w:rPr>
                <w:rFonts w:hint="eastAsia"/>
                <w:szCs w:val="24"/>
              </w:rPr>
              <w:t>用地分类</w:t>
            </w:r>
          </w:p>
        </w:tc>
        <w:tc>
          <w:tcPr>
            <w:tcW w:w="1281" w:type="pct"/>
            <w:tcBorders>
              <w:top w:val="single" w:color="auto" w:sz="4" w:space="0"/>
              <w:left w:val="nil"/>
              <w:bottom w:val="single" w:color="auto" w:sz="4" w:space="0"/>
              <w:right w:val="single" w:color="auto" w:sz="4" w:space="0"/>
            </w:tcBorders>
            <w:shd w:val="clear" w:color="auto" w:fill="auto"/>
            <w:vAlign w:val="center"/>
          </w:tcPr>
          <w:p>
            <w:pPr>
              <w:pStyle w:val="96"/>
              <w:rPr>
                <w:szCs w:val="24"/>
              </w:rPr>
            </w:pPr>
            <w:r>
              <w:rPr>
                <w:rFonts w:hint="eastAsia"/>
                <w:szCs w:val="24"/>
              </w:rPr>
              <w:t>容积率</w:t>
            </w:r>
          </w:p>
        </w:tc>
        <w:tc>
          <w:tcPr>
            <w:tcW w:w="1928" w:type="pct"/>
            <w:tcBorders>
              <w:top w:val="single" w:color="auto" w:sz="4" w:space="0"/>
              <w:left w:val="nil"/>
              <w:bottom w:val="single" w:color="auto" w:sz="4" w:space="0"/>
              <w:right w:val="single" w:color="auto" w:sz="4" w:space="0"/>
            </w:tcBorders>
            <w:shd w:val="clear" w:color="auto" w:fill="auto"/>
            <w:vAlign w:val="center"/>
          </w:tcPr>
          <w:p>
            <w:pPr>
              <w:pStyle w:val="96"/>
              <w:rPr>
                <w:szCs w:val="24"/>
              </w:rPr>
            </w:pPr>
            <w:r>
              <w:rPr>
                <w:rFonts w:hint="eastAsia"/>
                <w:szCs w:val="24"/>
              </w:rPr>
              <w:t>建筑高度（米）</w:t>
            </w:r>
          </w:p>
        </w:tc>
      </w:tr>
      <w:tr>
        <w:tblPrEx>
          <w:tblCellMar>
            <w:top w:w="0" w:type="dxa"/>
            <w:left w:w="108" w:type="dxa"/>
            <w:bottom w:w="0" w:type="dxa"/>
            <w:right w:w="108" w:type="dxa"/>
          </w:tblCellMar>
        </w:tblPrEx>
        <w:trPr>
          <w:trHeight w:val="288" w:hRule="atLeast"/>
        </w:trPr>
        <w:tc>
          <w:tcPr>
            <w:tcW w:w="1791" w:type="pct"/>
            <w:tcBorders>
              <w:top w:val="nil"/>
              <w:left w:val="single" w:color="auto" w:sz="4" w:space="0"/>
              <w:bottom w:val="single" w:color="auto" w:sz="4" w:space="0"/>
              <w:right w:val="single" w:color="auto" w:sz="4" w:space="0"/>
            </w:tcBorders>
            <w:shd w:val="clear" w:color="auto" w:fill="auto"/>
            <w:noWrap/>
            <w:vAlign w:val="center"/>
          </w:tcPr>
          <w:p>
            <w:pPr>
              <w:pStyle w:val="96"/>
              <w:rPr>
                <w:szCs w:val="24"/>
              </w:rPr>
            </w:pPr>
            <w:r>
              <w:rPr>
                <w:rFonts w:hint="eastAsia"/>
                <w:szCs w:val="24"/>
              </w:rPr>
              <w:t>商业用地</w:t>
            </w:r>
          </w:p>
        </w:tc>
        <w:tc>
          <w:tcPr>
            <w:tcW w:w="1281" w:type="pct"/>
            <w:tcBorders>
              <w:top w:val="nil"/>
              <w:left w:val="nil"/>
              <w:bottom w:val="single" w:color="auto" w:sz="4" w:space="0"/>
              <w:right w:val="single" w:color="auto" w:sz="4" w:space="0"/>
            </w:tcBorders>
            <w:shd w:val="clear" w:color="auto" w:fill="auto"/>
            <w:vAlign w:val="center"/>
          </w:tcPr>
          <w:p>
            <w:pPr>
              <w:pStyle w:val="96"/>
              <w:rPr>
                <w:szCs w:val="24"/>
              </w:rPr>
            </w:pPr>
            <w:r>
              <w:rPr>
                <w:rFonts w:hint="eastAsia"/>
                <w:szCs w:val="24"/>
              </w:rPr>
              <w:t>≤1</w:t>
            </w:r>
            <w:r>
              <w:rPr>
                <w:szCs w:val="24"/>
              </w:rPr>
              <w:t>.5</w:t>
            </w:r>
          </w:p>
        </w:tc>
        <w:tc>
          <w:tcPr>
            <w:tcW w:w="1928" w:type="pct"/>
            <w:vMerge w:val="restart"/>
            <w:tcBorders>
              <w:top w:val="nil"/>
              <w:left w:val="nil"/>
              <w:right w:val="single" w:color="auto" w:sz="4" w:space="0"/>
            </w:tcBorders>
            <w:shd w:val="clear" w:color="auto" w:fill="auto"/>
            <w:vAlign w:val="center"/>
          </w:tcPr>
          <w:p>
            <w:pPr>
              <w:pStyle w:val="96"/>
              <w:rPr>
                <w:szCs w:val="24"/>
              </w:rPr>
            </w:pPr>
            <w:r>
              <w:rPr>
                <w:rFonts w:hint="eastAsia"/>
                <w:szCs w:val="24"/>
              </w:rPr>
              <w:t>≤1</w:t>
            </w:r>
            <w:r>
              <w:rPr>
                <w:szCs w:val="24"/>
              </w:rPr>
              <w:t>2</w:t>
            </w:r>
          </w:p>
        </w:tc>
      </w:tr>
      <w:tr>
        <w:tblPrEx>
          <w:tblCellMar>
            <w:top w:w="0" w:type="dxa"/>
            <w:left w:w="108" w:type="dxa"/>
            <w:bottom w:w="0" w:type="dxa"/>
            <w:right w:w="108" w:type="dxa"/>
          </w:tblCellMar>
        </w:tblPrEx>
        <w:trPr>
          <w:trHeight w:val="288" w:hRule="atLeast"/>
        </w:trPr>
        <w:tc>
          <w:tcPr>
            <w:tcW w:w="1791" w:type="pct"/>
            <w:tcBorders>
              <w:top w:val="nil"/>
              <w:left w:val="single" w:color="auto" w:sz="4" w:space="0"/>
              <w:bottom w:val="single" w:color="auto" w:sz="4" w:space="0"/>
              <w:right w:val="single" w:color="auto" w:sz="4" w:space="0"/>
            </w:tcBorders>
            <w:shd w:val="clear" w:color="auto" w:fill="auto"/>
            <w:noWrap/>
            <w:vAlign w:val="center"/>
          </w:tcPr>
          <w:p>
            <w:pPr>
              <w:pStyle w:val="96"/>
              <w:jc w:val="both"/>
              <w:rPr>
                <w:szCs w:val="24"/>
              </w:rPr>
            </w:pPr>
            <w:r>
              <w:rPr>
                <w:rFonts w:hint="eastAsia"/>
                <w:szCs w:val="24"/>
              </w:rPr>
              <w:t>商务金融用地</w:t>
            </w:r>
          </w:p>
        </w:tc>
        <w:tc>
          <w:tcPr>
            <w:tcW w:w="1281" w:type="pct"/>
            <w:tcBorders>
              <w:top w:val="nil"/>
              <w:left w:val="nil"/>
              <w:bottom w:val="single" w:color="auto" w:sz="4" w:space="0"/>
              <w:right w:val="single" w:color="auto" w:sz="4" w:space="0"/>
            </w:tcBorders>
            <w:shd w:val="clear" w:color="auto" w:fill="auto"/>
            <w:vAlign w:val="center"/>
          </w:tcPr>
          <w:p>
            <w:pPr>
              <w:pStyle w:val="96"/>
              <w:rPr>
                <w:szCs w:val="24"/>
              </w:rPr>
            </w:pPr>
            <w:r>
              <w:rPr>
                <w:rFonts w:hint="eastAsia"/>
                <w:szCs w:val="24"/>
              </w:rPr>
              <w:t>≤</w:t>
            </w:r>
            <w:r>
              <w:rPr>
                <w:szCs w:val="24"/>
              </w:rPr>
              <w:t>2.5</w:t>
            </w:r>
          </w:p>
        </w:tc>
        <w:tc>
          <w:tcPr>
            <w:tcW w:w="1928" w:type="pct"/>
            <w:vMerge w:val="continue"/>
            <w:tcBorders>
              <w:left w:val="nil"/>
              <w:right w:val="single" w:color="auto" w:sz="4" w:space="0"/>
            </w:tcBorders>
            <w:shd w:val="clear" w:color="auto" w:fill="auto"/>
            <w:vAlign w:val="center"/>
          </w:tcPr>
          <w:p>
            <w:pPr>
              <w:pStyle w:val="96"/>
              <w:rPr>
                <w:szCs w:val="24"/>
              </w:rPr>
            </w:pPr>
          </w:p>
        </w:tc>
      </w:tr>
      <w:tr>
        <w:tblPrEx>
          <w:tblCellMar>
            <w:top w:w="0" w:type="dxa"/>
            <w:left w:w="108" w:type="dxa"/>
            <w:bottom w:w="0" w:type="dxa"/>
            <w:right w:w="108" w:type="dxa"/>
          </w:tblCellMar>
        </w:tblPrEx>
        <w:trPr>
          <w:trHeight w:val="288" w:hRule="atLeast"/>
        </w:trPr>
        <w:tc>
          <w:tcPr>
            <w:tcW w:w="1791" w:type="pct"/>
            <w:tcBorders>
              <w:top w:val="nil"/>
              <w:left w:val="single" w:color="auto" w:sz="4" w:space="0"/>
              <w:bottom w:val="single" w:color="auto" w:sz="4" w:space="0"/>
              <w:right w:val="single" w:color="auto" w:sz="4" w:space="0"/>
            </w:tcBorders>
            <w:shd w:val="clear" w:color="auto" w:fill="auto"/>
            <w:noWrap/>
            <w:vAlign w:val="center"/>
          </w:tcPr>
          <w:p>
            <w:pPr>
              <w:pStyle w:val="96"/>
              <w:rPr>
                <w:szCs w:val="24"/>
              </w:rPr>
            </w:pPr>
            <w:r>
              <w:rPr>
                <w:rFonts w:hint="eastAsia"/>
                <w:szCs w:val="24"/>
              </w:rPr>
              <w:t>娱乐用地</w:t>
            </w:r>
          </w:p>
        </w:tc>
        <w:tc>
          <w:tcPr>
            <w:tcW w:w="1281" w:type="pct"/>
            <w:tcBorders>
              <w:top w:val="nil"/>
              <w:left w:val="nil"/>
              <w:bottom w:val="single" w:color="auto" w:sz="4" w:space="0"/>
              <w:right w:val="single" w:color="auto" w:sz="4" w:space="0"/>
            </w:tcBorders>
            <w:shd w:val="clear" w:color="auto" w:fill="auto"/>
          </w:tcPr>
          <w:p>
            <w:pPr>
              <w:pStyle w:val="96"/>
              <w:rPr>
                <w:szCs w:val="24"/>
              </w:rPr>
            </w:pPr>
            <w:r>
              <w:rPr>
                <w:rFonts w:hint="eastAsia"/>
                <w:szCs w:val="24"/>
              </w:rPr>
              <w:t>≤</w:t>
            </w:r>
            <w:r>
              <w:rPr>
                <w:szCs w:val="24"/>
              </w:rPr>
              <w:t>2.5</w:t>
            </w:r>
          </w:p>
        </w:tc>
        <w:tc>
          <w:tcPr>
            <w:tcW w:w="1928" w:type="pct"/>
            <w:vMerge w:val="continue"/>
            <w:tcBorders>
              <w:left w:val="nil"/>
              <w:right w:val="single" w:color="auto" w:sz="4" w:space="0"/>
            </w:tcBorders>
            <w:shd w:val="clear" w:color="auto" w:fill="auto"/>
            <w:vAlign w:val="center"/>
          </w:tcPr>
          <w:p>
            <w:pPr>
              <w:pStyle w:val="96"/>
              <w:rPr>
                <w:szCs w:val="24"/>
              </w:rPr>
            </w:pPr>
          </w:p>
        </w:tc>
      </w:tr>
      <w:tr>
        <w:tblPrEx>
          <w:tblCellMar>
            <w:top w:w="0" w:type="dxa"/>
            <w:left w:w="108" w:type="dxa"/>
            <w:bottom w:w="0" w:type="dxa"/>
            <w:right w:w="108" w:type="dxa"/>
          </w:tblCellMar>
        </w:tblPrEx>
        <w:trPr>
          <w:trHeight w:val="288" w:hRule="atLeast"/>
        </w:trPr>
        <w:tc>
          <w:tcPr>
            <w:tcW w:w="1791" w:type="pct"/>
            <w:tcBorders>
              <w:top w:val="nil"/>
              <w:left w:val="single" w:color="auto" w:sz="4" w:space="0"/>
              <w:bottom w:val="single" w:color="auto" w:sz="4" w:space="0"/>
              <w:right w:val="single" w:color="auto" w:sz="4" w:space="0"/>
            </w:tcBorders>
            <w:shd w:val="clear" w:color="auto" w:fill="auto"/>
            <w:noWrap/>
            <w:vAlign w:val="center"/>
          </w:tcPr>
          <w:p>
            <w:pPr>
              <w:pStyle w:val="96"/>
              <w:rPr>
                <w:szCs w:val="24"/>
              </w:rPr>
            </w:pPr>
            <w:r>
              <w:rPr>
                <w:rFonts w:hint="eastAsia"/>
                <w:szCs w:val="24"/>
              </w:rPr>
              <w:t>其他商业服务业用地</w:t>
            </w:r>
          </w:p>
        </w:tc>
        <w:tc>
          <w:tcPr>
            <w:tcW w:w="1281" w:type="pct"/>
            <w:tcBorders>
              <w:top w:val="nil"/>
              <w:left w:val="nil"/>
              <w:bottom w:val="single" w:color="auto" w:sz="4" w:space="0"/>
              <w:right w:val="single" w:color="auto" w:sz="4" w:space="0"/>
            </w:tcBorders>
            <w:shd w:val="clear" w:color="auto" w:fill="auto"/>
          </w:tcPr>
          <w:p>
            <w:pPr>
              <w:pStyle w:val="96"/>
              <w:rPr>
                <w:szCs w:val="24"/>
              </w:rPr>
            </w:pPr>
            <w:r>
              <w:rPr>
                <w:rFonts w:hint="eastAsia"/>
                <w:szCs w:val="24"/>
              </w:rPr>
              <w:t>≤1</w:t>
            </w:r>
            <w:r>
              <w:rPr>
                <w:szCs w:val="24"/>
              </w:rPr>
              <w:t>.2</w:t>
            </w:r>
          </w:p>
        </w:tc>
        <w:tc>
          <w:tcPr>
            <w:tcW w:w="1928" w:type="pct"/>
            <w:vMerge w:val="continue"/>
            <w:tcBorders>
              <w:left w:val="nil"/>
              <w:bottom w:val="single" w:color="auto" w:sz="4" w:space="0"/>
              <w:right w:val="single" w:color="auto" w:sz="4" w:space="0"/>
            </w:tcBorders>
            <w:shd w:val="clear" w:color="auto" w:fill="auto"/>
            <w:vAlign w:val="center"/>
          </w:tcPr>
          <w:p>
            <w:pPr>
              <w:pStyle w:val="96"/>
              <w:rPr>
                <w:szCs w:val="24"/>
              </w:rPr>
            </w:pPr>
          </w:p>
        </w:tc>
      </w:tr>
    </w:tbl>
    <w:p>
      <w:pPr>
        <w:ind w:firstLine="640"/>
      </w:pPr>
      <w:r>
        <w:rPr>
          <w:rFonts w:hint="eastAsia"/>
        </w:rPr>
        <w:t>在乡村地区建设的物流仓储设施，其用地规划控制指标宜符合以下规定：</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0"/>
        <w:gridCol w:w="1096"/>
        <w:gridCol w:w="1296"/>
        <w:gridCol w:w="1287"/>
        <w:gridCol w:w="1453"/>
        <w:gridCol w:w="1332"/>
        <w:gridCol w:w="11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7"/>
            <w:vAlign w:val="center"/>
          </w:tcPr>
          <w:p>
            <w:pPr>
              <w:pStyle w:val="98"/>
              <w:rPr>
                <w:lang w:bidi="ar"/>
              </w:rPr>
            </w:pPr>
            <w:r>
              <w:rPr>
                <w:rFonts w:hint="eastAsia"/>
                <w:lang w:bidi="ar"/>
              </w:rPr>
              <w:t>专栏</w:t>
            </w:r>
            <w:r>
              <w:rPr>
                <w:lang w:bidi="ar"/>
              </w:rPr>
              <w:t xml:space="preserve">16-19 </w:t>
            </w:r>
            <w:r>
              <w:rPr>
                <w:rFonts w:hint="eastAsia"/>
                <w:lang w:bidi="ar"/>
              </w:rPr>
              <w:t>物流仓储设施建设用地规划控制指标表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91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分级</w:t>
            </w:r>
          </w:p>
        </w:tc>
        <w:tc>
          <w:tcPr>
            <w:tcW w:w="110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用地规模（公顷）</w:t>
            </w:r>
          </w:p>
        </w:tc>
        <w:tc>
          <w:tcPr>
            <w:tcW w:w="97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日流通量（吨</w:t>
            </w:r>
            <w:r>
              <w:rPr>
                <w:rFonts w:ascii="仿宋_GB2312" w:hAnsi="仿宋" w:cs="仿宋"/>
                <w:sz w:val="24"/>
                <w:szCs w:val="24"/>
              </w:rPr>
              <w:t>/</w:t>
            </w:r>
            <w:r>
              <w:rPr>
                <w:rFonts w:hint="eastAsia" w:ascii="仿宋_GB2312" w:hAnsi="仿宋" w:cs="仿宋"/>
                <w:sz w:val="24"/>
                <w:szCs w:val="24"/>
              </w:rPr>
              <w:t>天）</w:t>
            </w:r>
          </w:p>
        </w:tc>
        <w:tc>
          <w:tcPr>
            <w:tcW w:w="130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单位用地指标（平方米</w:t>
            </w:r>
            <w:r>
              <w:rPr>
                <w:rFonts w:ascii="仿宋_GB2312" w:hAnsi="仿宋" w:cs="仿宋"/>
                <w:sz w:val="24"/>
                <w:szCs w:val="24"/>
              </w:rPr>
              <w:t>/</w:t>
            </w:r>
            <w:r>
              <w:rPr>
                <w:rFonts w:hint="eastAsia" w:ascii="仿宋_GB2312" w:hAnsi="仿宋" w:cs="仿宋"/>
                <w:sz w:val="24"/>
                <w:szCs w:val="24"/>
              </w:rPr>
              <w:t>吨）</w:t>
            </w:r>
          </w:p>
        </w:tc>
        <w:tc>
          <w:tcPr>
            <w:tcW w:w="1480"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134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建筑高度（米）</w:t>
            </w:r>
          </w:p>
        </w:tc>
        <w:tc>
          <w:tcPr>
            <w:tcW w:w="1170"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绿地率（%）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91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中型</w:t>
            </w:r>
          </w:p>
        </w:tc>
        <w:tc>
          <w:tcPr>
            <w:tcW w:w="1108" w:type="dxa"/>
            <w:vAlign w:val="center"/>
          </w:tcPr>
          <w:p>
            <w:pPr>
              <w:spacing w:line="500" w:lineRule="exact"/>
              <w:ind w:firstLine="0" w:firstLineChars="0"/>
              <w:jc w:val="center"/>
              <w:rPr>
                <w:rFonts w:ascii="仿宋_GB2312" w:hAnsi="仿宋" w:cs="仿宋"/>
                <w:sz w:val="24"/>
                <w:szCs w:val="24"/>
              </w:rPr>
            </w:pPr>
            <w:r>
              <w:rPr>
                <w:rFonts w:ascii="仿宋_GB2312" w:hAnsi="仿宋" w:cs="仿宋"/>
                <w:sz w:val="24"/>
                <w:szCs w:val="24"/>
              </w:rPr>
              <w:t>4-6</w:t>
            </w:r>
          </w:p>
        </w:tc>
        <w:tc>
          <w:tcPr>
            <w:tcW w:w="97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000-3000</w:t>
            </w:r>
          </w:p>
        </w:tc>
        <w:tc>
          <w:tcPr>
            <w:tcW w:w="1302" w:type="dxa"/>
            <w:vAlign w:val="center"/>
          </w:tcPr>
          <w:p>
            <w:pPr>
              <w:spacing w:line="500" w:lineRule="exact"/>
              <w:ind w:firstLine="0" w:firstLineChars="0"/>
              <w:jc w:val="center"/>
              <w:rPr>
                <w:rFonts w:ascii="仿宋_GB2312" w:hAnsi="仿宋" w:cs="仿宋"/>
                <w:sz w:val="24"/>
                <w:szCs w:val="24"/>
              </w:rPr>
            </w:pPr>
            <w:r>
              <w:rPr>
                <w:rFonts w:ascii="仿宋_GB2312" w:hAnsi="仿宋" w:cs="仿宋"/>
                <w:sz w:val="24"/>
                <w:szCs w:val="24"/>
              </w:rPr>
              <w:t>28-35</w:t>
            </w:r>
          </w:p>
        </w:tc>
        <w:tc>
          <w:tcPr>
            <w:tcW w:w="1480"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.0</w:t>
            </w:r>
          </w:p>
        </w:tc>
        <w:tc>
          <w:tcPr>
            <w:tcW w:w="134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12</w:t>
            </w:r>
          </w:p>
        </w:tc>
        <w:tc>
          <w:tcPr>
            <w:tcW w:w="1170"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23" w:hRule="atLeast"/>
        </w:trPr>
        <w:tc>
          <w:tcPr>
            <w:tcW w:w="91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中型</w:t>
            </w:r>
          </w:p>
        </w:tc>
        <w:tc>
          <w:tcPr>
            <w:tcW w:w="110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4</w:t>
            </w:r>
          </w:p>
        </w:tc>
        <w:tc>
          <w:tcPr>
            <w:tcW w:w="97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000</w:t>
            </w:r>
          </w:p>
        </w:tc>
        <w:tc>
          <w:tcPr>
            <w:tcW w:w="1302" w:type="dxa"/>
            <w:vAlign w:val="center"/>
          </w:tcPr>
          <w:p>
            <w:pPr>
              <w:spacing w:line="500" w:lineRule="exact"/>
              <w:ind w:firstLine="0" w:firstLineChars="0"/>
              <w:jc w:val="center"/>
              <w:rPr>
                <w:rFonts w:ascii="仿宋_GB2312" w:hAnsi="仿宋" w:cs="仿宋"/>
                <w:sz w:val="24"/>
                <w:szCs w:val="24"/>
              </w:rPr>
            </w:pPr>
            <w:r>
              <w:rPr>
                <w:rFonts w:ascii="仿宋_GB2312" w:hAnsi="仿宋" w:cs="仿宋"/>
                <w:sz w:val="24"/>
                <w:szCs w:val="24"/>
              </w:rPr>
              <w:t>41-50</w:t>
            </w:r>
          </w:p>
        </w:tc>
        <w:tc>
          <w:tcPr>
            <w:tcW w:w="1480"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0.8</w:t>
            </w:r>
          </w:p>
        </w:tc>
        <w:tc>
          <w:tcPr>
            <w:tcW w:w="134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12</w:t>
            </w:r>
          </w:p>
        </w:tc>
        <w:tc>
          <w:tcPr>
            <w:tcW w:w="1170"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20</w:t>
            </w:r>
          </w:p>
        </w:tc>
      </w:tr>
    </w:tbl>
    <w:p>
      <w:pPr>
        <w:pStyle w:val="105"/>
      </w:pPr>
      <w:r>
        <w:rPr>
          <w:rFonts w:hint="eastAsia"/>
        </w:rPr>
        <w:t>注：</w:t>
      </w:r>
      <w:r>
        <w:t>1.如有特殊建筑要求的物流仓储设施可结合实际需求适当提高建筑高度，但建筑层数不宜超过6层、建筑高度不宜超过24米。</w:t>
      </w:r>
    </w:p>
    <w:p>
      <w:pPr>
        <w:pStyle w:val="105"/>
      </w:pPr>
      <w:r>
        <w:t>2.需要单独选址的易燃易爆类危险品仓储用地，建设用地规模参考相关行业标准，容积率不应</w:t>
      </w:r>
      <w:r>
        <w:rPr>
          <w:rFonts w:hint="eastAsia"/>
        </w:rPr>
        <w:t>小于</w:t>
      </w:r>
      <w:r>
        <w:t>0.5。</w:t>
      </w:r>
    </w:p>
    <w:p>
      <w:pPr>
        <w:pStyle w:val="105"/>
      </w:pPr>
      <w:r>
        <w:t>3.物流仓储建筑层高超过8米时，该层建筑面积加倍计算。</w:t>
      </w:r>
    </w:p>
    <w:p>
      <w:pPr>
        <w:ind w:firstLine="640"/>
      </w:pPr>
      <w:r>
        <w:rPr>
          <w:rFonts w:hint="eastAsia"/>
        </w:rPr>
        <w:t>在乡村地区建设的工业项目，其用地规划控制指标宜符合以下规定：</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1134"/>
        <w:gridCol w:w="2551"/>
        <w:gridCol w:w="31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4"/>
            <w:vAlign w:val="center"/>
          </w:tcPr>
          <w:p>
            <w:pPr>
              <w:pStyle w:val="98"/>
              <w:rPr>
                <w:lang w:bidi="ar"/>
              </w:rPr>
            </w:pPr>
            <w:r>
              <w:rPr>
                <w:rFonts w:hint="eastAsia"/>
                <w:lang w:bidi="ar"/>
              </w:rPr>
              <w:t>专栏</w:t>
            </w:r>
            <w:r>
              <w:rPr>
                <w:lang w:bidi="ar"/>
              </w:rPr>
              <w:t xml:space="preserve">16-20 </w:t>
            </w:r>
            <w:r>
              <w:rPr>
                <w:rFonts w:hint="eastAsia"/>
                <w:lang w:bidi="ar"/>
              </w:rPr>
              <w:t>工业设施建设用地规划控制指标表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141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类型</w:t>
            </w:r>
          </w:p>
        </w:tc>
        <w:tc>
          <w:tcPr>
            <w:tcW w:w="113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255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建筑系数（%）</w:t>
            </w:r>
          </w:p>
        </w:tc>
        <w:tc>
          <w:tcPr>
            <w:tcW w:w="319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建筑高度（米）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41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工业用地</w:t>
            </w:r>
          </w:p>
        </w:tc>
        <w:tc>
          <w:tcPr>
            <w:tcW w:w="113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0.8</w:t>
            </w:r>
          </w:p>
        </w:tc>
        <w:tc>
          <w:tcPr>
            <w:tcW w:w="255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40</w:t>
            </w:r>
          </w:p>
        </w:tc>
        <w:tc>
          <w:tcPr>
            <w:tcW w:w="319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12</w:t>
            </w:r>
          </w:p>
        </w:tc>
      </w:tr>
    </w:tbl>
    <w:p>
      <w:pPr>
        <w:pStyle w:val="105"/>
      </w:pPr>
      <w:r>
        <w:rPr>
          <w:rFonts w:hint="eastAsia"/>
        </w:rPr>
        <w:t>注：如有特殊建设要求的工业项目可结合实际需求适当提高建筑高度，但建筑层数不宜超过</w:t>
      </w:r>
      <w:r>
        <w:t>6层、</w:t>
      </w:r>
      <w:r>
        <w:rPr>
          <w:rFonts w:hint="eastAsia"/>
        </w:rPr>
        <w:t>建筑高度不宜超过</w:t>
      </w:r>
      <w:r>
        <w:t>24米。</w:t>
      </w:r>
    </w:p>
    <w:p>
      <w:pPr>
        <w:ind w:firstLine="640"/>
      </w:pPr>
      <w:r>
        <w:rPr>
          <w:rFonts w:hint="eastAsia"/>
        </w:rPr>
        <w:t>对于远离村庄居民点的产业类项目，在符合国家相关规定且不影响周边相邻方相关权益的情况下，建筑限高可适当提高，最高不超过24（不包括）米。畜牧养殖类产业须符合环保有关政策规定。</w:t>
      </w:r>
    </w:p>
    <w:p>
      <w:pPr>
        <w:ind w:firstLine="640"/>
      </w:pPr>
      <w:r>
        <w:rPr>
          <w:rFonts w:hint="eastAsia"/>
        </w:rPr>
        <w:t>产业类项目建筑间距、建筑退界须满消防规范规定，不影响周边相邻权益的日照采光要求。</w:t>
      </w:r>
    </w:p>
    <w:p>
      <w:pPr>
        <w:ind w:firstLine="640"/>
      </w:pPr>
      <w:r>
        <w:rPr>
          <w:rFonts w:hint="eastAsia"/>
        </w:rPr>
        <w:t>鼓励产业空间用地实行复合利用。他产业用地在符合环保、安全条件下，用地性质可兼容。</w:t>
      </w:r>
    </w:p>
    <w:p>
      <w:pPr>
        <w:ind w:firstLine="640"/>
      </w:pPr>
      <w:r>
        <w:rPr>
          <w:rFonts w:hint="eastAsia"/>
        </w:rPr>
        <w:t>镇国土空间规划或村庄规划中的“预留机动指标”，可用于保障暂时无法确定位置的村民居住、农村公共公益设施以及零星公散的农（矿）产品初加工、乡村文旅设施、农村新产业新业态等一二三产业融合发展用地需求。机动指标不得超过本镇预留机动指标。</w:t>
      </w:r>
    </w:p>
    <w:p>
      <w:pPr>
        <w:ind w:firstLine="640"/>
      </w:pPr>
      <w:r>
        <w:rPr>
          <w:rFonts w:hint="eastAsia"/>
        </w:rPr>
        <w:t>村庄规划确定的“留白”用地，经村民委会员讨论、镇乡村规划委员会审议通过，报规划主管部门同意后，可按程序报建相应项目。</w:t>
      </w:r>
    </w:p>
    <w:p>
      <w:pPr>
        <w:ind w:firstLine="640"/>
      </w:pPr>
      <w:r>
        <w:rPr>
          <w:rFonts w:hint="eastAsia"/>
        </w:rPr>
        <w:t>使用预留机动指标或留白用地的，除符合国土产业相关政策外，经县规划委员会审议。</w:t>
      </w:r>
    </w:p>
    <w:p>
      <w:pPr>
        <w:ind w:firstLine="640"/>
      </w:pPr>
      <w:r>
        <w:rPr>
          <w:rFonts w:hint="eastAsia"/>
        </w:rPr>
        <w:t>在产业类项目实施过程中，在不突破镇国土空间规划或村庄规划强制性指标情况下，为实现更好管控，可独立编制地块管控图则，报县规划委员会审议同意后实施。</w:t>
      </w:r>
    </w:p>
    <w:p>
      <w:pPr>
        <w:ind w:firstLine="640"/>
      </w:pPr>
      <w:r>
        <w:rPr>
          <w:rFonts w:hint="eastAsia"/>
        </w:rPr>
        <w:t>使用按程序使用“留白”或“预留机动指标”的，待用地手续批准后，更新国土空间“一张图”。</w:t>
      </w:r>
    </w:p>
    <w:p>
      <w:pPr>
        <w:pStyle w:val="4"/>
        <w:numPr>
          <w:ilvl w:val="2"/>
          <w:numId w:val="1"/>
        </w:numPr>
        <w:spacing w:beforeLines="0" w:afterLines="0" w:line="588" w:lineRule="exact"/>
      </w:pPr>
      <w:r>
        <w:t>防灾减灾管控</w:t>
      </w:r>
    </w:p>
    <w:p>
      <w:pPr>
        <w:ind w:firstLine="640"/>
      </w:pPr>
      <w:r>
        <w:t>加强村庄消防设施建设。根据村庄规模、区域条件、经济发展状况等因素设置消防点。消防点应满足如下要求：</w:t>
      </w:r>
      <w:r>
        <w:rPr>
          <w:rFonts w:hint="eastAsia"/>
        </w:rPr>
        <w:t>有固定的地点和房屋建筑，并有明显标识。配备消防车、手抬机动泵、水枪、水带、灭火器、破拆工具等全部或部分消防设备。设置火警电话和消防值班人员。有专职、义务或志愿消防队员。</w:t>
      </w:r>
    </w:p>
    <w:p>
      <w:pPr>
        <w:ind w:firstLine="640"/>
      </w:pPr>
      <w:r>
        <w:t>村庄应配备消防水源、消防设备。消防水源可结合村庄实际环境条件，充分利用给水管网、水池、坑塘天然水源和消防水池等作为消防水源。充分利用满足一定灭火要求的农用车、洒水车、灌溉机动泵等农用设施作为消防装备的补充。</w:t>
      </w:r>
    </w:p>
    <w:p>
      <w:pPr>
        <w:ind w:firstLine="640"/>
      </w:pPr>
      <w:r>
        <w:t>各行政村应建立相应的消防安全组织，确定消防安全人员，制定防火安全制度，进行消防安全检查，开展消防安全教育，落实消防安全责任，配备必要的消防力量和消防器材装备。</w:t>
      </w:r>
    </w:p>
    <w:p>
      <w:pPr>
        <w:ind w:firstLine="640"/>
      </w:pPr>
      <w:r>
        <w:t>村庄范围内的建筑一般按照7度抗震烈度设防；供水供电等生命线工程按照8度抗震烈度设防，确保震时供水、供电、通讯、医务室等生命线工程设施的有效供给。</w:t>
      </w:r>
    </w:p>
    <w:p>
      <w:pPr>
        <w:ind w:firstLine="640"/>
      </w:pPr>
      <w:r>
        <w:t>村庄防洪及排涝标准按10年一遇设防。</w:t>
      </w:r>
    </w:p>
    <w:p>
      <w:pPr>
        <w:ind w:firstLine="640"/>
      </w:pPr>
      <w:r>
        <w:t>农村建设项目不得在地质灾害危险区、洪涝灾害频发区、河道管理范围内、地下采空区和地展断裂带等危险区域建设，应当避让蓄滞洪区等低洼地区。</w:t>
      </w:r>
    </w:p>
    <w:p>
      <w:pPr>
        <w:pStyle w:val="4"/>
        <w:numPr>
          <w:ilvl w:val="2"/>
          <w:numId w:val="1"/>
        </w:numPr>
        <w:spacing w:beforeLines="0" w:afterLines="0" w:line="588" w:lineRule="exact"/>
      </w:pPr>
      <w:r>
        <w:t>环境综合整治管控</w:t>
      </w:r>
    </w:p>
    <w:p>
      <w:pPr>
        <w:ind w:firstLine="640"/>
      </w:pPr>
      <w:r>
        <w:t>加大村庄交通、供水、绿化、公共照明、医疗、垃圾处理、厕所、污水处理等基础设施和公共服务设施建设与整治，持续改善农村人居环境。</w:t>
      </w:r>
    </w:p>
    <w:p>
      <w:pPr>
        <w:ind w:firstLine="640"/>
      </w:pPr>
      <w:r>
        <w:t>围绕村庄道路、建筑风貌、村庄院落、坑塘水面、残垣断壁、环境卫生等重点，开展村庄环境综合整治，构建干净、整洁、有序的乡村空间，提升村庄整体品位。</w:t>
      </w:r>
    </w:p>
    <w:p>
      <w:pPr>
        <w:ind w:firstLine="640"/>
      </w:pPr>
      <w:r>
        <w:t>遵循村庄现有道路网格局，尊重原有道路肌理，避免大拆大建，对村庄道路进行改造、整治和提升。对破损的路面进行修整，对未硬化道路进行硬化，对未亮化的道路进行亮化，对空中凌乱线路进行整治整合提升，敷设各类管线，同步建设燃气、给、排水设施，营造良好的村庄交通环境，方便村民生活与出行。</w:t>
      </w:r>
    </w:p>
    <w:p>
      <w:pPr>
        <w:ind w:firstLine="640"/>
      </w:pPr>
      <w:r>
        <w:t>持续开展农村4G网络优化，加快推进农村5G网络建设，加强农村广电和移动基站建设与维护，提升农村网络覆盖质量，打造数字乡村、智慧乡村。</w:t>
      </w:r>
    </w:p>
    <w:p>
      <w:pPr>
        <w:ind w:firstLine="640"/>
      </w:pPr>
      <w:r>
        <w:t>重点清理侵街占道、私搭乱建等违章建筑和残垣断壁，街巷两侧禁止随意堆放物品，柴草、杂物、建筑材料等。有效利用村内空闲地、边角地等闲置建设用地，开展水旁、路旁、宅旁、村旁绿化，沿村庄主要道路种植乔木、灌木、地被等乡土植物，对重要节点进行整治绿化，建设小微游园、小微广场，提升村庄“颜值”。</w:t>
      </w:r>
    </w:p>
    <w:p>
      <w:pPr>
        <w:ind w:firstLine="640"/>
      </w:pPr>
      <w:r>
        <w:t>加大农村环卫设施建设，每村70-100米规划设置一个垃圾筒，集中设置一个垃圾收集点，建立一支专业环卫保洁队全，实现农村垃圾“村收、镇运、</w:t>
      </w:r>
      <w:r>
        <w:rPr>
          <w:rFonts w:hint="eastAsia"/>
        </w:rPr>
        <w:t>县处理</w:t>
      </w:r>
      <w:r>
        <w:t>”。</w:t>
      </w:r>
    </w:p>
    <w:p>
      <w:pPr>
        <w:ind w:firstLine="640"/>
      </w:pPr>
      <w:r>
        <w:t>加快农村污水管网建设，因村制宜，整治废旧坑塘、河道、黑臭水体。推动生活污水治理、厕所粪污与绿色农业发展有机结合，提升农村治污水平。</w:t>
      </w:r>
    </w:p>
    <w:p>
      <w:pPr>
        <w:ind w:firstLine="640"/>
      </w:pPr>
      <w:r>
        <w:t>农村生活污水不得直接外排，宜经过化粪池或沼气池等污水处理设施处理达标后排放。</w:t>
      </w:r>
    </w:p>
    <w:p>
      <w:pPr>
        <w:ind w:firstLine="640"/>
      </w:pPr>
      <w:r>
        <w:t>围绕“去危房、整旧房、治违房、提风貌”的目的，重点开展房前屋后整治提升。对与村庄整体风貌不完全一致的建筑外观加以整修；对影响环境的危旧房和乱搭乱建的附房进行整治和拆除，消除安全隐患，提升村容村貌。</w:t>
      </w:r>
    </w:p>
    <w:bookmarkEnd w:id="202"/>
    <w:p>
      <w:pPr>
        <w:spacing w:line="240" w:lineRule="auto"/>
        <w:ind w:firstLine="640"/>
        <w:rPr>
          <w:rFonts w:hint="default"/>
          <w:lang w:val="en"/>
        </w:rPr>
      </w:pPr>
      <w:r>
        <w:rPr>
          <w:rFonts w:hint="default"/>
          <w:lang w:val="en"/>
        </w:rPr>
        <w:drawing>
          <wp:inline distT="0" distB="0" distL="114300" distR="114300">
            <wp:extent cx="5273040" cy="7451725"/>
            <wp:effectExtent l="0" t="0" r="3810" b="15875"/>
            <wp:docPr id="6" name="图片 6" descr="03-马山口镇-01-镇域国土空间用地现状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6" descr="03-马山口镇-01-镇域国土空间用地现状图"/>
                    <pic:cNvPicPr>
                      <a:picLocks noChangeAspect="true"/>
                    </pic:cNvPicPr>
                  </pic:nvPicPr>
                  <pic:blipFill>
                    <a:blip r:embed="rId14"/>
                    <a:stretch>
                      <a:fillRect/>
                    </a:stretch>
                  </pic:blipFill>
                  <pic:spPr>
                    <a:xfrm>
                      <a:off x="0" y="0"/>
                      <a:ext cx="5273040" cy="7451725"/>
                    </a:xfrm>
                    <a:prstGeom prst="rect">
                      <a:avLst/>
                    </a:prstGeom>
                  </pic:spPr>
                </pic:pic>
              </a:graphicData>
            </a:graphic>
          </wp:inline>
        </w:drawing>
      </w:r>
      <w:r>
        <w:rPr>
          <w:rFonts w:hint="default"/>
          <w:lang w:val="en"/>
        </w:rPr>
        <w:drawing>
          <wp:inline distT="0" distB="0" distL="114300" distR="114300">
            <wp:extent cx="5258435" cy="7431405"/>
            <wp:effectExtent l="0" t="0" r="18415" b="17145"/>
            <wp:docPr id="5" name="图片 5" descr="03-马山口镇-02-镇域国土空间总体格局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5" descr="03-马山口镇-02-镇域国土空间总体格局规划图"/>
                    <pic:cNvPicPr>
                      <a:picLocks noChangeAspect="true"/>
                    </pic:cNvPicPr>
                  </pic:nvPicPr>
                  <pic:blipFill>
                    <a:blip r:embed="rId15"/>
                    <a:stretch>
                      <a:fillRect/>
                    </a:stretch>
                  </pic:blipFill>
                  <pic:spPr>
                    <a:xfrm>
                      <a:off x="0" y="0"/>
                      <a:ext cx="5258435" cy="7431405"/>
                    </a:xfrm>
                    <a:prstGeom prst="rect">
                      <a:avLst/>
                    </a:prstGeom>
                  </pic:spPr>
                </pic:pic>
              </a:graphicData>
            </a:graphic>
          </wp:inline>
        </w:drawing>
      </w:r>
      <w:r>
        <w:rPr>
          <w:rFonts w:hint="default"/>
          <w:lang w:val="en"/>
        </w:rPr>
        <w:drawing>
          <wp:inline distT="0" distB="0" distL="114300" distR="114300">
            <wp:extent cx="5273040" cy="7451725"/>
            <wp:effectExtent l="0" t="0" r="3810" b="15875"/>
            <wp:docPr id="4" name="图片 4" descr="03-马山口镇-03-镇域国土空间控制线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4" descr="03-马山口镇-03-镇域国土空间控制线规划图"/>
                    <pic:cNvPicPr>
                      <a:picLocks noChangeAspect="true"/>
                    </pic:cNvPicPr>
                  </pic:nvPicPr>
                  <pic:blipFill>
                    <a:blip r:embed="rId16"/>
                    <a:stretch>
                      <a:fillRect/>
                    </a:stretch>
                  </pic:blipFill>
                  <pic:spPr>
                    <a:xfrm>
                      <a:off x="0" y="0"/>
                      <a:ext cx="5273040" cy="7451725"/>
                    </a:xfrm>
                    <a:prstGeom prst="rect">
                      <a:avLst/>
                    </a:prstGeom>
                  </pic:spPr>
                </pic:pic>
              </a:graphicData>
            </a:graphic>
          </wp:inline>
        </w:drawing>
      </w:r>
      <w:r>
        <w:rPr>
          <w:rFonts w:hint="default"/>
          <w:lang w:val="en"/>
        </w:rPr>
        <w:drawing>
          <wp:inline distT="0" distB="0" distL="114300" distR="114300">
            <wp:extent cx="5273040" cy="7451725"/>
            <wp:effectExtent l="0" t="0" r="3810" b="15875"/>
            <wp:docPr id="3" name="图片 3" descr="03-马山口镇-04-镇域村庄布点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3" descr="03-马山口镇-04-镇域村庄布点规划图"/>
                    <pic:cNvPicPr>
                      <a:picLocks noChangeAspect="true"/>
                    </pic:cNvPicPr>
                  </pic:nvPicPr>
                  <pic:blipFill>
                    <a:blip r:embed="rId17"/>
                    <a:stretch>
                      <a:fillRect/>
                    </a:stretch>
                  </pic:blipFill>
                  <pic:spPr>
                    <a:xfrm>
                      <a:off x="0" y="0"/>
                      <a:ext cx="5273040" cy="7451725"/>
                    </a:xfrm>
                    <a:prstGeom prst="rect">
                      <a:avLst/>
                    </a:prstGeom>
                  </pic:spPr>
                </pic:pic>
              </a:graphicData>
            </a:graphic>
          </wp:inline>
        </w:drawing>
      </w:r>
      <w:r>
        <w:rPr>
          <w:rFonts w:hint="default"/>
          <w:lang w:val="en"/>
        </w:rPr>
        <w:drawing>
          <wp:inline distT="0" distB="0" distL="114300" distR="114300">
            <wp:extent cx="5273040" cy="7451725"/>
            <wp:effectExtent l="0" t="0" r="3810" b="15875"/>
            <wp:docPr id="2" name="图片 2" descr="03-马山口镇-05-镇域综合交通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2" descr="03-马山口镇-05-镇域综合交通规划图"/>
                    <pic:cNvPicPr>
                      <a:picLocks noChangeAspect="true"/>
                    </pic:cNvPicPr>
                  </pic:nvPicPr>
                  <pic:blipFill>
                    <a:blip r:embed="rId18"/>
                    <a:stretch>
                      <a:fillRect/>
                    </a:stretch>
                  </pic:blipFill>
                  <pic:spPr>
                    <a:xfrm>
                      <a:off x="0" y="0"/>
                      <a:ext cx="5273040" cy="7451725"/>
                    </a:xfrm>
                    <a:prstGeom prst="rect">
                      <a:avLst/>
                    </a:prstGeom>
                  </pic:spPr>
                </pic:pic>
              </a:graphicData>
            </a:graphic>
          </wp:inline>
        </w:drawing>
      </w:r>
      <w:r>
        <w:rPr>
          <w:rFonts w:hint="default"/>
          <w:lang w:val="en"/>
        </w:rPr>
        <w:drawing>
          <wp:inline distT="0" distB="0" distL="114300" distR="114300">
            <wp:extent cx="5273040" cy="7451725"/>
            <wp:effectExtent l="0" t="0" r="3810" b="15875"/>
            <wp:docPr id="1" name="图片 1" descr="03-马山口镇-06-镇区国土空间用地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1" descr="03-马山口镇-06-镇区国土空间用地规划图"/>
                    <pic:cNvPicPr>
                      <a:picLocks noChangeAspect="true"/>
                    </pic:cNvPicPr>
                  </pic:nvPicPr>
                  <pic:blipFill>
                    <a:blip r:embed="rId19"/>
                    <a:stretch>
                      <a:fillRect/>
                    </a:stretch>
                  </pic:blipFill>
                  <pic:spPr>
                    <a:xfrm>
                      <a:off x="0" y="0"/>
                      <a:ext cx="5273040" cy="7451725"/>
                    </a:xfrm>
                    <a:prstGeom prst="rect">
                      <a:avLst/>
                    </a:prstGeom>
                  </pic:spPr>
                </pic:pic>
              </a:graphicData>
            </a:graphic>
          </wp:inline>
        </w:drawing>
      </w:r>
    </w:p>
    <w:bookmarkEnd w:id="1"/>
    <w:bookmarkEnd w:id="2"/>
    <w:p>
      <w:pPr>
        <w:pStyle w:val="50"/>
        <w:ind w:firstLine="0" w:firstLineChars="0"/>
      </w:pPr>
    </w:p>
    <w:sectPr>
      <w:headerReference r:id="rId11" w:type="default"/>
      <w:footerReference r:id="rId12" w:type="default"/>
      <w:pgSz w:w="11907" w:h="16839"/>
      <w:pgMar w:top="1440" w:right="1800" w:bottom="1440" w:left="1800" w:header="851" w:footer="680" w:gutter="0"/>
      <w:pgNumType w:start="1"/>
      <w:cols w:space="113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640"/>
      </w:pPr>
      <w:r>
        <w:separator/>
      </w:r>
    </w:p>
  </w:endnote>
  <w:endnote w:type="continuationSeparator" w:id="1">
    <w:p>
      <w:pPr>
        <w:spacing w:line="240" w:lineRule="auto"/>
        <w:ind w:firstLine="6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仿宋_GB2312">
    <w:panose1 w:val="02010609030101010101"/>
    <w:charset w:val="86"/>
    <w:family w:val="modern"/>
    <w:pitch w:val="default"/>
    <w:sig w:usb0="00000001" w:usb1="080E0000" w:usb2="00000000" w:usb3="00000000" w:csb0="00040000" w:csb1="00000000"/>
  </w:font>
  <w:font w:name="方正小标宋简体">
    <w:panose1 w:val="02000000000000000000"/>
    <w:charset w:val="86"/>
    <w:family w:val="auto"/>
    <w:pitch w:val="default"/>
    <w:sig w:usb0="A00002BF" w:usb1="184F6CFA" w:usb2="00000012" w:usb3="00000000" w:csb0="00040001" w:csb1="00000000"/>
  </w:font>
  <w:font w:name="Cambria">
    <w:altName w:val="FreeSerif"/>
    <w:panose1 w:val="02040503050406030204"/>
    <w:charset w:val="00"/>
    <w:family w:val="roman"/>
    <w:pitch w:val="default"/>
    <w:sig w:usb0="00000000" w:usb1="00000000" w:usb2="00000000" w:usb3="00000000" w:csb0="0000019F" w:csb1="00000000"/>
  </w:font>
  <w:font w:name="楷体">
    <w:panose1 w:val="02010609060101010101"/>
    <w:charset w:val="86"/>
    <w:family w:val="modern"/>
    <w:pitch w:val="default"/>
    <w:sig w:usb0="800002BF" w:usb1="38CF7CFA" w:usb2="00000016" w:usb3="00000000" w:csb0="00040001" w:csb1="00000000"/>
  </w:font>
  <w:font w:name="等线">
    <w:altName w:val="华文仿宋"/>
    <w:panose1 w:val="02010600030101010101"/>
    <w:charset w:val="86"/>
    <w:family w:val="auto"/>
    <w:pitch w:val="default"/>
    <w:sig w:usb0="00000000" w:usb1="00000000" w:usb2="00000016" w:usb3="00000000" w:csb0="0004000F" w:csb1="00000000"/>
  </w:font>
  <w:font w:name="等线 Light">
    <w:altName w:val="汉仪仿宋S"/>
    <w:panose1 w:val="00000000000000000000"/>
    <w:charset w:val="86"/>
    <w:family w:val="auto"/>
    <w:pitch w:val="default"/>
    <w:sig w:usb0="00000000" w:usb1="00000000" w:usb2="00000016" w:usb3="00000000" w:csb0="0004000F" w:csb1="00000000"/>
  </w:font>
  <w:font w:name="楷体_GB2312">
    <w:altName w:val="楷体"/>
    <w:panose1 w:val="00000000000000000000"/>
    <w:charset w:val="86"/>
    <w:family w:val="modern"/>
    <w:pitch w:val="default"/>
    <w:sig w:usb0="00000000" w:usb1="00000000" w:usb2="00000010" w:usb3="00000000" w:csb0="00040000" w:csb1="00000000"/>
  </w:font>
  <w:font w:name="微软雅黑">
    <w:altName w:val="黑体"/>
    <w:panose1 w:val="020B0503020204020204"/>
    <w:charset w:val="86"/>
    <w:family w:val="swiss"/>
    <w:pitch w:val="default"/>
    <w:sig w:usb0="00000000" w:usb1="00000000" w:usb2="00000016" w:usb3="00000000" w:csb0="0004001F" w:csb1="00000000"/>
  </w:font>
  <w:font w:name="仿宋">
    <w:panose1 w:val="02010609060101010101"/>
    <w:charset w:val="86"/>
    <w:family w:val="modern"/>
    <w:pitch w:val="default"/>
    <w:sig w:usb0="800002BF" w:usb1="38CF7CFA" w:usb2="00000016" w:usb3="00000000" w:csb0="00040001" w:csb1="00000000"/>
  </w:font>
  <w:font w:name="方正书宋_GBK">
    <w:panose1 w:val="02000000000000000000"/>
    <w:charset w:val="86"/>
    <w:family w:val="auto"/>
    <w:pitch w:val="default"/>
    <w:sig w:usb0="00000001" w:usb1="08000000" w:usb2="00000000" w:usb3="00000000" w:csb0="00040000" w:csb1="00000000"/>
  </w:font>
  <w:font w:name="等线">
    <w:altName w:val="汉仪仿宋S"/>
    <w:panose1 w:val="00000000000000000000"/>
    <w:charset w:val="00"/>
    <w:family w:val="auto"/>
    <w:pitch w:val="default"/>
    <w:sig w:usb0="00000000" w:usb1="00000000" w:usb2="00000000" w:usb3="00000000" w:csb0="00000000" w:csb1="00000000"/>
  </w:font>
  <w:font w:name="汉仪仿宋S">
    <w:panose1 w:val="00020600040101000101"/>
    <w:charset w:val="86"/>
    <w:family w:val="auto"/>
    <w:pitch w:val="default"/>
    <w:sig w:usb0="A00002BF" w:usb1="38CF7CFA" w:usb2="00000016" w:usb3="00000000" w:csb0="0004009F" w:csb1="00000000"/>
  </w:font>
  <w:font w:name="DejaVu Sans">
    <w:panose1 w:val="020B0603030804020204"/>
    <w:charset w:val="00"/>
    <w:family w:val="auto"/>
    <w:pitch w:val="default"/>
    <w:sig w:usb0="E7006EFF" w:usb1="D200FDFF" w:usb2="0A246029" w:usb3="0400200C" w:csb0="600001FF" w:csb1="DFFF0000"/>
  </w:font>
  <w:font w:name="Liberation Serif">
    <w:panose1 w:val="02020603050405020304"/>
    <w:charset w:val="00"/>
    <w:family w:val="auto"/>
    <w:pitch w:val="default"/>
    <w:sig w:usb0="A00002AF" w:usb1="500078FB" w:usb2="00000000" w:usb3="00000000" w:csb0="6000009F" w:csb1="DFD70000"/>
  </w:font>
  <w:font w:name="方正宋体S-超大字符集">
    <w:panose1 w:val="02000000000000000000"/>
    <w:charset w:val="86"/>
    <w:family w:val="auto"/>
    <w:pitch w:val="default"/>
    <w:sig w:usb0="00000001" w:usb1="08000000" w:usb2="00000000" w:usb3="00000000" w:csb0="00040000" w:csb1="00000000"/>
  </w:font>
  <w:font w:name="Nimbus Roman No9 L">
    <w:panose1 w:val="00000000000000000000"/>
    <w:charset w:val="00"/>
    <w:family w:val="auto"/>
    <w:pitch w:val="default"/>
    <w:sig w:usb0="00000000" w:usb1="00000000" w:usb2="00000000" w:usb3="00000000" w:csb0="00000000" w:csb1="00000000"/>
  </w:font>
  <w:font w:name="FreeSerif">
    <w:panose1 w:val="02020603050405020304"/>
    <w:charset w:val="00"/>
    <w:family w:val="auto"/>
    <w:pitch w:val="default"/>
    <w:sig w:usb0="E59FAFFF" w:usb1="C200FDFF" w:usb2="43501B29" w:usb3="04000043" w:csb0="600101FF" w:csb1="FFFF0000"/>
  </w:font>
  <w:font w:name="华文仿宋">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line="240" w:lineRule="auto"/>
      <w:ind w:firstLine="0" w:firstLineChars="0"/>
      <w:jc w:val="center"/>
    </w:pPr>
  </w:p>
  <w:p>
    <w:pPr>
      <w:pStyle w:val="20"/>
      <w:spacing w:before="48" w:after="120"/>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before="48" w:after="120"/>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before="48" w:after="120"/>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28189101"/>
    </w:sdtPr>
    <w:sdtContent>
      <w:p>
        <w:pPr>
          <w:pStyle w:val="20"/>
          <w:spacing w:line="240" w:lineRule="auto"/>
          <w:ind w:firstLine="0" w:firstLineChars="0"/>
          <w:jc w:val="center"/>
        </w:pPr>
        <w:r>
          <w:rPr>
            <w:rFonts w:ascii="宋体" w:hAnsi="宋体" w:eastAsia="宋体"/>
          </w:rPr>
          <w:fldChar w:fldCharType="begin"/>
        </w:r>
        <w:r>
          <w:rPr>
            <w:rFonts w:ascii="宋体" w:hAnsi="宋体" w:eastAsia="宋体"/>
          </w:rPr>
          <w:instrText xml:space="preserve">PAGE   \* MERGEFORMAT</w:instrText>
        </w:r>
        <w:r>
          <w:rPr>
            <w:rFonts w:ascii="宋体" w:hAnsi="宋体" w:eastAsia="宋体"/>
          </w:rPr>
          <w:fldChar w:fldCharType="separate"/>
        </w:r>
        <w:r>
          <w:rPr>
            <w:rFonts w:ascii="宋体" w:hAnsi="宋体" w:eastAsia="宋体"/>
          </w:rPr>
          <w:t>7</w:t>
        </w:r>
        <w:r>
          <w:rPr>
            <w:rFonts w:ascii="宋体" w:hAnsi="宋体" w:eastAsia="宋体"/>
          </w:rPr>
          <w:fldChar w:fldCharType="end"/>
        </w:r>
      </w:p>
    </w:sdtContent>
  </w:sdt>
  <w:p>
    <w:pPr>
      <w:pStyle w:val="20"/>
      <w:spacing w:before="48" w:after="120"/>
      <w:ind w:firstLineChars="11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640"/>
      </w:pPr>
      <w:r>
        <w:separator/>
      </w:r>
    </w:p>
  </w:footnote>
  <w:footnote w:type="continuationSeparator" w:id="1">
    <w:p>
      <w:pPr>
        <w:spacing w:line="240" w:lineRule="auto"/>
        <w:ind w:firstLine="64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spacing w:before="120" w:after="12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spacing w:before="120" w:after="120"/>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pPr>
    <w: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0AA14AD"/>
    <w:multiLevelType w:val="multilevel"/>
    <w:tmpl w:val="30AA14AD"/>
    <w:lvl w:ilvl="0" w:tentative="0">
      <w:start w:val="1"/>
      <w:numFmt w:val="decimal"/>
      <w:pStyle w:val="4"/>
      <w:lvlText w:val="第%1条"/>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78EF3348"/>
    <w:multiLevelType w:val="multilevel"/>
    <w:tmpl w:val="78EF3348"/>
    <w:lvl w:ilvl="0" w:tentative="0">
      <w:start w:val="1"/>
      <w:numFmt w:val="chineseCountingThousand"/>
      <w:pStyle w:val="2"/>
      <w:suff w:val="space"/>
      <w:lvlText w:val="第%1章 "/>
      <w:lvlJc w:val="left"/>
      <w:pPr>
        <w:ind w:left="1135" w:firstLine="0"/>
      </w:pPr>
    </w:lvl>
    <w:lvl w:ilvl="1" w:tentative="0">
      <w:start w:val="1"/>
      <w:numFmt w:val="chineseCountingThousand"/>
      <w:pStyle w:val="3"/>
      <w:suff w:val="space"/>
      <w:lvlText w:val="第%2节 "/>
      <w:lvlJc w:val="left"/>
      <w:pPr>
        <w:ind w:left="1702" w:firstLine="0"/>
      </w:pPr>
    </w:lvl>
    <w:lvl w:ilvl="2" w:tentative="0">
      <w:start w:val="1"/>
      <w:numFmt w:val="decimal"/>
      <w:lvlRestart w:val="0"/>
      <w:isLgl/>
      <w:suff w:val="space"/>
      <w:lvlText w:val="第%3条 "/>
      <w:lvlJc w:val="left"/>
      <w:pPr>
        <w:ind w:left="568" w:firstLine="0"/>
      </w:pPr>
    </w:lvl>
    <w:lvl w:ilvl="3" w:tentative="0">
      <w:start w:val="1"/>
      <w:numFmt w:val="decimal"/>
      <w:pStyle w:val="5"/>
      <w:isLgl/>
      <w:suff w:val="nothing"/>
      <w:lvlText w:val="%4."/>
      <w:lvlJc w:val="left"/>
      <w:pPr>
        <w:ind w:left="-141" w:firstLine="425"/>
      </w:pPr>
    </w:lvl>
    <w:lvl w:ilvl="4" w:tentative="0">
      <w:start w:val="1"/>
      <w:numFmt w:val="decimal"/>
      <w:pStyle w:val="6"/>
      <w:isLgl/>
      <w:suff w:val="nothing"/>
      <w:lvlText w:val="（%5）"/>
      <w:lvlJc w:val="left"/>
      <w:pPr>
        <w:ind w:left="0" w:firstLine="340"/>
      </w:pPr>
    </w:lvl>
    <w:lvl w:ilvl="5" w:tentative="0">
      <w:start w:val="1"/>
      <w:numFmt w:val="decimal"/>
      <w:lvlRestart w:val="1"/>
      <w:isLgl/>
      <w:suff w:val="nothing"/>
      <w:lvlText w:val="附表%6："/>
      <w:lvlJc w:val="left"/>
      <w:pPr>
        <w:ind w:left="0" w:firstLine="0"/>
      </w:pPr>
    </w:lvl>
    <w:lvl w:ilvl="6" w:tentative="0">
      <w:start w:val="1"/>
      <w:numFmt w:val="decimal"/>
      <w:lvlRestart w:val="4"/>
      <w:isLgl/>
      <w:suff w:val="nothing"/>
      <w:lvlText w:val="（%7）"/>
      <w:lvlJc w:val="left"/>
      <w:pPr>
        <w:ind w:left="0" w:firstLine="340"/>
      </w:pPr>
    </w:lvl>
    <w:lvl w:ilvl="7" w:tentative="0">
      <w:start w:val="1"/>
      <w:numFmt w:val="decimal"/>
      <w:pStyle w:val="9"/>
      <w:lvlText w:val="%1.%2.%3.%4.%5.%6.%7.%8"/>
      <w:lvlJc w:val="left"/>
      <w:pPr>
        <w:ind w:left="1440" w:hanging="1440"/>
      </w:pPr>
    </w:lvl>
    <w:lvl w:ilvl="8" w:tentative="0">
      <w:start w:val="1"/>
      <w:numFmt w:val="decimal"/>
      <w:pStyle w:val="10"/>
      <w:lvlText w:val="%1.%2.%3.%4.%5.%6.%7.%8.%9"/>
      <w:lvlJc w:val="left"/>
      <w:pPr>
        <w:ind w:left="1584" w:hanging="1584"/>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true"/>
  <w:bordersDoNotSurroundFooter w:val="true"/>
  <w:hideSpellingErrors/>
  <w:documentProtection w:enforcement="0"/>
  <w:defaultTabStop w:val="420"/>
  <w:drawingGridHorizontalSpacing w:val="120"/>
  <w:drawingGridVerticalSpacing w:val="163"/>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mViOWEyNjAzNzYyNzgyMzM5MmY0MTE1MzYzYmY1MDUifQ=="/>
  </w:docVars>
  <w:rsids>
    <w:rsidRoot w:val="00A67F34"/>
    <w:rsid w:val="00000C06"/>
    <w:rsid w:val="00001621"/>
    <w:rsid w:val="00004538"/>
    <w:rsid w:val="000045B8"/>
    <w:rsid w:val="000046C4"/>
    <w:rsid w:val="00005598"/>
    <w:rsid w:val="00007CD2"/>
    <w:rsid w:val="00014FFC"/>
    <w:rsid w:val="00015277"/>
    <w:rsid w:val="00015C2E"/>
    <w:rsid w:val="0001672B"/>
    <w:rsid w:val="000173D5"/>
    <w:rsid w:val="000228A2"/>
    <w:rsid w:val="00022C14"/>
    <w:rsid w:val="00023887"/>
    <w:rsid w:val="00024593"/>
    <w:rsid w:val="00024C74"/>
    <w:rsid w:val="00025921"/>
    <w:rsid w:val="00025FB7"/>
    <w:rsid w:val="000263B1"/>
    <w:rsid w:val="00026494"/>
    <w:rsid w:val="00026ED4"/>
    <w:rsid w:val="00027C74"/>
    <w:rsid w:val="00027CDC"/>
    <w:rsid w:val="000300ED"/>
    <w:rsid w:val="000312F7"/>
    <w:rsid w:val="00033FEA"/>
    <w:rsid w:val="0003547A"/>
    <w:rsid w:val="0003614B"/>
    <w:rsid w:val="000401C8"/>
    <w:rsid w:val="00042AF6"/>
    <w:rsid w:val="00042E60"/>
    <w:rsid w:val="00043914"/>
    <w:rsid w:val="00043D07"/>
    <w:rsid w:val="00044269"/>
    <w:rsid w:val="00044A6C"/>
    <w:rsid w:val="00044E71"/>
    <w:rsid w:val="00046257"/>
    <w:rsid w:val="00046BBF"/>
    <w:rsid w:val="00046E46"/>
    <w:rsid w:val="0004772B"/>
    <w:rsid w:val="0005003D"/>
    <w:rsid w:val="00051283"/>
    <w:rsid w:val="0005170E"/>
    <w:rsid w:val="000522AA"/>
    <w:rsid w:val="00053B04"/>
    <w:rsid w:val="00056EF1"/>
    <w:rsid w:val="0005723A"/>
    <w:rsid w:val="0005724D"/>
    <w:rsid w:val="00062C5F"/>
    <w:rsid w:val="00063F69"/>
    <w:rsid w:val="000649D6"/>
    <w:rsid w:val="00065C66"/>
    <w:rsid w:val="0006602B"/>
    <w:rsid w:val="00066343"/>
    <w:rsid w:val="000672D0"/>
    <w:rsid w:val="00067F9B"/>
    <w:rsid w:val="000708D8"/>
    <w:rsid w:val="0007111B"/>
    <w:rsid w:val="00071B6F"/>
    <w:rsid w:val="00072F6E"/>
    <w:rsid w:val="00073CFB"/>
    <w:rsid w:val="000743DC"/>
    <w:rsid w:val="000744A6"/>
    <w:rsid w:val="0007497D"/>
    <w:rsid w:val="00074C23"/>
    <w:rsid w:val="00075670"/>
    <w:rsid w:val="00075AC8"/>
    <w:rsid w:val="00075E93"/>
    <w:rsid w:val="00076004"/>
    <w:rsid w:val="00080705"/>
    <w:rsid w:val="00080CA3"/>
    <w:rsid w:val="00080F04"/>
    <w:rsid w:val="00082E8A"/>
    <w:rsid w:val="00083B0D"/>
    <w:rsid w:val="00085C91"/>
    <w:rsid w:val="00085E68"/>
    <w:rsid w:val="00085F2C"/>
    <w:rsid w:val="000868E7"/>
    <w:rsid w:val="00087434"/>
    <w:rsid w:val="00087F2A"/>
    <w:rsid w:val="000905F0"/>
    <w:rsid w:val="00091ADE"/>
    <w:rsid w:val="000921DD"/>
    <w:rsid w:val="000945D7"/>
    <w:rsid w:val="00094975"/>
    <w:rsid w:val="000951DD"/>
    <w:rsid w:val="00095B0E"/>
    <w:rsid w:val="00097133"/>
    <w:rsid w:val="00097FB2"/>
    <w:rsid w:val="000A2C0B"/>
    <w:rsid w:val="000A3B02"/>
    <w:rsid w:val="000A4529"/>
    <w:rsid w:val="000A5030"/>
    <w:rsid w:val="000A50E0"/>
    <w:rsid w:val="000A52E7"/>
    <w:rsid w:val="000A534F"/>
    <w:rsid w:val="000A5430"/>
    <w:rsid w:val="000A6201"/>
    <w:rsid w:val="000A6E7D"/>
    <w:rsid w:val="000A74E3"/>
    <w:rsid w:val="000B1B6C"/>
    <w:rsid w:val="000B257F"/>
    <w:rsid w:val="000B2770"/>
    <w:rsid w:val="000B27FF"/>
    <w:rsid w:val="000B3238"/>
    <w:rsid w:val="000B46A4"/>
    <w:rsid w:val="000B53B7"/>
    <w:rsid w:val="000B591B"/>
    <w:rsid w:val="000B5C66"/>
    <w:rsid w:val="000B64A5"/>
    <w:rsid w:val="000B7014"/>
    <w:rsid w:val="000B72AE"/>
    <w:rsid w:val="000C0616"/>
    <w:rsid w:val="000C0C7A"/>
    <w:rsid w:val="000C2A41"/>
    <w:rsid w:val="000C3573"/>
    <w:rsid w:val="000C3D14"/>
    <w:rsid w:val="000C5282"/>
    <w:rsid w:val="000C559D"/>
    <w:rsid w:val="000C5B95"/>
    <w:rsid w:val="000C6324"/>
    <w:rsid w:val="000C78E4"/>
    <w:rsid w:val="000C7DE1"/>
    <w:rsid w:val="000D00FC"/>
    <w:rsid w:val="000D046C"/>
    <w:rsid w:val="000D336A"/>
    <w:rsid w:val="000D34BC"/>
    <w:rsid w:val="000D4DBE"/>
    <w:rsid w:val="000D53BD"/>
    <w:rsid w:val="000D5D58"/>
    <w:rsid w:val="000D6692"/>
    <w:rsid w:val="000D7CD7"/>
    <w:rsid w:val="000E0444"/>
    <w:rsid w:val="000E0F8D"/>
    <w:rsid w:val="000E1E0F"/>
    <w:rsid w:val="000E2A07"/>
    <w:rsid w:val="000E2A20"/>
    <w:rsid w:val="000E324F"/>
    <w:rsid w:val="000E35FD"/>
    <w:rsid w:val="000E410B"/>
    <w:rsid w:val="000E498F"/>
    <w:rsid w:val="000E5601"/>
    <w:rsid w:val="000E5D6D"/>
    <w:rsid w:val="000E6D24"/>
    <w:rsid w:val="000E7FEF"/>
    <w:rsid w:val="000F011D"/>
    <w:rsid w:val="000F04B5"/>
    <w:rsid w:val="000F0809"/>
    <w:rsid w:val="000F1ED6"/>
    <w:rsid w:val="000F2221"/>
    <w:rsid w:val="000F2547"/>
    <w:rsid w:val="000F2B37"/>
    <w:rsid w:val="000F2E81"/>
    <w:rsid w:val="000F302E"/>
    <w:rsid w:val="000F3B1E"/>
    <w:rsid w:val="000F5DA8"/>
    <w:rsid w:val="000F659E"/>
    <w:rsid w:val="000F6939"/>
    <w:rsid w:val="000F6CCC"/>
    <w:rsid w:val="000F7E30"/>
    <w:rsid w:val="001004B9"/>
    <w:rsid w:val="00100A59"/>
    <w:rsid w:val="00101788"/>
    <w:rsid w:val="001022DD"/>
    <w:rsid w:val="00102D32"/>
    <w:rsid w:val="00103A77"/>
    <w:rsid w:val="00104C7B"/>
    <w:rsid w:val="00105261"/>
    <w:rsid w:val="001053A7"/>
    <w:rsid w:val="00105DBB"/>
    <w:rsid w:val="001067CF"/>
    <w:rsid w:val="00106AE3"/>
    <w:rsid w:val="00107FC3"/>
    <w:rsid w:val="00110059"/>
    <w:rsid w:val="001105F1"/>
    <w:rsid w:val="00110ED6"/>
    <w:rsid w:val="00111100"/>
    <w:rsid w:val="001129D8"/>
    <w:rsid w:val="00113B52"/>
    <w:rsid w:val="00113C92"/>
    <w:rsid w:val="00114E92"/>
    <w:rsid w:val="00116D01"/>
    <w:rsid w:val="00120488"/>
    <w:rsid w:val="001204CF"/>
    <w:rsid w:val="00120A43"/>
    <w:rsid w:val="001212B2"/>
    <w:rsid w:val="0012136A"/>
    <w:rsid w:val="001216CE"/>
    <w:rsid w:val="00121CDA"/>
    <w:rsid w:val="00122DC8"/>
    <w:rsid w:val="00125070"/>
    <w:rsid w:val="00125577"/>
    <w:rsid w:val="001255B3"/>
    <w:rsid w:val="001265A8"/>
    <w:rsid w:val="0012676D"/>
    <w:rsid w:val="00127388"/>
    <w:rsid w:val="001276D2"/>
    <w:rsid w:val="00130C20"/>
    <w:rsid w:val="00130F68"/>
    <w:rsid w:val="001317CE"/>
    <w:rsid w:val="0013180C"/>
    <w:rsid w:val="00131983"/>
    <w:rsid w:val="00131CE1"/>
    <w:rsid w:val="0013381F"/>
    <w:rsid w:val="00134387"/>
    <w:rsid w:val="00136B98"/>
    <w:rsid w:val="001371F4"/>
    <w:rsid w:val="00140D28"/>
    <w:rsid w:val="00141074"/>
    <w:rsid w:val="001419C1"/>
    <w:rsid w:val="00142730"/>
    <w:rsid w:val="00143B0C"/>
    <w:rsid w:val="00143E65"/>
    <w:rsid w:val="0014413C"/>
    <w:rsid w:val="00144466"/>
    <w:rsid w:val="001451AB"/>
    <w:rsid w:val="001469C5"/>
    <w:rsid w:val="00147AEC"/>
    <w:rsid w:val="00150074"/>
    <w:rsid w:val="00150232"/>
    <w:rsid w:val="00152322"/>
    <w:rsid w:val="00152930"/>
    <w:rsid w:val="001548F2"/>
    <w:rsid w:val="00156A88"/>
    <w:rsid w:val="0015738E"/>
    <w:rsid w:val="00157548"/>
    <w:rsid w:val="0016018D"/>
    <w:rsid w:val="0016071B"/>
    <w:rsid w:val="00160A7E"/>
    <w:rsid w:val="001617AD"/>
    <w:rsid w:val="00161CCC"/>
    <w:rsid w:val="001674E7"/>
    <w:rsid w:val="00167698"/>
    <w:rsid w:val="00170778"/>
    <w:rsid w:val="00170A73"/>
    <w:rsid w:val="00170F66"/>
    <w:rsid w:val="0017172C"/>
    <w:rsid w:val="00172637"/>
    <w:rsid w:val="001737F0"/>
    <w:rsid w:val="00173B83"/>
    <w:rsid w:val="001756E1"/>
    <w:rsid w:val="001807AA"/>
    <w:rsid w:val="00181721"/>
    <w:rsid w:val="001818EE"/>
    <w:rsid w:val="001830A0"/>
    <w:rsid w:val="00183912"/>
    <w:rsid w:val="0018447A"/>
    <w:rsid w:val="00185303"/>
    <w:rsid w:val="001870AF"/>
    <w:rsid w:val="001872D8"/>
    <w:rsid w:val="00187C7C"/>
    <w:rsid w:val="00191C19"/>
    <w:rsid w:val="0019232D"/>
    <w:rsid w:val="001935F5"/>
    <w:rsid w:val="001937E5"/>
    <w:rsid w:val="00194C1F"/>
    <w:rsid w:val="00194D15"/>
    <w:rsid w:val="00196C51"/>
    <w:rsid w:val="00197EB3"/>
    <w:rsid w:val="001A0300"/>
    <w:rsid w:val="001A074B"/>
    <w:rsid w:val="001A1369"/>
    <w:rsid w:val="001A1B39"/>
    <w:rsid w:val="001A1F69"/>
    <w:rsid w:val="001A4ECF"/>
    <w:rsid w:val="001A5251"/>
    <w:rsid w:val="001A5315"/>
    <w:rsid w:val="001B01F9"/>
    <w:rsid w:val="001B0309"/>
    <w:rsid w:val="001B1BF6"/>
    <w:rsid w:val="001B337A"/>
    <w:rsid w:val="001B5251"/>
    <w:rsid w:val="001B6117"/>
    <w:rsid w:val="001B621A"/>
    <w:rsid w:val="001B73C7"/>
    <w:rsid w:val="001C0BB2"/>
    <w:rsid w:val="001C0F1D"/>
    <w:rsid w:val="001C1416"/>
    <w:rsid w:val="001C1AAB"/>
    <w:rsid w:val="001C216E"/>
    <w:rsid w:val="001C28BC"/>
    <w:rsid w:val="001C4927"/>
    <w:rsid w:val="001C68A6"/>
    <w:rsid w:val="001C7E81"/>
    <w:rsid w:val="001D0529"/>
    <w:rsid w:val="001D0D58"/>
    <w:rsid w:val="001D208F"/>
    <w:rsid w:val="001D3525"/>
    <w:rsid w:val="001D35C4"/>
    <w:rsid w:val="001D385D"/>
    <w:rsid w:val="001D4B6D"/>
    <w:rsid w:val="001D5261"/>
    <w:rsid w:val="001D6832"/>
    <w:rsid w:val="001D7F34"/>
    <w:rsid w:val="001E14DD"/>
    <w:rsid w:val="001E186A"/>
    <w:rsid w:val="001E3503"/>
    <w:rsid w:val="001E359F"/>
    <w:rsid w:val="001E3A75"/>
    <w:rsid w:val="001E436F"/>
    <w:rsid w:val="001E44D5"/>
    <w:rsid w:val="001E54F2"/>
    <w:rsid w:val="001E71D9"/>
    <w:rsid w:val="001E7233"/>
    <w:rsid w:val="001E7955"/>
    <w:rsid w:val="001E7D07"/>
    <w:rsid w:val="001F03E4"/>
    <w:rsid w:val="001F0DB9"/>
    <w:rsid w:val="001F111E"/>
    <w:rsid w:val="001F189C"/>
    <w:rsid w:val="001F2214"/>
    <w:rsid w:val="001F2E42"/>
    <w:rsid w:val="001F5C6A"/>
    <w:rsid w:val="001F5D26"/>
    <w:rsid w:val="001F614A"/>
    <w:rsid w:val="001F749F"/>
    <w:rsid w:val="001F7A86"/>
    <w:rsid w:val="00200FBD"/>
    <w:rsid w:val="00201631"/>
    <w:rsid w:val="00201F70"/>
    <w:rsid w:val="002023C0"/>
    <w:rsid w:val="0020243D"/>
    <w:rsid w:val="00202D2C"/>
    <w:rsid w:val="002040CD"/>
    <w:rsid w:val="00204C4D"/>
    <w:rsid w:val="00206376"/>
    <w:rsid w:val="0020668E"/>
    <w:rsid w:val="002078F2"/>
    <w:rsid w:val="00210701"/>
    <w:rsid w:val="00210B2B"/>
    <w:rsid w:val="0021225F"/>
    <w:rsid w:val="00212ECA"/>
    <w:rsid w:val="0021329A"/>
    <w:rsid w:val="00213AA9"/>
    <w:rsid w:val="002143B3"/>
    <w:rsid w:val="00215079"/>
    <w:rsid w:val="002153F1"/>
    <w:rsid w:val="00215A9A"/>
    <w:rsid w:val="00215F98"/>
    <w:rsid w:val="002174F4"/>
    <w:rsid w:val="0022036E"/>
    <w:rsid w:val="002208D0"/>
    <w:rsid w:val="0022120E"/>
    <w:rsid w:val="00221961"/>
    <w:rsid w:val="00221BC5"/>
    <w:rsid w:val="00221E4E"/>
    <w:rsid w:val="00224EF3"/>
    <w:rsid w:val="0022590C"/>
    <w:rsid w:val="00225B9A"/>
    <w:rsid w:val="00226AA9"/>
    <w:rsid w:val="00226B3C"/>
    <w:rsid w:val="00226B4A"/>
    <w:rsid w:val="00227032"/>
    <w:rsid w:val="0022722C"/>
    <w:rsid w:val="0022746F"/>
    <w:rsid w:val="00227754"/>
    <w:rsid w:val="00227F15"/>
    <w:rsid w:val="002318CC"/>
    <w:rsid w:val="0023322C"/>
    <w:rsid w:val="00234BF6"/>
    <w:rsid w:val="002357AA"/>
    <w:rsid w:val="00235B3B"/>
    <w:rsid w:val="00235EFC"/>
    <w:rsid w:val="00237589"/>
    <w:rsid w:val="00237CD9"/>
    <w:rsid w:val="0024154E"/>
    <w:rsid w:val="00241DCC"/>
    <w:rsid w:val="00242391"/>
    <w:rsid w:val="002466B6"/>
    <w:rsid w:val="002519E5"/>
    <w:rsid w:val="002522BE"/>
    <w:rsid w:val="0025290E"/>
    <w:rsid w:val="00253CAE"/>
    <w:rsid w:val="0025432E"/>
    <w:rsid w:val="00256485"/>
    <w:rsid w:val="00260EA9"/>
    <w:rsid w:val="00261A81"/>
    <w:rsid w:val="0026390F"/>
    <w:rsid w:val="00263D89"/>
    <w:rsid w:val="002649E9"/>
    <w:rsid w:val="00266A10"/>
    <w:rsid w:val="0026767C"/>
    <w:rsid w:val="00267805"/>
    <w:rsid w:val="00271E06"/>
    <w:rsid w:val="002730E2"/>
    <w:rsid w:val="0027483B"/>
    <w:rsid w:val="00274AB8"/>
    <w:rsid w:val="00275466"/>
    <w:rsid w:val="002809B3"/>
    <w:rsid w:val="00280A41"/>
    <w:rsid w:val="00281A24"/>
    <w:rsid w:val="00282556"/>
    <w:rsid w:val="00282A78"/>
    <w:rsid w:val="00285171"/>
    <w:rsid w:val="002858A9"/>
    <w:rsid w:val="00287750"/>
    <w:rsid w:val="002909DB"/>
    <w:rsid w:val="002927A2"/>
    <w:rsid w:val="00293283"/>
    <w:rsid w:val="00293304"/>
    <w:rsid w:val="0029353D"/>
    <w:rsid w:val="0029563F"/>
    <w:rsid w:val="0029594D"/>
    <w:rsid w:val="00295CF8"/>
    <w:rsid w:val="00296C9A"/>
    <w:rsid w:val="00296F9B"/>
    <w:rsid w:val="002971CF"/>
    <w:rsid w:val="00297F42"/>
    <w:rsid w:val="002A0B80"/>
    <w:rsid w:val="002A0C66"/>
    <w:rsid w:val="002A0F24"/>
    <w:rsid w:val="002A1DB3"/>
    <w:rsid w:val="002A34BA"/>
    <w:rsid w:val="002A7C4B"/>
    <w:rsid w:val="002B077C"/>
    <w:rsid w:val="002B0B71"/>
    <w:rsid w:val="002B1F62"/>
    <w:rsid w:val="002B2015"/>
    <w:rsid w:val="002B3BBA"/>
    <w:rsid w:val="002B44B7"/>
    <w:rsid w:val="002B50D5"/>
    <w:rsid w:val="002B5A99"/>
    <w:rsid w:val="002B5C8C"/>
    <w:rsid w:val="002B5FF8"/>
    <w:rsid w:val="002B6573"/>
    <w:rsid w:val="002B6DBA"/>
    <w:rsid w:val="002B6EE2"/>
    <w:rsid w:val="002B6F86"/>
    <w:rsid w:val="002B7AA6"/>
    <w:rsid w:val="002B7E47"/>
    <w:rsid w:val="002C11EE"/>
    <w:rsid w:val="002C2A13"/>
    <w:rsid w:val="002C2E92"/>
    <w:rsid w:val="002C3825"/>
    <w:rsid w:val="002C398A"/>
    <w:rsid w:val="002C3FB6"/>
    <w:rsid w:val="002C42F2"/>
    <w:rsid w:val="002C46E9"/>
    <w:rsid w:val="002C51F4"/>
    <w:rsid w:val="002C6201"/>
    <w:rsid w:val="002C6673"/>
    <w:rsid w:val="002C719A"/>
    <w:rsid w:val="002C786B"/>
    <w:rsid w:val="002C7CBE"/>
    <w:rsid w:val="002D05EF"/>
    <w:rsid w:val="002D157C"/>
    <w:rsid w:val="002D1C3F"/>
    <w:rsid w:val="002D36AE"/>
    <w:rsid w:val="002D3839"/>
    <w:rsid w:val="002D3FFB"/>
    <w:rsid w:val="002D5611"/>
    <w:rsid w:val="002D6047"/>
    <w:rsid w:val="002D6E59"/>
    <w:rsid w:val="002D7CD8"/>
    <w:rsid w:val="002D7FB1"/>
    <w:rsid w:val="002E0B3B"/>
    <w:rsid w:val="002E0F64"/>
    <w:rsid w:val="002E109B"/>
    <w:rsid w:val="002E1113"/>
    <w:rsid w:val="002E2692"/>
    <w:rsid w:val="002E3241"/>
    <w:rsid w:val="002E3399"/>
    <w:rsid w:val="002E38BB"/>
    <w:rsid w:val="002E612C"/>
    <w:rsid w:val="002E649B"/>
    <w:rsid w:val="002E6677"/>
    <w:rsid w:val="002E7314"/>
    <w:rsid w:val="002E7F35"/>
    <w:rsid w:val="002F1618"/>
    <w:rsid w:val="002F1D37"/>
    <w:rsid w:val="002F36E8"/>
    <w:rsid w:val="002F529A"/>
    <w:rsid w:val="002F5BB5"/>
    <w:rsid w:val="002F6661"/>
    <w:rsid w:val="002F6D93"/>
    <w:rsid w:val="002F7EE7"/>
    <w:rsid w:val="0030002A"/>
    <w:rsid w:val="003008FB"/>
    <w:rsid w:val="00300F45"/>
    <w:rsid w:val="003014F3"/>
    <w:rsid w:val="00301643"/>
    <w:rsid w:val="00301649"/>
    <w:rsid w:val="0030170C"/>
    <w:rsid w:val="00301A91"/>
    <w:rsid w:val="0030248B"/>
    <w:rsid w:val="003045A0"/>
    <w:rsid w:val="00305B38"/>
    <w:rsid w:val="00306DA5"/>
    <w:rsid w:val="003074D3"/>
    <w:rsid w:val="003104F2"/>
    <w:rsid w:val="00311CA9"/>
    <w:rsid w:val="0031292D"/>
    <w:rsid w:val="0031367A"/>
    <w:rsid w:val="003137CF"/>
    <w:rsid w:val="00313A14"/>
    <w:rsid w:val="00313AE2"/>
    <w:rsid w:val="00313B2E"/>
    <w:rsid w:val="003146D1"/>
    <w:rsid w:val="0031528B"/>
    <w:rsid w:val="0031556D"/>
    <w:rsid w:val="00315DB0"/>
    <w:rsid w:val="0031620E"/>
    <w:rsid w:val="003172BE"/>
    <w:rsid w:val="00320E3F"/>
    <w:rsid w:val="00322AAC"/>
    <w:rsid w:val="00322C47"/>
    <w:rsid w:val="00322E71"/>
    <w:rsid w:val="003230B5"/>
    <w:rsid w:val="00323FE4"/>
    <w:rsid w:val="003240BE"/>
    <w:rsid w:val="003243A5"/>
    <w:rsid w:val="00324F0C"/>
    <w:rsid w:val="003257DB"/>
    <w:rsid w:val="00325EDE"/>
    <w:rsid w:val="00326DBA"/>
    <w:rsid w:val="0033096C"/>
    <w:rsid w:val="00330AEE"/>
    <w:rsid w:val="00331549"/>
    <w:rsid w:val="00331604"/>
    <w:rsid w:val="00333450"/>
    <w:rsid w:val="003335ED"/>
    <w:rsid w:val="00333E51"/>
    <w:rsid w:val="00333EC9"/>
    <w:rsid w:val="00334478"/>
    <w:rsid w:val="003344E5"/>
    <w:rsid w:val="00341862"/>
    <w:rsid w:val="0034203C"/>
    <w:rsid w:val="00342ED0"/>
    <w:rsid w:val="00343111"/>
    <w:rsid w:val="003446F2"/>
    <w:rsid w:val="00344BB4"/>
    <w:rsid w:val="003457C2"/>
    <w:rsid w:val="00345BAA"/>
    <w:rsid w:val="00346168"/>
    <w:rsid w:val="003479E8"/>
    <w:rsid w:val="00347BFE"/>
    <w:rsid w:val="003533FF"/>
    <w:rsid w:val="00353EB6"/>
    <w:rsid w:val="0035508E"/>
    <w:rsid w:val="00355BA4"/>
    <w:rsid w:val="00355DE7"/>
    <w:rsid w:val="003605D5"/>
    <w:rsid w:val="0036078C"/>
    <w:rsid w:val="00361606"/>
    <w:rsid w:val="0036180A"/>
    <w:rsid w:val="00361890"/>
    <w:rsid w:val="00361EC8"/>
    <w:rsid w:val="00363503"/>
    <w:rsid w:val="00364050"/>
    <w:rsid w:val="0036413A"/>
    <w:rsid w:val="0036493E"/>
    <w:rsid w:val="00364EA4"/>
    <w:rsid w:val="003650A7"/>
    <w:rsid w:val="00365625"/>
    <w:rsid w:val="00370B52"/>
    <w:rsid w:val="003715FA"/>
    <w:rsid w:val="00371710"/>
    <w:rsid w:val="00371F8A"/>
    <w:rsid w:val="00372354"/>
    <w:rsid w:val="003723B0"/>
    <w:rsid w:val="00372E59"/>
    <w:rsid w:val="00373691"/>
    <w:rsid w:val="00373AFF"/>
    <w:rsid w:val="00373D30"/>
    <w:rsid w:val="00375CB6"/>
    <w:rsid w:val="003777F2"/>
    <w:rsid w:val="003819CB"/>
    <w:rsid w:val="00381A96"/>
    <w:rsid w:val="00383792"/>
    <w:rsid w:val="00383ED6"/>
    <w:rsid w:val="00385823"/>
    <w:rsid w:val="0038737D"/>
    <w:rsid w:val="00390487"/>
    <w:rsid w:val="003914BF"/>
    <w:rsid w:val="003928A6"/>
    <w:rsid w:val="00392949"/>
    <w:rsid w:val="00393988"/>
    <w:rsid w:val="00393D8A"/>
    <w:rsid w:val="00394A69"/>
    <w:rsid w:val="00394CC7"/>
    <w:rsid w:val="003950B7"/>
    <w:rsid w:val="00395BA6"/>
    <w:rsid w:val="00396205"/>
    <w:rsid w:val="0039649B"/>
    <w:rsid w:val="0039775C"/>
    <w:rsid w:val="003978C3"/>
    <w:rsid w:val="00397B19"/>
    <w:rsid w:val="00397E6B"/>
    <w:rsid w:val="00397F96"/>
    <w:rsid w:val="003A04CD"/>
    <w:rsid w:val="003A059D"/>
    <w:rsid w:val="003A07B0"/>
    <w:rsid w:val="003A114F"/>
    <w:rsid w:val="003A299B"/>
    <w:rsid w:val="003A39DD"/>
    <w:rsid w:val="003A535B"/>
    <w:rsid w:val="003A5419"/>
    <w:rsid w:val="003A596E"/>
    <w:rsid w:val="003B0168"/>
    <w:rsid w:val="003B04E8"/>
    <w:rsid w:val="003B079D"/>
    <w:rsid w:val="003B0873"/>
    <w:rsid w:val="003B0E02"/>
    <w:rsid w:val="003B28DB"/>
    <w:rsid w:val="003B2BD1"/>
    <w:rsid w:val="003B2DED"/>
    <w:rsid w:val="003B52B9"/>
    <w:rsid w:val="003B5635"/>
    <w:rsid w:val="003B60A1"/>
    <w:rsid w:val="003B6113"/>
    <w:rsid w:val="003B64C7"/>
    <w:rsid w:val="003B6FE0"/>
    <w:rsid w:val="003B7790"/>
    <w:rsid w:val="003B78BD"/>
    <w:rsid w:val="003C0206"/>
    <w:rsid w:val="003C1846"/>
    <w:rsid w:val="003C1D78"/>
    <w:rsid w:val="003C2CDB"/>
    <w:rsid w:val="003C38B5"/>
    <w:rsid w:val="003C3E17"/>
    <w:rsid w:val="003C3E5B"/>
    <w:rsid w:val="003C545E"/>
    <w:rsid w:val="003C54EF"/>
    <w:rsid w:val="003C55CE"/>
    <w:rsid w:val="003C5616"/>
    <w:rsid w:val="003C6394"/>
    <w:rsid w:val="003C6B26"/>
    <w:rsid w:val="003C72FC"/>
    <w:rsid w:val="003C7A10"/>
    <w:rsid w:val="003D00C7"/>
    <w:rsid w:val="003D058C"/>
    <w:rsid w:val="003D0AD5"/>
    <w:rsid w:val="003D157E"/>
    <w:rsid w:val="003D2089"/>
    <w:rsid w:val="003D256E"/>
    <w:rsid w:val="003D35DA"/>
    <w:rsid w:val="003D3613"/>
    <w:rsid w:val="003D3EE8"/>
    <w:rsid w:val="003D4863"/>
    <w:rsid w:val="003D4BF0"/>
    <w:rsid w:val="003D6C0D"/>
    <w:rsid w:val="003D7D09"/>
    <w:rsid w:val="003D7F97"/>
    <w:rsid w:val="003E1257"/>
    <w:rsid w:val="003E1A59"/>
    <w:rsid w:val="003E261A"/>
    <w:rsid w:val="003E2CD9"/>
    <w:rsid w:val="003E2D57"/>
    <w:rsid w:val="003E31CE"/>
    <w:rsid w:val="003E3A2B"/>
    <w:rsid w:val="003E4235"/>
    <w:rsid w:val="003E46EF"/>
    <w:rsid w:val="003E51C3"/>
    <w:rsid w:val="003E5E33"/>
    <w:rsid w:val="003E61FC"/>
    <w:rsid w:val="003F00D2"/>
    <w:rsid w:val="003F0397"/>
    <w:rsid w:val="003F0869"/>
    <w:rsid w:val="003F177F"/>
    <w:rsid w:val="003F22B0"/>
    <w:rsid w:val="003F24C5"/>
    <w:rsid w:val="003F2713"/>
    <w:rsid w:val="003F2FCF"/>
    <w:rsid w:val="003F30F5"/>
    <w:rsid w:val="003F329A"/>
    <w:rsid w:val="003F353C"/>
    <w:rsid w:val="003F3815"/>
    <w:rsid w:val="003F3CDE"/>
    <w:rsid w:val="003F5AFF"/>
    <w:rsid w:val="003F67FF"/>
    <w:rsid w:val="003F6915"/>
    <w:rsid w:val="003F6B11"/>
    <w:rsid w:val="003F705A"/>
    <w:rsid w:val="003F7648"/>
    <w:rsid w:val="00400878"/>
    <w:rsid w:val="00401497"/>
    <w:rsid w:val="00402217"/>
    <w:rsid w:val="00402A62"/>
    <w:rsid w:val="00403BB6"/>
    <w:rsid w:val="004052DE"/>
    <w:rsid w:val="0040535C"/>
    <w:rsid w:val="00405CE5"/>
    <w:rsid w:val="00405DEB"/>
    <w:rsid w:val="00406085"/>
    <w:rsid w:val="00406E3A"/>
    <w:rsid w:val="004107CD"/>
    <w:rsid w:val="00410E74"/>
    <w:rsid w:val="00411589"/>
    <w:rsid w:val="00411D37"/>
    <w:rsid w:val="00411DDD"/>
    <w:rsid w:val="00413292"/>
    <w:rsid w:val="00413E45"/>
    <w:rsid w:val="0041436E"/>
    <w:rsid w:val="0041582C"/>
    <w:rsid w:val="0041650A"/>
    <w:rsid w:val="00416D1D"/>
    <w:rsid w:val="00417A28"/>
    <w:rsid w:val="00421E2B"/>
    <w:rsid w:val="00422025"/>
    <w:rsid w:val="0042204D"/>
    <w:rsid w:val="0042350B"/>
    <w:rsid w:val="004239C3"/>
    <w:rsid w:val="00424578"/>
    <w:rsid w:val="00424DE1"/>
    <w:rsid w:val="0042608D"/>
    <w:rsid w:val="00427916"/>
    <w:rsid w:val="00427EE6"/>
    <w:rsid w:val="004303B5"/>
    <w:rsid w:val="00431F22"/>
    <w:rsid w:val="00433217"/>
    <w:rsid w:val="004353C1"/>
    <w:rsid w:val="00436D72"/>
    <w:rsid w:val="00437936"/>
    <w:rsid w:val="004406DF"/>
    <w:rsid w:val="0044075D"/>
    <w:rsid w:val="004428C6"/>
    <w:rsid w:val="004429D3"/>
    <w:rsid w:val="004429FC"/>
    <w:rsid w:val="00442CAA"/>
    <w:rsid w:val="00443C3A"/>
    <w:rsid w:val="00444C58"/>
    <w:rsid w:val="00445125"/>
    <w:rsid w:val="00445C44"/>
    <w:rsid w:val="00446B13"/>
    <w:rsid w:val="00450F69"/>
    <w:rsid w:val="00451163"/>
    <w:rsid w:val="00453CB9"/>
    <w:rsid w:val="00453D17"/>
    <w:rsid w:val="00454BB3"/>
    <w:rsid w:val="00455B41"/>
    <w:rsid w:val="00455B7B"/>
    <w:rsid w:val="00457530"/>
    <w:rsid w:val="00457668"/>
    <w:rsid w:val="004576AC"/>
    <w:rsid w:val="00460E75"/>
    <w:rsid w:val="00461586"/>
    <w:rsid w:val="00463148"/>
    <w:rsid w:val="00463153"/>
    <w:rsid w:val="00463983"/>
    <w:rsid w:val="00463D68"/>
    <w:rsid w:val="004640C5"/>
    <w:rsid w:val="00465924"/>
    <w:rsid w:val="00466189"/>
    <w:rsid w:val="00466F2F"/>
    <w:rsid w:val="00467D06"/>
    <w:rsid w:val="00472422"/>
    <w:rsid w:val="004729FE"/>
    <w:rsid w:val="00473711"/>
    <w:rsid w:val="00474027"/>
    <w:rsid w:val="00474445"/>
    <w:rsid w:val="00474F0B"/>
    <w:rsid w:val="004752DD"/>
    <w:rsid w:val="00475B27"/>
    <w:rsid w:val="00476A7E"/>
    <w:rsid w:val="00476D75"/>
    <w:rsid w:val="00476F5B"/>
    <w:rsid w:val="00477649"/>
    <w:rsid w:val="00480090"/>
    <w:rsid w:val="004811C8"/>
    <w:rsid w:val="00481207"/>
    <w:rsid w:val="0048136F"/>
    <w:rsid w:val="00481B2F"/>
    <w:rsid w:val="00482721"/>
    <w:rsid w:val="00482BB8"/>
    <w:rsid w:val="00484529"/>
    <w:rsid w:val="00484C57"/>
    <w:rsid w:val="00485AFD"/>
    <w:rsid w:val="00486318"/>
    <w:rsid w:val="004863C5"/>
    <w:rsid w:val="00491D05"/>
    <w:rsid w:val="0049319B"/>
    <w:rsid w:val="0049478D"/>
    <w:rsid w:val="00495008"/>
    <w:rsid w:val="0049507C"/>
    <w:rsid w:val="004971C9"/>
    <w:rsid w:val="004974D0"/>
    <w:rsid w:val="004A111B"/>
    <w:rsid w:val="004A1477"/>
    <w:rsid w:val="004A2F7B"/>
    <w:rsid w:val="004A3B63"/>
    <w:rsid w:val="004A4DDE"/>
    <w:rsid w:val="004A4EFE"/>
    <w:rsid w:val="004A5FC1"/>
    <w:rsid w:val="004A6049"/>
    <w:rsid w:val="004A7ED5"/>
    <w:rsid w:val="004B45EC"/>
    <w:rsid w:val="004B5146"/>
    <w:rsid w:val="004B57D8"/>
    <w:rsid w:val="004B6008"/>
    <w:rsid w:val="004B7133"/>
    <w:rsid w:val="004B7991"/>
    <w:rsid w:val="004B7FA1"/>
    <w:rsid w:val="004C0079"/>
    <w:rsid w:val="004C0375"/>
    <w:rsid w:val="004C0463"/>
    <w:rsid w:val="004C1211"/>
    <w:rsid w:val="004C18D6"/>
    <w:rsid w:val="004C21DE"/>
    <w:rsid w:val="004C227D"/>
    <w:rsid w:val="004C3DE3"/>
    <w:rsid w:val="004C46AF"/>
    <w:rsid w:val="004C4A5C"/>
    <w:rsid w:val="004C4C19"/>
    <w:rsid w:val="004C4DE6"/>
    <w:rsid w:val="004C58B8"/>
    <w:rsid w:val="004C5A67"/>
    <w:rsid w:val="004C5DD9"/>
    <w:rsid w:val="004C5F88"/>
    <w:rsid w:val="004C7888"/>
    <w:rsid w:val="004C7967"/>
    <w:rsid w:val="004C7F19"/>
    <w:rsid w:val="004D0140"/>
    <w:rsid w:val="004D11F1"/>
    <w:rsid w:val="004D347D"/>
    <w:rsid w:val="004D3BF9"/>
    <w:rsid w:val="004D4A9D"/>
    <w:rsid w:val="004D509D"/>
    <w:rsid w:val="004D61AC"/>
    <w:rsid w:val="004D6376"/>
    <w:rsid w:val="004D78C7"/>
    <w:rsid w:val="004E1BA7"/>
    <w:rsid w:val="004E25C8"/>
    <w:rsid w:val="004E2B64"/>
    <w:rsid w:val="004E302D"/>
    <w:rsid w:val="004E3B23"/>
    <w:rsid w:val="004E3C56"/>
    <w:rsid w:val="004E41D6"/>
    <w:rsid w:val="004E4AB2"/>
    <w:rsid w:val="004E54C8"/>
    <w:rsid w:val="004E72BD"/>
    <w:rsid w:val="004F1E54"/>
    <w:rsid w:val="004F2393"/>
    <w:rsid w:val="004F3B6F"/>
    <w:rsid w:val="004F3E94"/>
    <w:rsid w:val="004F62AF"/>
    <w:rsid w:val="004F6E8B"/>
    <w:rsid w:val="004F6F2D"/>
    <w:rsid w:val="004F75C3"/>
    <w:rsid w:val="004F7E67"/>
    <w:rsid w:val="0050023A"/>
    <w:rsid w:val="0050097C"/>
    <w:rsid w:val="00502176"/>
    <w:rsid w:val="00502391"/>
    <w:rsid w:val="005034A0"/>
    <w:rsid w:val="00503AFF"/>
    <w:rsid w:val="00503D38"/>
    <w:rsid w:val="00504503"/>
    <w:rsid w:val="0050508B"/>
    <w:rsid w:val="005050FF"/>
    <w:rsid w:val="005058C3"/>
    <w:rsid w:val="00507218"/>
    <w:rsid w:val="0051006C"/>
    <w:rsid w:val="00510C53"/>
    <w:rsid w:val="00511B6B"/>
    <w:rsid w:val="00512741"/>
    <w:rsid w:val="0051403E"/>
    <w:rsid w:val="005147BF"/>
    <w:rsid w:val="00514B22"/>
    <w:rsid w:val="00515618"/>
    <w:rsid w:val="00515724"/>
    <w:rsid w:val="005167F9"/>
    <w:rsid w:val="00516E9C"/>
    <w:rsid w:val="005172CD"/>
    <w:rsid w:val="0051741E"/>
    <w:rsid w:val="0051775A"/>
    <w:rsid w:val="005201CF"/>
    <w:rsid w:val="00520600"/>
    <w:rsid w:val="005209A4"/>
    <w:rsid w:val="005213BD"/>
    <w:rsid w:val="00522D82"/>
    <w:rsid w:val="00522F8F"/>
    <w:rsid w:val="005241C8"/>
    <w:rsid w:val="00524E04"/>
    <w:rsid w:val="00524F14"/>
    <w:rsid w:val="005255D1"/>
    <w:rsid w:val="00526A0E"/>
    <w:rsid w:val="005277D0"/>
    <w:rsid w:val="0053248E"/>
    <w:rsid w:val="00532606"/>
    <w:rsid w:val="00533BB0"/>
    <w:rsid w:val="005343C2"/>
    <w:rsid w:val="00534E60"/>
    <w:rsid w:val="00535191"/>
    <w:rsid w:val="005371A1"/>
    <w:rsid w:val="0053757A"/>
    <w:rsid w:val="0053770A"/>
    <w:rsid w:val="00540777"/>
    <w:rsid w:val="0054297E"/>
    <w:rsid w:val="005431B1"/>
    <w:rsid w:val="005449E1"/>
    <w:rsid w:val="005453F7"/>
    <w:rsid w:val="0054578E"/>
    <w:rsid w:val="00545917"/>
    <w:rsid w:val="00545A81"/>
    <w:rsid w:val="00546130"/>
    <w:rsid w:val="005464CF"/>
    <w:rsid w:val="005464DD"/>
    <w:rsid w:val="005466F6"/>
    <w:rsid w:val="00546A5E"/>
    <w:rsid w:val="00550039"/>
    <w:rsid w:val="00552D05"/>
    <w:rsid w:val="00552E13"/>
    <w:rsid w:val="00553081"/>
    <w:rsid w:val="00553C22"/>
    <w:rsid w:val="0055431A"/>
    <w:rsid w:val="00554715"/>
    <w:rsid w:val="00554D99"/>
    <w:rsid w:val="005550EF"/>
    <w:rsid w:val="00555582"/>
    <w:rsid w:val="005557D4"/>
    <w:rsid w:val="00557720"/>
    <w:rsid w:val="005578BF"/>
    <w:rsid w:val="005600CC"/>
    <w:rsid w:val="00560AC0"/>
    <w:rsid w:val="0056297F"/>
    <w:rsid w:val="0056325C"/>
    <w:rsid w:val="00564BFA"/>
    <w:rsid w:val="005705D8"/>
    <w:rsid w:val="005709D7"/>
    <w:rsid w:val="005716D5"/>
    <w:rsid w:val="00571B3A"/>
    <w:rsid w:val="00572C67"/>
    <w:rsid w:val="00573B30"/>
    <w:rsid w:val="00575112"/>
    <w:rsid w:val="00575472"/>
    <w:rsid w:val="005764F4"/>
    <w:rsid w:val="00576EA4"/>
    <w:rsid w:val="00576EBA"/>
    <w:rsid w:val="00576F28"/>
    <w:rsid w:val="00577799"/>
    <w:rsid w:val="005777D0"/>
    <w:rsid w:val="0057792C"/>
    <w:rsid w:val="00580229"/>
    <w:rsid w:val="00581158"/>
    <w:rsid w:val="005814FF"/>
    <w:rsid w:val="005836E2"/>
    <w:rsid w:val="00584180"/>
    <w:rsid w:val="005848EE"/>
    <w:rsid w:val="00584C64"/>
    <w:rsid w:val="00584CBA"/>
    <w:rsid w:val="005859E8"/>
    <w:rsid w:val="00585ACC"/>
    <w:rsid w:val="00586505"/>
    <w:rsid w:val="0058655C"/>
    <w:rsid w:val="005876B0"/>
    <w:rsid w:val="00587C23"/>
    <w:rsid w:val="00591E7A"/>
    <w:rsid w:val="00592701"/>
    <w:rsid w:val="00592F21"/>
    <w:rsid w:val="00595212"/>
    <w:rsid w:val="00595DED"/>
    <w:rsid w:val="00597DD2"/>
    <w:rsid w:val="005A0136"/>
    <w:rsid w:val="005A0A61"/>
    <w:rsid w:val="005A1658"/>
    <w:rsid w:val="005A197F"/>
    <w:rsid w:val="005A2FE7"/>
    <w:rsid w:val="005A4A80"/>
    <w:rsid w:val="005A5224"/>
    <w:rsid w:val="005A64CA"/>
    <w:rsid w:val="005A65C2"/>
    <w:rsid w:val="005A6626"/>
    <w:rsid w:val="005A6C71"/>
    <w:rsid w:val="005A7665"/>
    <w:rsid w:val="005B10BC"/>
    <w:rsid w:val="005B12A7"/>
    <w:rsid w:val="005B12C7"/>
    <w:rsid w:val="005B263D"/>
    <w:rsid w:val="005B3C3C"/>
    <w:rsid w:val="005B4877"/>
    <w:rsid w:val="005B4DDD"/>
    <w:rsid w:val="005B7E59"/>
    <w:rsid w:val="005C0047"/>
    <w:rsid w:val="005C057E"/>
    <w:rsid w:val="005C087B"/>
    <w:rsid w:val="005C1B91"/>
    <w:rsid w:val="005C1F7C"/>
    <w:rsid w:val="005C2275"/>
    <w:rsid w:val="005C515D"/>
    <w:rsid w:val="005C5674"/>
    <w:rsid w:val="005C5D32"/>
    <w:rsid w:val="005C6C00"/>
    <w:rsid w:val="005D0DF8"/>
    <w:rsid w:val="005D0E56"/>
    <w:rsid w:val="005D2BD0"/>
    <w:rsid w:val="005D4064"/>
    <w:rsid w:val="005D4876"/>
    <w:rsid w:val="005D4A74"/>
    <w:rsid w:val="005D5D9F"/>
    <w:rsid w:val="005D5EE6"/>
    <w:rsid w:val="005D6E9E"/>
    <w:rsid w:val="005D6F67"/>
    <w:rsid w:val="005D70B1"/>
    <w:rsid w:val="005E05B5"/>
    <w:rsid w:val="005E0A61"/>
    <w:rsid w:val="005E13DC"/>
    <w:rsid w:val="005E1F3E"/>
    <w:rsid w:val="005E2FEA"/>
    <w:rsid w:val="005E33C8"/>
    <w:rsid w:val="005E34D2"/>
    <w:rsid w:val="005E5B5F"/>
    <w:rsid w:val="005E5E96"/>
    <w:rsid w:val="005E644F"/>
    <w:rsid w:val="005E6BD7"/>
    <w:rsid w:val="005E6DCF"/>
    <w:rsid w:val="005E77FC"/>
    <w:rsid w:val="005E7FB0"/>
    <w:rsid w:val="005F1DF6"/>
    <w:rsid w:val="005F203B"/>
    <w:rsid w:val="005F2611"/>
    <w:rsid w:val="005F284F"/>
    <w:rsid w:val="005F2DDE"/>
    <w:rsid w:val="005F37F9"/>
    <w:rsid w:val="005F42FA"/>
    <w:rsid w:val="005F57E3"/>
    <w:rsid w:val="005F6059"/>
    <w:rsid w:val="005F7C5A"/>
    <w:rsid w:val="00601800"/>
    <w:rsid w:val="00601AAC"/>
    <w:rsid w:val="006051F1"/>
    <w:rsid w:val="0060554F"/>
    <w:rsid w:val="00606851"/>
    <w:rsid w:val="0060685D"/>
    <w:rsid w:val="00606EE5"/>
    <w:rsid w:val="006070D6"/>
    <w:rsid w:val="006075D6"/>
    <w:rsid w:val="00607B21"/>
    <w:rsid w:val="00613DAD"/>
    <w:rsid w:val="00616611"/>
    <w:rsid w:val="006223E9"/>
    <w:rsid w:val="00622533"/>
    <w:rsid w:val="00622F96"/>
    <w:rsid w:val="00623889"/>
    <w:rsid w:val="00624DCA"/>
    <w:rsid w:val="00625EDC"/>
    <w:rsid w:val="0063013C"/>
    <w:rsid w:val="00630619"/>
    <w:rsid w:val="00630E51"/>
    <w:rsid w:val="00630EB1"/>
    <w:rsid w:val="00631A11"/>
    <w:rsid w:val="00631E41"/>
    <w:rsid w:val="00632A92"/>
    <w:rsid w:val="0063379A"/>
    <w:rsid w:val="00634EF4"/>
    <w:rsid w:val="00634F07"/>
    <w:rsid w:val="00636152"/>
    <w:rsid w:val="0063695E"/>
    <w:rsid w:val="0063753E"/>
    <w:rsid w:val="00637C40"/>
    <w:rsid w:val="00637F49"/>
    <w:rsid w:val="006424EB"/>
    <w:rsid w:val="00642B3C"/>
    <w:rsid w:val="00643239"/>
    <w:rsid w:val="006432DB"/>
    <w:rsid w:val="00643638"/>
    <w:rsid w:val="006446B5"/>
    <w:rsid w:val="006449AB"/>
    <w:rsid w:val="0064509B"/>
    <w:rsid w:val="0064527A"/>
    <w:rsid w:val="006461BF"/>
    <w:rsid w:val="00647FBE"/>
    <w:rsid w:val="00651E14"/>
    <w:rsid w:val="00652EB5"/>
    <w:rsid w:val="006553F7"/>
    <w:rsid w:val="00655728"/>
    <w:rsid w:val="00655ECE"/>
    <w:rsid w:val="006600ED"/>
    <w:rsid w:val="00660BC2"/>
    <w:rsid w:val="0066156D"/>
    <w:rsid w:val="00661646"/>
    <w:rsid w:val="00663B38"/>
    <w:rsid w:val="00664D9F"/>
    <w:rsid w:val="00665520"/>
    <w:rsid w:val="0067219B"/>
    <w:rsid w:val="00672D34"/>
    <w:rsid w:val="0067411B"/>
    <w:rsid w:val="00674625"/>
    <w:rsid w:val="00675405"/>
    <w:rsid w:val="0067551B"/>
    <w:rsid w:val="00675CF5"/>
    <w:rsid w:val="00676001"/>
    <w:rsid w:val="00676340"/>
    <w:rsid w:val="006777A4"/>
    <w:rsid w:val="00677E64"/>
    <w:rsid w:val="00680F95"/>
    <w:rsid w:val="00682354"/>
    <w:rsid w:val="006849F5"/>
    <w:rsid w:val="00685FA9"/>
    <w:rsid w:val="006862D4"/>
    <w:rsid w:val="00686658"/>
    <w:rsid w:val="006877BE"/>
    <w:rsid w:val="00687980"/>
    <w:rsid w:val="00690FD4"/>
    <w:rsid w:val="00691B31"/>
    <w:rsid w:val="0069234E"/>
    <w:rsid w:val="0069266B"/>
    <w:rsid w:val="00692867"/>
    <w:rsid w:val="00692D3C"/>
    <w:rsid w:val="00693193"/>
    <w:rsid w:val="00693368"/>
    <w:rsid w:val="00693C1D"/>
    <w:rsid w:val="00693F11"/>
    <w:rsid w:val="00694073"/>
    <w:rsid w:val="00694A0B"/>
    <w:rsid w:val="00694BA3"/>
    <w:rsid w:val="0069529C"/>
    <w:rsid w:val="00695339"/>
    <w:rsid w:val="0069600C"/>
    <w:rsid w:val="00697103"/>
    <w:rsid w:val="006A18A3"/>
    <w:rsid w:val="006A193E"/>
    <w:rsid w:val="006A1B4F"/>
    <w:rsid w:val="006A2244"/>
    <w:rsid w:val="006A3716"/>
    <w:rsid w:val="006A3C57"/>
    <w:rsid w:val="006A3E77"/>
    <w:rsid w:val="006A3F51"/>
    <w:rsid w:val="006A5A43"/>
    <w:rsid w:val="006A5EF7"/>
    <w:rsid w:val="006A7AC1"/>
    <w:rsid w:val="006A7E34"/>
    <w:rsid w:val="006B0019"/>
    <w:rsid w:val="006B1A2B"/>
    <w:rsid w:val="006B2597"/>
    <w:rsid w:val="006B28C6"/>
    <w:rsid w:val="006B298F"/>
    <w:rsid w:val="006B341D"/>
    <w:rsid w:val="006B4141"/>
    <w:rsid w:val="006B4A50"/>
    <w:rsid w:val="006B5C40"/>
    <w:rsid w:val="006B6C98"/>
    <w:rsid w:val="006C3D59"/>
    <w:rsid w:val="006C436C"/>
    <w:rsid w:val="006C478D"/>
    <w:rsid w:val="006C60C1"/>
    <w:rsid w:val="006C6F17"/>
    <w:rsid w:val="006C7543"/>
    <w:rsid w:val="006C7F21"/>
    <w:rsid w:val="006D03CA"/>
    <w:rsid w:val="006D0A23"/>
    <w:rsid w:val="006D0AE1"/>
    <w:rsid w:val="006D26B7"/>
    <w:rsid w:val="006D27D9"/>
    <w:rsid w:val="006D2E7F"/>
    <w:rsid w:val="006D3CE6"/>
    <w:rsid w:val="006D3D1F"/>
    <w:rsid w:val="006D46AA"/>
    <w:rsid w:val="006D55EF"/>
    <w:rsid w:val="006D5AA9"/>
    <w:rsid w:val="006D634F"/>
    <w:rsid w:val="006D63AB"/>
    <w:rsid w:val="006D6C7C"/>
    <w:rsid w:val="006D736C"/>
    <w:rsid w:val="006D7FC9"/>
    <w:rsid w:val="006E1262"/>
    <w:rsid w:val="006E25C3"/>
    <w:rsid w:val="006E66D9"/>
    <w:rsid w:val="006E6DF5"/>
    <w:rsid w:val="006E7269"/>
    <w:rsid w:val="006E739C"/>
    <w:rsid w:val="006E7BDE"/>
    <w:rsid w:val="006F0848"/>
    <w:rsid w:val="006F1F97"/>
    <w:rsid w:val="006F359D"/>
    <w:rsid w:val="006F4171"/>
    <w:rsid w:val="006F4350"/>
    <w:rsid w:val="006F460A"/>
    <w:rsid w:val="006F472F"/>
    <w:rsid w:val="006F51D4"/>
    <w:rsid w:val="006F540A"/>
    <w:rsid w:val="006F6393"/>
    <w:rsid w:val="00700632"/>
    <w:rsid w:val="00700E49"/>
    <w:rsid w:val="0070152D"/>
    <w:rsid w:val="00701895"/>
    <w:rsid w:val="00701D64"/>
    <w:rsid w:val="0070241A"/>
    <w:rsid w:val="007027C9"/>
    <w:rsid w:val="00704D0E"/>
    <w:rsid w:val="00707D52"/>
    <w:rsid w:val="00707E95"/>
    <w:rsid w:val="00710F34"/>
    <w:rsid w:val="0071126F"/>
    <w:rsid w:val="00711402"/>
    <w:rsid w:val="00711FDF"/>
    <w:rsid w:val="00712426"/>
    <w:rsid w:val="007127F3"/>
    <w:rsid w:val="00712B49"/>
    <w:rsid w:val="0071309E"/>
    <w:rsid w:val="007132D6"/>
    <w:rsid w:val="0071596D"/>
    <w:rsid w:val="00715D7E"/>
    <w:rsid w:val="00716BF7"/>
    <w:rsid w:val="00720A2C"/>
    <w:rsid w:val="00720A30"/>
    <w:rsid w:val="00720C1F"/>
    <w:rsid w:val="00720D25"/>
    <w:rsid w:val="007211F9"/>
    <w:rsid w:val="0072160E"/>
    <w:rsid w:val="007217EA"/>
    <w:rsid w:val="00722825"/>
    <w:rsid w:val="0072329E"/>
    <w:rsid w:val="007251B8"/>
    <w:rsid w:val="0072624D"/>
    <w:rsid w:val="00726260"/>
    <w:rsid w:val="00726B92"/>
    <w:rsid w:val="007275B9"/>
    <w:rsid w:val="0073050B"/>
    <w:rsid w:val="007307C0"/>
    <w:rsid w:val="0073173D"/>
    <w:rsid w:val="00731AF6"/>
    <w:rsid w:val="00731F7E"/>
    <w:rsid w:val="007323F5"/>
    <w:rsid w:val="007333AE"/>
    <w:rsid w:val="0073453F"/>
    <w:rsid w:val="007345DF"/>
    <w:rsid w:val="00735048"/>
    <w:rsid w:val="0073506F"/>
    <w:rsid w:val="00736B22"/>
    <w:rsid w:val="00741C23"/>
    <w:rsid w:val="00741D46"/>
    <w:rsid w:val="0074357D"/>
    <w:rsid w:val="00743590"/>
    <w:rsid w:val="0074439F"/>
    <w:rsid w:val="00746D0C"/>
    <w:rsid w:val="007471E0"/>
    <w:rsid w:val="007479D2"/>
    <w:rsid w:val="00750C6E"/>
    <w:rsid w:val="00750D12"/>
    <w:rsid w:val="007528CC"/>
    <w:rsid w:val="00752F65"/>
    <w:rsid w:val="00753BFD"/>
    <w:rsid w:val="00753DBD"/>
    <w:rsid w:val="00753F3B"/>
    <w:rsid w:val="0075505B"/>
    <w:rsid w:val="00755851"/>
    <w:rsid w:val="00755D8E"/>
    <w:rsid w:val="00756225"/>
    <w:rsid w:val="00756804"/>
    <w:rsid w:val="00757037"/>
    <w:rsid w:val="00760282"/>
    <w:rsid w:val="00760455"/>
    <w:rsid w:val="007604D4"/>
    <w:rsid w:val="00761035"/>
    <w:rsid w:val="007614F2"/>
    <w:rsid w:val="00762B27"/>
    <w:rsid w:val="007637A0"/>
    <w:rsid w:val="00765356"/>
    <w:rsid w:val="00765DDB"/>
    <w:rsid w:val="00766B5A"/>
    <w:rsid w:val="00766B9F"/>
    <w:rsid w:val="0076713C"/>
    <w:rsid w:val="00770489"/>
    <w:rsid w:val="00770578"/>
    <w:rsid w:val="00771B12"/>
    <w:rsid w:val="00771C5F"/>
    <w:rsid w:val="00773F83"/>
    <w:rsid w:val="00775CB3"/>
    <w:rsid w:val="007772C0"/>
    <w:rsid w:val="007772DF"/>
    <w:rsid w:val="00782030"/>
    <w:rsid w:val="007823B3"/>
    <w:rsid w:val="00782750"/>
    <w:rsid w:val="0078287F"/>
    <w:rsid w:val="0078388C"/>
    <w:rsid w:val="007846E9"/>
    <w:rsid w:val="00784E73"/>
    <w:rsid w:val="00785217"/>
    <w:rsid w:val="007864F0"/>
    <w:rsid w:val="00786711"/>
    <w:rsid w:val="00787142"/>
    <w:rsid w:val="00790BB7"/>
    <w:rsid w:val="007928E9"/>
    <w:rsid w:val="00792DAF"/>
    <w:rsid w:val="00792ECF"/>
    <w:rsid w:val="00793BD1"/>
    <w:rsid w:val="0079436D"/>
    <w:rsid w:val="00795A93"/>
    <w:rsid w:val="00797415"/>
    <w:rsid w:val="0079793A"/>
    <w:rsid w:val="007A0B4B"/>
    <w:rsid w:val="007A0D65"/>
    <w:rsid w:val="007A2608"/>
    <w:rsid w:val="007A291F"/>
    <w:rsid w:val="007A386A"/>
    <w:rsid w:val="007A3E5C"/>
    <w:rsid w:val="007A46F3"/>
    <w:rsid w:val="007A4E50"/>
    <w:rsid w:val="007A581A"/>
    <w:rsid w:val="007A660D"/>
    <w:rsid w:val="007A744B"/>
    <w:rsid w:val="007B26F7"/>
    <w:rsid w:val="007B27B1"/>
    <w:rsid w:val="007B28A3"/>
    <w:rsid w:val="007B2A22"/>
    <w:rsid w:val="007B3024"/>
    <w:rsid w:val="007B3460"/>
    <w:rsid w:val="007B4156"/>
    <w:rsid w:val="007B4B3E"/>
    <w:rsid w:val="007B5967"/>
    <w:rsid w:val="007B5C94"/>
    <w:rsid w:val="007B65C2"/>
    <w:rsid w:val="007B75F9"/>
    <w:rsid w:val="007B7F3A"/>
    <w:rsid w:val="007C00D8"/>
    <w:rsid w:val="007C0E92"/>
    <w:rsid w:val="007C1697"/>
    <w:rsid w:val="007C181D"/>
    <w:rsid w:val="007C2E6F"/>
    <w:rsid w:val="007C30F7"/>
    <w:rsid w:val="007C38A5"/>
    <w:rsid w:val="007C40BD"/>
    <w:rsid w:val="007C4206"/>
    <w:rsid w:val="007C45F5"/>
    <w:rsid w:val="007C46FC"/>
    <w:rsid w:val="007C5F76"/>
    <w:rsid w:val="007C6717"/>
    <w:rsid w:val="007C7D70"/>
    <w:rsid w:val="007D21FA"/>
    <w:rsid w:val="007D2B25"/>
    <w:rsid w:val="007D3B78"/>
    <w:rsid w:val="007D431F"/>
    <w:rsid w:val="007D5793"/>
    <w:rsid w:val="007D582A"/>
    <w:rsid w:val="007D5E08"/>
    <w:rsid w:val="007D6CDD"/>
    <w:rsid w:val="007D6D2E"/>
    <w:rsid w:val="007D7072"/>
    <w:rsid w:val="007E091D"/>
    <w:rsid w:val="007E167A"/>
    <w:rsid w:val="007E2928"/>
    <w:rsid w:val="007E5B56"/>
    <w:rsid w:val="007E5E69"/>
    <w:rsid w:val="007E5F65"/>
    <w:rsid w:val="007E69A0"/>
    <w:rsid w:val="007E6FAA"/>
    <w:rsid w:val="007F0AB5"/>
    <w:rsid w:val="007F22AE"/>
    <w:rsid w:val="007F2FD5"/>
    <w:rsid w:val="007F3A4D"/>
    <w:rsid w:val="007F3B1E"/>
    <w:rsid w:val="007F3B8D"/>
    <w:rsid w:val="007F3CAA"/>
    <w:rsid w:val="007F4B08"/>
    <w:rsid w:val="007F4D9B"/>
    <w:rsid w:val="007F5803"/>
    <w:rsid w:val="007F5A81"/>
    <w:rsid w:val="007F63D9"/>
    <w:rsid w:val="007F65F6"/>
    <w:rsid w:val="007F6D86"/>
    <w:rsid w:val="007F6E25"/>
    <w:rsid w:val="0080254A"/>
    <w:rsid w:val="0080270E"/>
    <w:rsid w:val="00802740"/>
    <w:rsid w:val="00802B77"/>
    <w:rsid w:val="00802C36"/>
    <w:rsid w:val="008031FA"/>
    <w:rsid w:val="008031FF"/>
    <w:rsid w:val="00803821"/>
    <w:rsid w:val="008039E1"/>
    <w:rsid w:val="008039EE"/>
    <w:rsid w:val="00803FD1"/>
    <w:rsid w:val="00804709"/>
    <w:rsid w:val="00804917"/>
    <w:rsid w:val="008049E8"/>
    <w:rsid w:val="00805B8F"/>
    <w:rsid w:val="00810588"/>
    <w:rsid w:val="00810C9F"/>
    <w:rsid w:val="00811EAE"/>
    <w:rsid w:val="008124C8"/>
    <w:rsid w:val="00813B9C"/>
    <w:rsid w:val="008144E4"/>
    <w:rsid w:val="008147E9"/>
    <w:rsid w:val="00816D91"/>
    <w:rsid w:val="00816E35"/>
    <w:rsid w:val="00817438"/>
    <w:rsid w:val="008174BC"/>
    <w:rsid w:val="00817809"/>
    <w:rsid w:val="00820932"/>
    <w:rsid w:val="00821683"/>
    <w:rsid w:val="00821907"/>
    <w:rsid w:val="008228E0"/>
    <w:rsid w:val="00823CF1"/>
    <w:rsid w:val="00823E8D"/>
    <w:rsid w:val="008244D2"/>
    <w:rsid w:val="008246EE"/>
    <w:rsid w:val="008270C4"/>
    <w:rsid w:val="00827522"/>
    <w:rsid w:val="00827A00"/>
    <w:rsid w:val="00830586"/>
    <w:rsid w:val="0083209B"/>
    <w:rsid w:val="008321E8"/>
    <w:rsid w:val="00832AD2"/>
    <w:rsid w:val="00833ED9"/>
    <w:rsid w:val="00835613"/>
    <w:rsid w:val="00836279"/>
    <w:rsid w:val="00836658"/>
    <w:rsid w:val="00837D9C"/>
    <w:rsid w:val="0084053D"/>
    <w:rsid w:val="00842F76"/>
    <w:rsid w:val="00845884"/>
    <w:rsid w:val="00846D39"/>
    <w:rsid w:val="008476A4"/>
    <w:rsid w:val="00847D37"/>
    <w:rsid w:val="008514A8"/>
    <w:rsid w:val="00851704"/>
    <w:rsid w:val="008519A8"/>
    <w:rsid w:val="00851B3D"/>
    <w:rsid w:val="00852BB3"/>
    <w:rsid w:val="0085309F"/>
    <w:rsid w:val="00853513"/>
    <w:rsid w:val="008537BC"/>
    <w:rsid w:val="00853C11"/>
    <w:rsid w:val="00853E70"/>
    <w:rsid w:val="008545C9"/>
    <w:rsid w:val="008556CA"/>
    <w:rsid w:val="00856D97"/>
    <w:rsid w:val="00857152"/>
    <w:rsid w:val="00857F71"/>
    <w:rsid w:val="00861BA5"/>
    <w:rsid w:val="00861C05"/>
    <w:rsid w:val="00861C32"/>
    <w:rsid w:val="00862E2D"/>
    <w:rsid w:val="0086337A"/>
    <w:rsid w:val="00863859"/>
    <w:rsid w:val="008639F9"/>
    <w:rsid w:val="00863DD5"/>
    <w:rsid w:val="00865136"/>
    <w:rsid w:val="00865F5A"/>
    <w:rsid w:val="00866836"/>
    <w:rsid w:val="00866C74"/>
    <w:rsid w:val="008702B1"/>
    <w:rsid w:val="008706CF"/>
    <w:rsid w:val="00870A4C"/>
    <w:rsid w:val="00871458"/>
    <w:rsid w:val="008714F4"/>
    <w:rsid w:val="00871E00"/>
    <w:rsid w:val="00872BFC"/>
    <w:rsid w:val="00873BCC"/>
    <w:rsid w:val="00874C52"/>
    <w:rsid w:val="00881339"/>
    <w:rsid w:val="00881550"/>
    <w:rsid w:val="00882A40"/>
    <w:rsid w:val="00882D6B"/>
    <w:rsid w:val="0088364C"/>
    <w:rsid w:val="0088397C"/>
    <w:rsid w:val="008841EC"/>
    <w:rsid w:val="00884271"/>
    <w:rsid w:val="00884925"/>
    <w:rsid w:val="008849DE"/>
    <w:rsid w:val="00884ED3"/>
    <w:rsid w:val="008858D5"/>
    <w:rsid w:val="00886495"/>
    <w:rsid w:val="00887F56"/>
    <w:rsid w:val="00891590"/>
    <w:rsid w:val="00892C37"/>
    <w:rsid w:val="00893701"/>
    <w:rsid w:val="0089374F"/>
    <w:rsid w:val="008964DC"/>
    <w:rsid w:val="0089796F"/>
    <w:rsid w:val="008A0DC7"/>
    <w:rsid w:val="008A18EF"/>
    <w:rsid w:val="008A2EB0"/>
    <w:rsid w:val="008A3D64"/>
    <w:rsid w:val="008A620D"/>
    <w:rsid w:val="008A6BDD"/>
    <w:rsid w:val="008A6DB9"/>
    <w:rsid w:val="008B0056"/>
    <w:rsid w:val="008B0383"/>
    <w:rsid w:val="008B1963"/>
    <w:rsid w:val="008B1AD7"/>
    <w:rsid w:val="008B4730"/>
    <w:rsid w:val="008B47E8"/>
    <w:rsid w:val="008B49B9"/>
    <w:rsid w:val="008B4FB6"/>
    <w:rsid w:val="008B5D61"/>
    <w:rsid w:val="008B6FA2"/>
    <w:rsid w:val="008B7131"/>
    <w:rsid w:val="008C0651"/>
    <w:rsid w:val="008C1BCB"/>
    <w:rsid w:val="008C3817"/>
    <w:rsid w:val="008C39AB"/>
    <w:rsid w:val="008C4408"/>
    <w:rsid w:val="008C46E3"/>
    <w:rsid w:val="008C59C7"/>
    <w:rsid w:val="008C652B"/>
    <w:rsid w:val="008C71A1"/>
    <w:rsid w:val="008C7885"/>
    <w:rsid w:val="008C7993"/>
    <w:rsid w:val="008D24D5"/>
    <w:rsid w:val="008D2E13"/>
    <w:rsid w:val="008D31D8"/>
    <w:rsid w:val="008D5C91"/>
    <w:rsid w:val="008D689A"/>
    <w:rsid w:val="008D777A"/>
    <w:rsid w:val="008E169C"/>
    <w:rsid w:val="008E1B2D"/>
    <w:rsid w:val="008E1C3A"/>
    <w:rsid w:val="008E3CEF"/>
    <w:rsid w:val="008E3D4F"/>
    <w:rsid w:val="008E4ADE"/>
    <w:rsid w:val="008E71B8"/>
    <w:rsid w:val="008E71DF"/>
    <w:rsid w:val="008E7454"/>
    <w:rsid w:val="008E787A"/>
    <w:rsid w:val="008F094C"/>
    <w:rsid w:val="008F2649"/>
    <w:rsid w:val="008F3FDE"/>
    <w:rsid w:val="008F4385"/>
    <w:rsid w:val="008F5616"/>
    <w:rsid w:val="008F56C8"/>
    <w:rsid w:val="008F6081"/>
    <w:rsid w:val="008F6348"/>
    <w:rsid w:val="008F7255"/>
    <w:rsid w:val="008F74DF"/>
    <w:rsid w:val="008F77CC"/>
    <w:rsid w:val="008F7FA3"/>
    <w:rsid w:val="009006F9"/>
    <w:rsid w:val="00901EF0"/>
    <w:rsid w:val="00902720"/>
    <w:rsid w:val="00902B5F"/>
    <w:rsid w:val="00903965"/>
    <w:rsid w:val="00904197"/>
    <w:rsid w:val="009078F5"/>
    <w:rsid w:val="00907AA2"/>
    <w:rsid w:val="00907DFA"/>
    <w:rsid w:val="009112A9"/>
    <w:rsid w:val="00912A4E"/>
    <w:rsid w:val="00912B35"/>
    <w:rsid w:val="00912E65"/>
    <w:rsid w:val="00913011"/>
    <w:rsid w:val="0091357E"/>
    <w:rsid w:val="009135DD"/>
    <w:rsid w:val="009136B8"/>
    <w:rsid w:val="009143AB"/>
    <w:rsid w:val="00914A77"/>
    <w:rsid w:val="00916746"/>
    <w:rsid w:val="00917020"/>
    <w:rsid w:val="00917040"/>
    <w:rsid w:val="009176E7"/>
    <w:rsid w:val="0092167D"/>
    <w:rsid w:val="009224B9"/>
    <w:rsid w:val="009234ED"/>
    <w:rsid w:val="00923723"/>
    <w:rsid w:val="00923F50"/>
    <w:rsid w:val="00924078"/>
    <w:rsid w:val="009250A6"/>
    <w:rsid w:val="009253C5"/>
    <w:rsid w:val="00925669"/>
    <w:rsid w:val="00926764"/>
    <w:rsid w:val="00926C47"/>
    <w:rsid w:val="00926CA4"/>
    <w:rsid w:val="00926D86"/>
    <w:rsid w:val="00931DDC"/>
    <w:rsid w:val="009324BE"/>
    <w:rsid w:val="00933C31"/>
    <w:rsid w:val="0093454B"/>
    <w:rsid w:val="00934E7F"/>
    <w:rsid w:val="009350C6"/>
    <w:rsid w:val="00935187"/>
    <w:rsid w:val="0093575A"/>
    <w:rsid w:val="0093588D"/>
    <w:rsid w:val="00935CB8"/>
    <w:rsid w:val="009363ED"/>
    <w:rsid w:val="00936B0D"/>
    <w:rsid w:val="00936C09"/>
    <w:rsid w:val="0093780C"/>
    <w:rsid w:val="00937917"/>
    <w:rsid w:val="00937FA9"/>
    <w:rsid w:val="00941523"/>
    <w:rsid w:val="00943273"/>
    <w:rsid w:val="0094395E"/>
    <w:rsid w:val="0094474A"/>
    <w:rsid w:val="00944864"/>
    <w:rsid w:val="00944865"/>
    <w:rsid w:val="00944C6D"/>
    <w:rsid w:val="00945249"/>
    <w:rsid w:val="00946D2A"/>
    <w:rsid w:val="009473A3"/>
    <w:rsid w:val="009475D7"/>
    <w:rsid w:val="00947E96"/>
    <w:rsid w:val="009509A3"/>
    <w:rsid w:val="00951562"/>
    <w:rsid w:val="00951576"/>
    <w:rsid w:val="00951973"/>
    <w:rsid w:val="009526E0"/>
    <w:rsid w:val="00952EA3"/>
    <w:rsid w:val="00953A26"/>
    <w:rsid w:val="00953F80"/>
    <w:rsid w:val="00954370"/>
    <w:rsid w:val="009554FA"/>
    <w:rsid w:val="00955802"/>
    <w:rsid w:val="00955B0B"/>
    <w:rsid w:val="009567A9"/>
    <w:rsid w:val="00957728"/>
    <w:rsid w:val="00957FC9"/>
    <w:rsid w:val="0096096B"/>
    <w:rsid w:val="00960C61"/>
    <w:rsid w:val="0096121F"/>
    <w:rsid w:val="00961946"/>
    <w:rsid w:val="0096221B"/>
    <w:rsid w:val="009622C6"/>
    <w:rsid w:val="0096287C"/>
    <w:rsid w:val="00962BE0"/>
    <w:rsid w:val="009634EC"/>
    <w:rsid w:val="009642F3"/>
    <w:rsid w:val="009644BD"/>
    <w:rsid w:val="009646A6"/>
    <w:rsid w:val="00965A5E"/>
    <w:rsid w:val="00965DFA"/>
    <w:rsid w:val="00966044"/>
    <w:rsid w:val="009664F8"/>
    <w:rsid w:val="00966762"/>
    <w:rsid w:val="009667B5"/>
    <w:rsid w:val="00967096"/>
    <w:rsid w:val="00967324"/>
    <w:rsid w:val="00970CDB"/>
    <w:rsid w:val="009712D2"/>
    <w:rsid w:val="00972719"/>
    <w:rsid w:val="00973203"/>
    <w:rsid w:val="009734DB"/>
    <w:rsid w:val="0097370F"/>
    <w:rsid w:val="00973BAA"/>
    <w:rsid w:val="00974205"/>
    <w:rsid w:val="00975213"/>
    <w:rsid w:val="00976497"/>
    <w:rsid w:val="00976AFA"/>
    <w:rsid w:val="00976EC4"/>
    <w:rsid w:val="00977F69"/>
    <w:rsid w:val="0098127F"/>
    <w:rsid w:val="00982C11"/>
    <w:rsid w:val="00983125"/>
    <w:rsid w:val="00983B80"/>
    <w:rsid w:val="00983D38"/>
    <w:rsid w:val="00983F3F"/>
    <w:rsid w:val="009842B9"/>
    <w:rsid w:val="009855F1"/>
    <w:rsid w:val="00985BC0"/>
    <w:rsid w:val="00986500"/>
    <w:rsid w:val="00990DE5"/>
    <w:rsid w:val="0099175E"/>
    <w:rsid w:val="0099371B"/>
    <w:rsid w:val="00994A3D"/>
    <w:rsid w:val="00996342"/>
    <w:rsid w:val="00996BA3"/>
    <w:rsid w:val="009A0580"/>
    <w:rsid w:val="009A230A"/>
    <w:rsid w:val="009A26C0"/>
    <w:rsid w:val="009A2F1F"/>
    <w:rsid w:val="009A39B9"/>
    <w:rsid w:val="009A40C8"/>
    <w:rsid w:val="009A4C01"/>
    <w:rsid w:val="009A4CDF"/>
    <w:rsid w:val="009A5A70"/>
    <w:rsid w:val="009A685E"/>
    <w:rsid w:val="009A6C97"/>
    <w:rsid w:val="009A7659"/>
    <w:rsid w:val="009A7726"/>
    <w:rsid w:val="009B080E"/>
    <w:rsid w:val="009B19DC"/>
    <w:rsid w:val="009B3610"/>
    <w:rsid w:val="009B42C8"/>
    <w:rsid w:val="009B4DE3"/>
    <w:rsid w:val="009B4F26"/>
    <w:rsid w:val="009B6797"/>
    <w:rsid w:val="009B6CEE"/>
    <w:rsid w:val="009B6D95"/>
    <w:rsid w:val="009C1B00"/>
    <w:rsid w:val="009C1D48"/>
    <w:rsid w:val="009C287A"/>
    <w:rsid w:val="009C3BE9"/>
    <w:rsid w:val="009C44C6"/>
    <w:rsid w:val="009C451B"/>
    <w:rsid w:val="009C6348"/>
    <w:rsid w:val="009C69B3"/>
    <w:rsid w:val="009C6CB6"/>
    <w:rsid w:val="009C7CB2"/>
    <w:rsid w:val="009D0601"/>
    <w:rsid w:val="009D342B"/>
    <w:rsid w:val="009D5E5A"/>
    <w:rsid w:val="009D6089"/>
    <w:rsid w:val="009D618B"/>
    <w:rsid w:val="009D671B"/>
    <w:rsid w:val="009D6D26"/>
    <w:rsid w:val="009D74FD"/>
    <w:rsid w:val="009E1187"/>
    <w:rsid w:val="009E1F26"/>
    <w:rsid w:val="009E23DD"/>
    <w:rsid w:val="009E465A"/>
    <w:rsid w:val="009E4A03"/>
    <w:rsid w:val="009E4A42"/>
    <w:rsid w:val="009E5FA3"/>
    <w:rsid w:val="009F04E8"/>
    <w:rsid w:val="009F0A1C"/>
    <w:rsid w:val="009F0CA7"/>
    <w:rsid w:val="009F10CB"/>
    <w:rsid w:val="009F116F"/>
    <w:rsid w:val="009F18D7"/>
    <w:rsid w:val="009F3A1F"/>
    <w:rsid w:val="009F3BF2"/>
    <w:rsid w:val="009F5F8F"/>
    <w:rsid w:val="009F6E40"/>
    <w:rsid w:val="009F7795"/>
    <w:rsid w:val="00A00483"/>
    <w:rsid w:val="00A01618"/>
    <w:rsid w:val="00A018C6"/>
    <w:rsid w:val="00A01B97"/>
    <w:rsid w:val="00A0292F"/>
    <w:rsid w:val="00A03292"/>
    <w:rsid w:val="00A03352"/>
    <w:rsid w:val="00A03C1C"/>
    <w:rsid w:val="00A06672"/>
    <w:rsid w:val="00A06995"/>
    <w:rsid w:val="00A10C45"/>
    <w:rsid w:val="00A10D24"/>
    <w:rsid w:val="00A114BE"/>
    <w:rsid w:val="00A11C25"/>
    <w:rsid w:val="00A12287"/>
    <w:rsid w:val="00A12307"/>
    <w:rsid w:val="00A12722"/>
    <w:rsid w:val="00A131E6"/>
    <w:rsid w:val="00A13E5E"/>
    <w:rsid w:val="00A14FD5"/>
    <w:rsid w:val="00A15549"/>
    <w:rsid w:val="00A15E6B"/>
    <w:rsid w:val="00A1638F"/>
    <w:rsid w:val="00A20003"/>
    <w:rsid w:val="00A203BB"/>
    <w:rsid w:val="00A23538"/>
    <w:rsid w:val="00A262EC"/>
    <w:rsid w:val="00A27675"/>
    <w:rsid w:val="00A30679"/>
    <w:rsid w:val="00A306AF"/>
    <w:rsid w:val="00A30DF0"/>
    <w:rsid w:val="00A31377"/>
    <w:rsid w:val="00A321FB"/>
    <w:rsid w:val="00A32897"/>
    <w:rsid w:val="00A33021"/>
    <w:rsid w:val="00A3384A"/>
    <w:rsid w:val="00A367AB"/>
    <w:rsid w:val="00A375ED"/>
    <w:rsid w:val="00A3783F"/>
    <w:rsid w:val="00A4098B"/>
    <w:rsid w:val="00A41473"/>
    <w:rsid w:val="00A4184A"/>
    <w:rsid w:val="00A41AD7"/>
    <w:rsid w:val="00A434FF"/>
    <w:rsid w:val="00A45453"/>
    <w:rsid w:val="00A46443"/>
    <w:rsid w:val="00A47517"/>
    <w:rsid w:val="00A5075E"/>
    <w:rsid w:val="00A51429"/>
    <w:rsid w:val="00A51D40"/>
    <w:rsid w:val="00A52E98"/>
    <w:rsid w:val="00A538D5"/>
    <w:rsid w:val="00A5457C"/>
    <w:rsid w:val="00A554A0"/>
    <w:rsid w:val="00A55EB8"/>
    <w:rsid w:val="00A56900"/>
    <w:rsid w:val="00A5764C"/>
    <w:rsid w:val="00A60006"/>
    <w:rsid w:val="00A6129B"/>
    <w:rsid w:val="00A61794"/>
    <w:rsid w:val="00A6261C"/>
    <w:rsid w:val="00A62A9C"/>
    <w:rsid w:val="00A62DBE"/>
    <w:rsid w:val="00A62EFC"/>
    <w:rsid w:val="00A65A02"/>
    <w:rsid w:val="00A66C1D"/>
    <w:rsid w:val="00A678CD"/>
    <w:rsid w:val="00A67F34"/>
    <w:rsid w:val="00A70B08"/>
    <w:rsid w:val="00A71250"/>
    <w:rsid w:val="00A713A7"/>
    <w:rsid w:val="00A72C4D"/>
    <w:rsid w:val="00A72FFC"/>
    <w:rsid w:val="00A73729"/>
    <w:rsid w:val="00A73E05"/>
    <w:rsid w:val="00A751FE"/>
    <w:rsid w:val="00A753C0"/>
    <w:rsid w:val="00A75B67"/>
    <w:rsid w:val="00A75C4E"/>
    <w:rsid w:val="00A75D86"/>
    <w:rsid w:val="00A76FBF"/>
    <w:rsid w:val="00A771B8"/>
    <w:rsid w:val="00A774E7"/>
    <w:rsid w:val="00A77A54"/>
    <w:rsid w:val="00A77BF6"/>
    <w:rsid w:val="00A8042B"/>
    <w:rsid w:val="00A8108F"/>
    <w:rsid w:val="00A8119F"/>
    <w:rsid w:val="00A8138C"/>
    <w:rsid w:val="00A81511"/>
    <w:rsid w:val="00A817DF"/>
    <w:rsid w:val="00A81843"/>
    <w:rsid w:val="00A83FAA"/>
    <w:rsid w:val="00A85EF2"/>
    <w:rsid w:val="00A8601B"/>
    <w:rsid w:val="00A87C0A"/>
    <w:rsid w:val="00A87DA4"/>
    <w:rsid w:val="00A9055C"/>
    <w:rsid w:val="00A90A5F"/>
    <w:rsid w:val="00A912EC"/>
    <w:rsid w:val="00A916C9"/>
    <w:rsid w:val="00A932E7"/>
    <w:rsid w:val="00A9372E"/>
    <w:rsid w:val="00A9425E"/>
    <w:rsid w:val="00A95C8E"/>
    <w:rsid w:val="00A966DD"/>
    <w:rsid w:val="00A9754A"/>
    <w:rsid w:val="00A97D6D"/>
    <w:rsid w:val="00AA0FB9"/>
    <w:rsid w:val="00AA108E"/>
    <w:rsid w:val="00AA1D1C"/>
    <w:rsid w:val="00AA2666"/>
    <w:rsid w:val="00AA30CD"/>
    <w:rsid w:val="00AA3D21"/>
    <w:rsid w:val="00AA4592"/>
    <w:rsid w:val="00AA4B7A"/>
    <w:rsid w:val="00AA5427"/>
    <w:rsid w:val="00AA7433"/>
    <w:rsid w:val="00AB00B9"/>
    <w:rsid w:val="00AB2E6B"/>
    <w:rsid w:val="00AB402A"/>
    <w:rsid w:val="00AB5064"/>
    <w:rsid w:val="00AB534C"/>
    <w:rsid w:val="00AB53EB"/>
    <w:rsid w:val="00AB63F6"/>
    <w:rsid w:val="00AB6FE4"/>
    <w:rsid w:val="00AB7704"/>
    <w:rsid w:val="00AB7D1C"/>
    <w:rsid w:val="00AC2285"/>
    <w:rsid w:val="00AC2854"/>
    <w:rsid w:val="00AC2967"/>
    <w:rsid w:val="00AC2C80"/>
    <w:rsid w:val="00AC3B34"/>
    <w:rsid w:val="00AC40BD"/>
    <w:rsid w:val="00AC46B2"/>
    <w:rsid w:val="00AC610B"/>
    <w:rsid w:val="00AC6C80"/>
    <w:rsid w:val="00AC798A"/>
    <w:rsid w:val="00AD0B6A"/>
    <w:rsid w:val="00AD118C"/>
    <w:rsid w:val="00AD2146"/>
    <w:rsid w:val="00AD3D47"/>
    <w:rsid w:val="00AD4294"/>
    <w:rsid w:val="00AD594E"/>
    <w:rsid w:val="00AD65F5"/>
    <w:rsid w:val="00AD6CCB"/>
    <w:rsid w:val="00AD7F4B"/>
    <w:rsid w:val="00AE11E0"/>
    <w:rsid w:val="00AE1A54"/>
    <w:rsid w:val="00AE1FA4"/>
    <w:rsid w:val="00AE1FA8"/>
    <w:rsid w:val="00AE248F"/>
    <w:rsid w:val="00AE2729"/>
    <w:rsid w:val="00AE2ED7"/>
    <w:rsid w:val="00AE3AD7"/>
    <w:rsid w:val="00AE47A3"/>
    <w:rsid w:val="00AE486A"/>
    <w:rsid w:val="00AE522F"/>
    <w:rsid w:val="00AE5486"/>
    <w:rsid w:val="00AE559C"/>
    <w:rsid w:val="00AE5DBF"/>
    <w:rsid w:val="00AF0481"/>
    <w:rsid w:val="00AF060F"/>
    <w:rsid w:val="00AF0891"/>
    <w:rsid w:val="00AF0A29"/>
    <w:rsid w:val="00AF0FF0"/>
    <w:rsid w:val="00AF152B"/>
    <w:rsid w:val="00AF268B"/>
    <w:rsid w:val="00AF28A1"/>
    <w:rsid w:val="00AF3521"/>
    <w:rsid w:val="00AF3900"/>
    <w:rsid w:val="00AF5B81"/>
    <w:rsid w:val="00B0017A"/>
    <w:rsid w:val="00B01138"/>
    <w:rsid w:val="00B01218"/>
    <w:rsid w:val="00B01676"/>
    <w:rsid w:val="00B03599"/>
    <w:rsid w:val="00B04DC3"/>
    <w:rsid w:val="00B05981"/>
    <w:rsid w:val="00B05FF9"/>
    <w:rsid w:val="00B061B9"/>
    <w:rsid w:val="00B10153"/>
    <w:rsid w:val="00B105A7"/>
    <w:rsid w:val="00B1179F"/>
    <w:rsid w:val="00B13121"/>
    <w:rsid w:val="00B134C6"/>
    <w:rsid w:val="00B13C16"/>
    <w:rsid w:val="00B14D3B"/>
    <w:rsid w:val="00B155AF"/>
    <w:rsid w:val="00B1632B"/>
    <w:rsid w:val="00B16559"/>
    <w:rsid w:val="00B16D30"/>
    <w:rsid w:val="00B17E60"/>
    <w:rsid w:val="00B211C6"/>
    <w:rsid w:val="00B21979"/>
    <w:rsid w:val="00B22230"/>
    <w:rsid w:val="00B2273F"/>
    <w:rsid w:val="00B22A14"/>
    <w:rsid w:val="00B236EE"/>
    <w:rsid w:val="00B24A9A"/>
    <w:rsid w:val="00B24CFB"/>
    <w:rsid w:val="00B25220"/>
    <w:rsid w:val="00B26D5A"/>
    <w:rsid w:val="00B309DE"/>
    <w:rsid w:val="00B30EEB"/>
    <w:rsid w:val="00B31C5D"/>
    <w:rsid w:val="00B33473"/>
    <w:rsid w:val="00B334BA"/>
    <w:rsid w:val="00B36DE2"/>
    <w:rsid w:val="00B3793D"/>
    <w:rsid w:val="00B37B6D"/>
    <w:rsid w:val="00B40815"/>
    <w:rsid w:val="00B41FA1"/>
    <w:rsid w:val="00B42970"/>
    <w:rsid w:val="00B45625"/>
    <w:rsid w:val="00B45AE8"/>
    <w:rsid w:val="00B465C9"/>
    <w:rsid w:val="00B46A6E"/>
    <w:rsid w:val="00B511C7"/>
    <w:rsid w:val="00B51415"/>
    <w:rsid w:val="00B51597"/>
    <w:rsid w:val="00B5160B"/>
    <w:rsid w:val="00B5238E"/>
    <w:rsid w:val="00B52A0D"/>
    <w:rsid w:val="00B55E79"/>
    <w:rsid w:val="00B56820"/>
    <w:rsid w:val="00B569C7"/>
    <w:rsid w:val="00B57CE2"/>
    <w:rsid w:val="00B60745"/>
    <w:rsid w:val="00B617CC"/>
    <w:rsid w:val="00B62541"/>
    <w:rsid w:val="00B641CF"/>
    <w:rsid w:val="00B65A68"/>
    <w:rsid w:val="00B66A91"/>
    <w:rsid w:val="00B6795C"/>
    <w:rsid w:val="00B70523"/>
    <w:rsid w:val="00B7123F"/>
    <w:rsid w:val="00B71328"/>
    <w:rsid w:val="00B735EE"/>
    <w:rsid w:val="00B7387D"/>
    <w:rsid w:val="00B750E1"/>
    <w:rsid w:val="00B751CA"/>
    <w:rsid w:val="00B76215"/>
    <w:rsid w:val="00B804BD"/>
    <w:rsid w:val="00B811A4"/>
    <w:rsid w:val="00B814D0"/>
    <w:rsid w:val="00B81768"/>
    <w:rsid w:val="00B8348B"/>
    <w:rsid w:val="00B85A52"/>
    <w:rsid w:val="00B902C8"/>
    <w:rsid w:val="00B91211"/>
    <w:rsid w:val="00B912A3"/>
    <w:rsid w:val="00B914F2"/>
    <w:rsid w:val="00B91C46"/>
    <w:rsid w:val="00B923E5"/>
    <w:rsid w:val="00B93C9D"/>
    <w:rsid w:val="00B946A9"/>
    <w:rsid w:val="00B947B0"/>
    <w:rsid w:val="00B95AAC"/>
    <w:rsid w:val="00B95D1E"/>
    <w:rsid w:val="00B96491"/>
    <w:rsid w:val="00B969BC"/>
    <w:rsid w:val="00B96D35"/>
    <w:rsid w:val="00B96E96"/>
    <w:rsid w:val="00BA1F77"/>
    <w:rsid w:val="00BA260C"/>
    <w:rsid w:val="00BA2D9E"/>
    <w:rsid w:val="00BA3090"/>
    <w:rsid w:val="00BA38BB"/>
    <w:rsid w:val="00BA3BF9"/>
    <w:rsid w:val="00BA5313"/>
    <w:rsid w:val="00BA770C"/>
    <w:rsid w:val="00BA77D9"/>
    <w:rsid w:val="00BA7FE1"/>
    <w:rsid w:val="00BB049D"/>
    <w:rsid w:val="00BB0DE7"/>
    <w:rsid w:val="00BB1A15"/>
    <w:rsid w:val="00BB2B2E"/>
    <w:rsid w:val="00BB37BF"/>
    <w:rsid w:val="00BB3DFB"/>
    <w:rsid w:val="00BB41DC"/>
    <w:rsid w:val="00BB4CA8"/>
    <w:rsid w:val="00BB5D41"/>
    <w:rsid w:val="00BB68A4"/>
    <w:rsid w:val="00BB745E"/>
    <w:rsid w:val="00BB7CC0"/>
    <w:rsid w:val="00BC0D1D"/>
    <w:rsid w:val="00BC0E30"/>
    <w:rsid w:val="00BC240A"/>
    <w:rsid w:val="00BC275C"/>
    <w:rsid w:val="00BC285A"/>
    <w:rsid w:val="00BC2EE4"/>
    <w:rsid w:val="00BC709C"/>
    <w:rsid w:val="00BC70EA"/>
    <w:rsid w:val="00BC71BC"/>
    <w:rsid w:val="00BC73DE"/>
    <w:rsid w:val="00BC7B74"/>
    <w:rsid w:val="00BD02FE"/>
    <w:rsid w:val="00BD0875"/>
    <w:rsid w:val="00BD091B"/>
    <w:rsid w:val="00BD120C"/>
    <w:rsid w:val="00BD1D4B"/>
    <w:rsid w:val="00BD202B"/>
    <w:rsid w:val="00BD370B"/>
    <w:rsid w:val="00BD3A47"/>
    <w:rsid w:val="00BD3A7B"/>
    <w:rsid w:val="00BD4D8B"/>
    <w:rsid w:val="00BD50DB"/>
    <w:rsid w:val="00BD61C7"/>
    <w:rsid w:val="00BD70C7"/>
    <w:rsid w:val="00BD7506"/>
    <w:rsid w:val="00BE0593"/>
    <w:rsid w:val="00BE1774"/>
    <w:rsid w:val="00BE24AD"/>
    <w:rsid w:val="00BE284E"/>
    <w:rsid w:val="00BE3BAA"/>
    <w:rsid w:val="00BE493F"/>
    <w:rsid w:val="00BE54CC"/>
    <w:rsid w:val="00BE677F"/>
    <w:rsid w:val="00BE781F"/>
    <w:rsid w:val="00BF06BD"/>
    <w:rsid w:val="00BF08BA"/>
    <w:rsid w:val="00BF09F8"/>
    <w:rsid w:val="00BF12CB"/>
    <w:rsid w:val="00BF17EA"/>
    <w:rsid w:val="00BF1B2A"/>
    <w:rsid w:val="00BF1DB0"/>
    <w:rsid w:val="00BF2E31"/>
    <w:rsid w:val="00BF3AAB"/>
    <w:rsid w:val="00BF4EE8"/>
    <w:rsid w:val="00BF590C"/>
    <w:rsid w:val="00BF6E9D"/>
    <w:rsid w:val="00BF7841"/>
    <w:rsid w:val="00C0094B"/>
    <w:rsid w:val="00C014F6"/>
    <w:rsid w:val="00C02073"/>
    <w:rsid w:val="00C022E8"/>
    <w:rsid w:val="00C03060"/>
    <w:rsid w:val="00C03A78"/>
    <w:rsid w:val="00C03C7C"/>
    <w:rsid w:val="00C04657"/>
    <w:rsid w:val="00C0647E"/>
    <w:rsid w:val="00C06BFD"/>
    <w:rsid w:val="00C10CD3"/>
    <w:rsid w:val="00C11D84"/>
    <w:rsid w:val="00C139DD"/>
    <w:rsid w:val="00C14984"/>
    <w:rsid w:val="00C15515"/>
    <w:rsid w:val="00C159D4"/>
    <w:rsid w:val="00C15F27"/>
    <w:rsid w:val="00C1775C"/>
    <w:rsid w:val="00C20467"/>
    <w:rsid w:val="00C21A87"/>
    <w:rsid w:val="00C21E60"/>
    <w:rsid w:val="00C237FE"/>
    <w:rsid w:val="00C23952"/>
    <w:rsid w:val="00C23B94"/>
    <w:rsid w:val="00C252BF"/>
    <w:rsid w:val="00C25664"/>
    <w:rsid w:val="00C26623"/>
    <w:rsid w:val="00C26BCA"/>
    <w:rsid w:val="00C27B8E"/>
    <w:rsid w:val="00C31C90"/>
    <w:rsid w:val="00C3226C"/>
    <w:rsid w:val="00C3277A"/>
    <w:rsid w:val="00C33358"/>
    <w:rsid w:val="00C33445"/>
    <w:rsid w:val="00C33610"/>
    <w:rsid w:val="00C33694"/>
    <w:rsid w:val="00C339DC"/>
    <w:rsid w:val="00C357E2"/>
    <w:rsid w:val="00C35C01"/>
    <w:rsid w:val="00C35D28"/>
    <w:rsid w:val="00C35EE2"/>
    <w:rsid w:val="00C41145"/>
    <w:rsid w:val="00C4193B"/>
    <w:rsid w:val="00C42F0B"/>
    <w:rsid w:val="00C44DAA"/>
    <w:rsid w:val="00C45983"/>
    <w:rsid w:val="00C50242"/>
    <w:rsid w:val="00C505B1"/>
    <w:rsid w:val="00C5113A"/>
    <w:rsid w:val="00C5192F"/>
    <w:rsid w:val="00C52A7F"/>
    <w:rsid w:val="00C52E39"/>
    <w:rsid w:val="00C52F52"/>
    <w:rsid w:val="00C54CE3"/>
    <w:rsid w:val="00C55882"/>
    <w:rsid w:val="00C55BED"/>
    <w:rsid w:val="00C56C27"/>
    <w:rsid w:val="00C60C99"/>
    <w:rsid w:val="00C63037"/>
    <w:rsid w:val="00C6347C"/>
    <w:rsid w:val="00C64410"/>
    <w:rsid w:val="00C647E9"/>
    <w:rsid w:val="00C6570C"/>
    <w:rsid w:val="00C66D1A"/>
    <w:rsid w:val="00C66EE4"/>
    <w:rsid w:val="00C710B9"/>
    <w:rsid w:val="00C7197B"/>
    <w:rsid w:val="00C726EE"/>
    <w:rsid w:val="00C72BED"/>
    <w:rsid w:val="00C73BB0"/>
    <w:rsid w:val="00C746E1"/>
    <w:rsid w:val="00C7671A"/>
    <w:rsid w:val="00C80338"/>
    <w:rsid w:val="00C819D6"/>
    <w:rsid w:val="00C823E0"/>
    <w:rsid w:val="00C8470C"/>
    <w:rsid w:val="00C84CCD"/>
    <w:rsid w:val="00C855C7"/>
    <w:rsid w:val="00C8575D"/>
    <w:rsid w:val="00C860DE"/>
    <w:rsid w:val="00C9228F"/>
    <w:rsid w:val="00C926D7"/>
    <w:rsid w:val="00C92B34"/>
    <w:rsid w:val="00C92B71"/>
    <w:rsid w:val="00C932A8"/>
    <w:rsid w:val="00C943F5"/>
    <w:rsid w:val="00C94E7F"/>
    <w:rsid w:val="00C97AB7"/>
    <w:rsid w:val="00CA004E"/>
    <w:rsid w:val="00CA1ABC"/>
    <w:rsid w:val="00CA25BC"/>
    <w:rsid w:val="00CA386D"/>
    <w:rsid w:val="00CA4781"/>
    <w:rsid w:val="00CA543D"/>
    <w:rsid w:val="00CA5CD6"/>
    <w:rsid w:val="00CB039D"/>
    <w:rsid w:val="00CB2F53"/>
    <w:rsid w:val="00CB3303"/>
    <w:rsid w:val="00CB35E3"/>
    <w:rsid w:val="00CB3743"/>
    <w:rsid w:val="00CB4701"/>
    <w:rsid w:val="00CB7A6F"/>
    <w:rsid w:val="00CC09D6"/>
    <w:rsid w:val="00CC1137"/>
    <w:rsid w:val="00CC13C4"/>
    <w:rsid w:val="00CC3593"/>
    <w:rsid w:val="00CC7025"/>
    <w:rsid w:val="00CC75FE"/>
    <w:rsid w:val="00CD4DD4"/>
    <w:rsid w:val="00CD57D1"/>
    <w:rsid w:val="00CD57DB"/>
    <w:rsid w:val="00CD7853"/>
    <w:rsid w:val="00CE01D3"/>
    <w:rsid w:val="00CE173A"/>
    <w:rsid w:val="00CE1851"/>
    <w:rsid w:val="00CE22E2"/>
    <w:rsid w:val="00CE23BF"/>
    <w:rsid w:val="00CE23FA"/>
    <w:rsid w:val="00CE2B1B"/>
    <w:rsid w:val="00CE4BA6"/>
    <w:rsid w:val="00CE4C47"/>
    <w:rsid w:val="00CE6BBC"/>
    <w:rsid w:val="00CE7029"/>
    <w:rsid w:val="00CE70F6"/>
    <w:rsid w:val="00CF0606"/>
    <w:rsid w:val="00CF0FCF"/>
    <w:rsid w:val="00CF139B"/>
    <w:rsid w:val="00CF24B9"/>
    <w:rsid w:val="00CF4692"/>
    <w:rsid w:val="00CF4AC3"/>
    <w:rsid w:val="00CF5186"/>
    <w:rsid w:val="00CF53E2"/>
    <w:rsid w:val="00CF55A5"/>
    <w:rsid w:val="00CF6098"/>
    <w:rsid w:val="00CF653F"/>
    <w:rsid w:val="00CF6B1B"/>
    <w:rsid w:val="00D00C9B"/>
    <w:rsid w:val="00D01EC9"/>
    <w:rsid w:val="00D02458"/>
    <w:rsid w:val="00D02C5A"/>
    <w:rsid w:val="00D04347"/>
    <w:rsid w:val="00D0470E"/>
    <w:rsid w:val="00D04968"/>
    <w:rsid w:val="00D05223"/>
    <w:rsid w:val="00D05D7E"/>
    <w:rsid w:val="00D06048"/>
    <w:rsid w:val="00D061C8"/>
    <w:rsid w:val="00D064BA"/>
    <w:rsid w:val="00D06E8D"/>
    <w:rsid w:val="00D0752B"/>
    <w:rsid w:val="00D10968"/>
    <w:rsid w:val="00D10C50"/>
    <w:rsid w:val="00D1192E"/>
    <w:rsid w:val="00D130E9"/>
    <w:rsid w:val="00D1452E"/>
    <w:rsid w:val="00D14AF1"/>
    <w:rsid w:val="00D15609"/>
    <w:rsid w:val="00D15D79"/>
    <w:rsid w:val="00D15F19"/>
    <w:rsid w:val="00D16C11"/>
    <w:rsid w:val="00D16F40"/>
    <w:rsid w:val="00D16F44"/>
    <w:rsid w:val="00D17196"/>
    <w:rsid w:val="00D20A14"/>
    <w:rsid w:val="00D21096"/>
    <w:rsid w:val="00D21201"/>
    <w:rsid w:val="00D21308"/>
    <w:rsid w:val="00D21929"/>
    <w:rsid w:val="00D219BC"/>
    <w:rsid w:val="00D228AD"/>
    <w:rsid w:val="00D246D7"/>
    <w:rsid w:val="00D252D6"/>
    <w:rsid w:val="00D25452"/>
    <w:rsid w:val="00D25B15"/>
    <w:rsid w:val="00D26C8D"/>
    <w:rsid w:val="00D2780A"/>
    <w:rsid w:val="00D2780D"/>
    <w:rsid w:val="00D27F13"/>
    <w:rsid w:val="00D304B3"/>
    <w:rsid w:val="00D30682"/>
    <w:rsid w:val="00D307BD"/>
    <w:rsid w:val="00D312CD"/>
    <w:rsid w:val="00D32008"/>
    <w:rsid w:val="00D331B3"/>
    <w:rsid w:val="00D3340A"/>
    <w:rsid w:val="00D33889"/>
    <w:rsid w:val="00D3388C"/>
    <w:rsid w:val="00D37275"/>
    <w:rsid w:val="00D377A7"/>
    <w:rsid w:val="00D37BC6"/>
    <w:rsid w:val="00D40B2C"/>
    <w:rsid w:val="00D40C15"/>
    <w:rsid w:val="00D427E2"/>
    <w:rsid w:val="00D428A3"/>
    <w:rsid w:val="00D4290B"/>
    <w:rsid w:val="00D43B9B"/>
    <w:rsid w:val="00D4413F"/>
    <w:rsid w:val="00D44512"/>
    <w:rsid w:val="00D453E2"/>
    <w:rsid w:val="00D454C7"/>
    <w:rsid w:val="00D4648A"/>
    <w:rsid w:val="00D465F9"/>
    <w:rsid w:val="00D473A4"/>
    <w:rsid w:val="00D4759E"/>
    <w:rsid w:val="00D475F4"/>
    <w:rsid w:val="00D505DD"/>
    <w:rsid w:val="00D50A7A"/>
    <w:rsid w:val="00D50D6C"/>
    <w:rsid w:val="00D51B0B"/>
    <w:rsid w:val="00D528D7"/>
    <w:rsid w:val="00D53D76"/>
    <w:rsid w:val="00D54378"/>
    <w:rsid w:val="00D5650C"/>
    <w:rsid w:val="00D56FC6"/>
    <w:rsid w:val="00D60305"/>
    <w:rsid w:val="00D60898"/>
    <w:rsid w:val="00D60BE0"/>
    <w:rsid w:val="00D60BFA"/>
    <w:rsid w:val="00D6169B"/>
    <w:rsid w:val="00D61BE0"/>
    <w:rsid w:val="00D633E6"/>
    <w:rsid w:val="00D645A3"/>
    <w:rsid w:val="00D64AA2"/>
    <w:rsid w:val="00D6609E"/>
    <w:rsid w:val="00D667B0"/>
    <w:rsid w:val="00D66A2B"/>
    <w:rsid w:val="00D66DCF"/>
    <w:rsid w:val="00D718F6"/>
    <w:rsid w:val="00D72608"/>
    <w:rsid w:val="00D72CBC"/>
    <w:rsid w:val="00D736E1"/>
    <w:rsid w:val="00D73930"/>
    <w:rsid w:val="00D74799"/>
    <w:rsid w:val="00D75857"/>
    <w:rsid w:val="00D75895"/>
    <w:rsid w:val="00D761A1"/>
    <w:rsid w:val="00D7635F"/>
    <w:rsid w:val="00D77124"/>
    <w:rsid w:val="00D77989"/>
    <w:rsid w:val="00D824A1"/>
    <w:rsid w:val="00D82723"/>
    <w:rsid w:val="00D82C2B"/>
    <w:rsid w:val="00D83DFF"/>
    <w:rsid w:val="00D843A2"/>
    <w:rsid w:val="00D854CA"/>
    <w:rsid w:val="00D90700"/>
    <w:rsid w:val="00D909AD"/>
    <w:rsid w:val="00D9199A"/>
    <w:rsid w:val="00D927FC"/>
    <w:rsid w:val="00D928F4"/>
    <w:rsid w:val="00D94792"/>
    <w:rsid w:val="00D94BBB"/>
    <w:rsid w:val="00D956C5"/>
    <w:rsid w:val="00D9719B"/>
    <w:rsid w:val="00D973A4"/>
    <w:rsid w:val="00D976DC"/>
    <w:rsid w:val="00DA084C"/>
    <w:rsid w:val="00DA167B"/>
    <w:rsid w:val="00DA1C3C"/>
    <w:rsid w:val="00DA261D"/>
    <w:rsid w:val="00DA4DFC"/>
    <w:rsid w:val="00DA537F"/>
    <w:rsid w:val="00DA5EC7"/>
    <w:rsid w:val="00DA7844"/>
    <w:rsid w:val="00DA78CA"/>
    <w:rsid w:val="00DA7FB1"/>
    <w:rsid w:val="00DB1ACA"/>
    <w:rsid w:val="00DB1C0E"/>
    <w:rsid w:val="00DB1F2B"/>
    <w:rsid w:val="00DB41C3"/>
    <w:rsid w:val="00DB4D19"/>
    <w:rsid w:val="00DB5501"/>
    <w:rsid w:val="00DB5B92"/>
    <w:rsid w:val="00DB6617"/>
    <w:rsid w:val="00DB68C4"/>
    <w:rsid w:val="00DB6D65"/>
    <w:rsid w:val="00DC1F9E"/>
    <w:rsid w:val="00DC21FC"/>
    <w:rsid w:val="00DC4107"/>
    <w:rsid w:val="00DC5481"/>
    <w:rsid w:val="00DC5EBC"/>
    <w:rsid w:val="00DC6DA7"/>
    <w:rsid w:val="00DC6FF6"/>
    <w:rsid w:val="00DC7160"/>
    <w:rsid w:val="00DC7B7F"/>
    <w:rsid w:val="00DD0C04"/>
    <w:rsid w:val="00DD2779"/>
    <w:rsid w:val="00DD49BB"/>
    <w:rsid w:val="00DD5B95"/>
    <w:rsid w:val="00DD66EA"/>
    <w:rsid w:val="00DD682E"/>
    <w:rsid w:val="00DD6C1D"/>
    <w:rsid w:val="00DD6F37"/>
    <w:rsid w:val="00DE088B"/>
    <w:rsid w:val="00DE0D70"/>
    <w:rsid w:val="00DE272B"/>
    <w:rsid w:val="00DE2A4A"/>
    <w:rsid w:val="00DE3423"/>
    <w:rsid w:val="00DE3FCB"/>
    <w:rsid w:val="00DE4D77"/>
    <w:rsid w:val="00DE6761"/>
    <w:rsid w:val="00DE7661"/>
    <w:rsid w:val="00DF01CA"/>
    <w:rsid w:val="00DF2BB7"/>
    <w:rsid w:val="00DF3063"/>
    <w:rsid w:val="00DF3404"/>
    <w:rsid w:val="00DF3838"/>
    <w:rsid w:val="00DF570B"/>
    <w:rsid w:val="00DF6361"/>
    <w:rsid w:val="00DF6A8B"/>
    <w:rsid w:val="00DF740A"/>
    <w:rsid w:val="00DF75D0"/>
    <w:rsid w:val="00E001CA"/>
    <w:rsid w:val="00E0036B"/>
    <w:rsid w:val="00E01E94"/>
    <w:rsid w:val="00E02117"/>
    <w:rsid w:val="00E02285"/>
    <w:rsid w:val="00E02298"/>
    <w:rsid w:val="00E0367E"/>
    <w:rsid w:val="00E03968"/>
    <w:rsid w:val="00E04BBB"/>
    <w:rsid w:val="00E05BE8"/>
    <w:rsid w:val="00E06867"/>
    <w:rsid w:val="00E06CE2"/>
    <w:rsid w:val="00E07058"/>
    <w:rsid w:val="00E07C68"/>
    <w:rsid w:val="00E10460"/>
    <w:rsid w:val="00E116C6"/>
    <w:rsid w:val="00E11B52"/>
    <w:rsid w:val="00E12595"/>
    <w:rsid w:val="00E13AEB"/>
    <w:rsid w:val="00E1403D"/>
    <w:rsid w:val="00E140E0"/>
    <w:rsid w:val="00E14969"/>
    <w:rsid w:val="00E150BB"/>
    <w:rsid w:val="00E167F9"/>
    <w:rsid w:val="00E16B74"/>
    <w:rsid w:val="00E16C3A"/>
    <w:rsid w:val="00E21C6B"/>
    <w:rsid w:val="00E2222F"/>
    <w:rsid w:val="00E227BB"/>
    <w:rsid w:val="00E23E8B"/>
    <w:rsid w:val="00E23F79"/>
    <w:rsid w:val="00E25C8B"/>
    <w:rsid w:val="00E268EC"/>
    <w:rsid w:val="00E316EE"/>
    <w:rsid w:val="00E32769"/>
    <w:rsid w:val="00E327DB"/>
    <w:rsid w:val="00E32A6B"/>
    <w:rsid w:val="00E3346C"/>
    <w:rsid w:val="00E33C5F"/>
    <w:rsid w:val="00E3464E"/>
    <w:rsid w:val="00E3465F"/>
    <w:rsid w:val="00E3758B"/>
    <w:rsid w:val="00E400AB"/>
    <w:rsid w:val="00E40D6E"/>
    <w:rsid w:val="00E40FB0"/>
    <w:rsid w:val="00E41227"/>
    <w:rsid w:val="00E414B1"/>
    <w:rsid w:val="00E445CD"/>
    <w:rsid w:val="00E45F1E"/>
    <w:rsid w:val="00E46269"/>
    <w:rsid w:val="00E4693A"/>
    <w:rsid w:val="00E4707C"/>
    <w:rsid w:val="00E47A4F"/>
    <w:rsid w:val="00E5007C"/>
    <w:rsid w:val="00E51259"/>
    <w:rsid w:val="00E5161F"/>
    <w:rsid w:val="00E51AAA"/>
    <w:rsid w:val="00E51B71"/>
    <w:rsid w:val="00E52348"/>
    <w:rsid w:val="00E5345A"/>
    <w:rsid w:val="00E54249"/>
    <w:rsid w:val="00E547B8"/>
    <w:rsid w:val="00E55201"/>
    <w:rsid w:val="00E552F1"/>
    <w:rsid w:val="00E57909"/>
    <w:rsid w:val="00E604C9"/>
    <w:rsid w:val="00E626A0"/>
    <w:rsid w:val="00E6440A"/>
    <w:rsid w:val="00E647B7"/>
    <w:rsid w:val="00E657FE"/>
    <w:rsid w:val="00E6784B"/>
    <w:rsid w:val="00E67863"/>
    <w:rsid w:val="00E67DF4"/>
    <w:rsid w:val="00E70943"/>
    <w:rsid w:val="00E7123F"/>
    <w:rsid w:val="00E72232"/>
    <w:rsid w:val="00E723FE"/>
    <w:rsid w:val="00E75A02"/>
    <w:rsid w:val="00E75A5E"/>
    <w:rsid w:val="00E7632C"/>
    <w:rsid w:val="00E76622"/>
    <w:rsid w:val="00E77174"/>
    <w:rsid w:val="00E77ECC"/>
    <w:rsid w:val="00E800EA"/>
    <w:rsid w:val="00E808C6"/>
    <w:rsid w:val="00E8197D"/>
    <w:rsid w:val="00E831E1"/>
    <w:rsid w:val="00E835B3"/>
    <w:rsid w:val="00E83DC6"/>
    <w:rsid w:val="00E83F5B"/>
    <w:rsid w:val="00E84348"/>
    <w:rsid w:val="00E85E70"/>
    <w:rsid w:val="00E86006"/>
    <w:rsid w:val="00E90974"/>
    <w:rsid w:val="00E914E4"/>
    <w:rsid w:val="00E91E62"/>
    <w:rsid w:val="00E92136"/>
    <w:rsid w:val="00E94771"/>
    <w:rsid w:val="00E94A7C"/>
    <w:rsid w:val="00E94B56"/>
    <w:rsid w:val="00E9567D"/>
    <w:rsid w:val="00E95A7C"/>
    <w:rsid w:val="00E95D89"/>
    <w:rsid w:val="00EA069D"/>
    <w:rsid w:val="00EA0AED"/>
    <w:rsid w:val="00EA2469"/>
    <w:rsid w:val="00EA2857"/>
    <w:rsid w:val="00EA2A19"/>
    <w:rsid w:val="00EA2FE1"/>
    <w:rsid w:val="00EA4395"/>
    <w:rsid w:val="00EA4603"/>
    <w:rsid w:val="00EA5256"/>
    <w:rsid w:val="00EA597F"/>
    <w:rsid w:val="00EA713A"/>
    <w:rsid w:val="00EA7927"/>
    <w:rsid w:val="00EB090D"/>
    <w:rsid w:val="00EB1667"/>
    <w:rsid w:val="00EB1C7A"/>
    <w:rsid w:val="00EB205B"/>
    <w:rsid w:val="00EB3FF4"/>
    <w:rsid w:val="00EB4263"/>
    <w:rsid w:val="00EB4B0F"/>
    <w:rsid w:val="00EB4DB8"/>
    <w:rsid w:val="00EB70A1"/>
    <w:rsid w:val="00EB71DB"/>
    <w:rsid w:val="00EB7B23"/>
    <w:rsid w:val="00EB7BB3"/>
    <w:rsid w:val="00EB7D67"/>
    <w:rsid w:val="00EC0328"/>
    <w:rsid w:val="00EC110C"/>
    <w:rsid w:val="00EC2B9E"/>
    <w:rsid w:val="00EC2C4E"/>
    <w:rsid w:val="00EC2F71"/>
    <w:rsid w:val="00EC4314"/>
    <w:rsid w:val="00EC46B5"/>
    <w:rsid w:val="00EC57AB"/>
    <w:rsid w:val="00EC5816"/>
    <w:rsid w:val="00EC6F1E"/>
    <w:rsid w:val="00EC75E0"/>
    <w:rsid w:val="00ED0BBC"/>
    <w:rsid w:val="00ED1031"/>
    <w:rsid w:val="00ED10EF"/>
    <w:rsid w:val="00ED14B1"/>
    <w:rsid w:val="00ED15B2"/>
    <w:rsid w:val="00ED1E4C"/>
    <w:rsid w:val="00ED1F06"/>
    <w:rsid w:val="00ED1FCD"/>
    <w:rsid w:val="00ED26AC"/>
    <w:rsid w:val="00ED5228"/>
    <w:rsid w:val="00ED5536"/>
    <w:rsid w:val="00ED7809"/>
    <w:rsid w:val="00ED7934"/>
    <w:rsid w:val="00EE0746"/>
    <w:rsid w:val="00EE0B70"/>
    <w:rsid w:val="00EE1F6D"/>
    <w:rsid w:val="00EE2405"/>
    <w:rsid w:val="00EE29F1"/>
    <w:rsid w:val="00EE3228"/>
    <w:rsid w:val="00EE4EEA"/>
    <w:rsid w:val="00EE6622"/>
    <w:rsid w:val="00EE662D"/>
    <w:rsid w:val="00EE7381"/>
    <w:rsid w:val="00EE76C1"/>
    <w:rsid w:val="00EF0AA3"/>
    <w:rsid w:val="00EF0E45"/>
    <w:rsid w:val="00EF2798"/>
    <w:rsid w:val="00EF283C"/>
    <w:rsid w:val="00EF3771"/>
    <w:rsid w:val="00EF5E63"/>
    <w:rsid w:val="00EF7C05"/>
    <w:rsid w:val="00EF7F4B"/>
    <w:rsid w:val="00F00C9D"/>
    <w:rsid w:val="00F0211E"/>
    <w:rsid w:val="00F025AE"/>
    <w:rsid w:val="00F02AE5"/>
    <w:rsid w:val="00F02E1A"/>
    <w:rsid w:val="00F02E9D"/>
    <w:rsid w:val="00F03280"/>
    <w:rsid w:val="00F0369D"/>
    <w:rsid w:val="00F03848"/>
    <w:rsid w:val="00F0482D"/>
    <w:rsid w:val="00F04A50"/>
    <w:rsid w:val="00F0639B"/>
    <w:rsid w:val="00F06924"/>
    <w:rsid w:val="00F07A42"/>
    <w:rsid w:val="00F111E2"/>
    <w:rsid w:val="00F11461"/>
    <w:rsid w:val="00F13631"/>
    <w:rsid w:val="00F139D5"/>
    <w:rsid w:val="00F150AB"/>
    <w:rsid w:val="00F15A60"/>
    <w:rsid w:val="00F203A5"/>
    <w:rsid w:val="00F203F8"/>
    <w:rsid w:val="00F20585"/>
    <w:rsid w:val="00F207F8"/>
    <w:rsid w:val="00F20F6B"/>
    <w:rsid w:val="00F2352F"/>
    <w:rsid w:val="00F23831"/>
    <w:rsid w:val="00F24B16"/>
    <w:rsid w:val="00F24F2E"/>
    <w:rsid w:val="00F2551C"/>
    <w:rsid w:val="00F25DE7"/>
    <w:rsid w:val="00F26B72"/>
    <w:rsid w:val="00F30DEC"/>
    <w:rsid w:val="00F31416"/>
    <w:rsid w:val="00F31920"/>
    <w:rsid w:val="00F32D6C"/>
    <w:rsid w:val="00F3361E"/>
    <w:rsid w:val="00F34794"/>
    <w:rsid w:val="00F35147"/>
    <w:rsid w:val="00F35A91"/>
    <w:rsid w:val="00F36516"/>
    <w:rsid w:val="00F365C9"/>
    <w:rsid w:val="00F412BA"/>
    <w:rsid w:val="00F4181E"/>
    <w:rsid w:val="00F41EC7"/>
    <w:rsid w:val="00F439AE"/>
    <w:rsid w:val="00F45CFD"/>
    <w:rsid w:val="00F45F29"/>
    <w:rsid w:val="00F4711F"/>
    <w:rsid w:val="00F471A3"/>
    <w:rsid w:val="00F50E86"/>
    <w:rsid w:val="00F514D6"/>
    <w:rsid w:val="00F52093"/>
    <w:rsid w:val="00F52683"/>
    <w:rsid w:val="00F526B2"/>
    <w:rsid w:val="00F52F6B"/>
    <w:rsid w:val="00F5378A"/>
    <w:rsid w:val="00F5392C"/>
    <w:rsid w:val="00F53C2A"/>
    <w:rsid w:val="00F53D77"/>
    <w:rsid w:val="00F54646"/>
    <w:rsid w:val="00F5542A"/>
    <w:rsid w:val="00F55518"/>
    <w:rsid w:val="00F56A78"/>
    <w:rsid w:val="00F56E5A"/>
    <w:rsid w:val="00F56ED8"/>
    <w:rsid w:val="00F57121"/>
    <w:rsid w:val="00F57E17"/>
    <w:rsid w:val="00F603EF"/>
    <w:rsid w:val="00F62760"/>
    <w:rsid w:val="00F63AC8"/>
    <w:rsid w:val="00F65519"/>
    <w:rsid w:val="00F670FB"/>
    <w:rsid w:val="00F7238D"/>
    <w:rsid w:val="00F73EF4"/>
    <w:rsid w:val="00F74968"/>
    <w:rsid w:val="00F75226"/>
    <w:rsid w:val="00F7561F"/>
    <w:rsid w:val="00F75BCA"/>
    <w:rsid w:val="00F75CDD"/>
    <w:rsid w:val="00F75D60"/>
    <w:rsid w:val="00F766D6"/>
    <w:rsid w:val="00F76741"/>
    <w:rsid w:val="00F802B1"/>
    <w:rsid w:val="00F806A5"/>
    <w:rsid w:val="00F82594"/>
    <w:rsid w:val="00F82CCA"/>
    <w:rsid w:val="00F82D30"/>
    <w:rsid w:val="00F831C9"/>
    <w:rsid w:val="00F83875"/>
    <w:rsid w:val="00F83C8C"/>
    <w:rsid w:val="00F83E78"/>
    <w:rsid w:val="00F85F3D"/>
    <w:rsid w:val="00F8652B"/>
    <w:rsid w:val="00F86D73"/>
    <w:rsid w:val="00F92545"/>
    <w:rsid w:val="00F9393E"/>
    <w:rsid w:val="00F9460F"/>
    <w:rsid w:val="00F952DD"/>
    <w:rsid w:val="00F9709A"/>
    <w:rsid w:val="00F973C8"/>
    <w:rsid w:val="00FA2807"/>
    <w:rsid w:val="00FA2E8D"/>
    <w:rsid w:val="00FA30A8"/>
    <w:rsid w:val="00FA30CE"/>
    <w:rsid w:val="00FA3724"/>
    <w:rsid w:val="00FA3DED"/>
    <w:rsid w:val="00FA43E7"/>
    <w:rsid w:val="00FA4409"/>
    <w:rsid w:val="00FA4B34"/>
    <w:rsid w:val="00FA5DE5"/>
    <w:rsid w:val="00FA6544"/>
    <w:rsid w:val="00FA656E"/>
    <w:rsid w:val="00FA6827"/>
    <w:rsid w:val="00FA74F1"/>
    <w:rsid w:val="00FA7643"/>
    <w:rsid w:val="00FA7EA9"/>
    <w:rsid w:val="00FB03B5"/>
    <w:rsid w:val="00FB13DF"/>
    <w:rsid w:val="00FB2056"/>
    <w:rsid w:val="00FB2419"/>
    <w:rsid w:val="00FB3656"/>
    <w:rsid w:val="00FB3F6E"/>
    <w:rsid w:val="00FB4070"/>
    <w:rsid w:val="00FB478C"/>
    <w:rsid w:val="00FB48BA"/>
    <w:rsid w:val="00FB5188"/>
    <w:rsid w:val="00FB625D"/>
    <w:rsid w:val="00FB7D05"/>
    <w:rsid w:val="00FB7D09"/>
    <w:rsid w:val="00FC02D3"/>
    <w:rsid w:val="00FC02F7"/>
    <w:rsid w:val="00FC03BD"/>
    <w:rsid w:val="00FC0A26"/>
    <w:rsid w:val="00FC0F6D"/>
    <w:rsid w:val="00FC238D"/>
    <w:rsid w:val="00FC3209"/>
    <w:rsid w:val="00FC36A4"/>
    <w:rsid w:val="00FC3736"/>
    <w:rsid w:val="00FC3BEC"/>
    <w:rsid w:val="00FC48C8"/>
    <w:rsid w:val="00FC4DA3"/>
    <w:rsid w:val="00FC4EEB"/>
    <w:rsid w:val="00FC502D"/>
    <w:rsid w:val="00FC5328"/>
    <w:rsid w:val="00FC64E1"/>
    <w:rsid w:val="00FC711D"/>
    <w:rsid w:val="00FC7225"/>
    <w:rsid w:val="00FD0521"/>
    <w:rsid w:val="00FD206A"/>
    <w:rsid w:val="00FD2EF1"/>
    <w:rsid w:val="00FD3B88"/>
    <w:rsid w:val="00FD4C5B"/>
    <w:rsid w:val="00FD5449"/>
    <w:rsid w:val="00FD605C"/>
    <w:rsid w:val="00FD61A6"/>
    <w:rsid w:val="00FD65E7"/>
    <w:rsid w:val="00FD678A"/>
    <w:rsid w:val="00FD73BF"/>
    <w:rsid w:val="00FD7632"/>
    <w:rsid w:val="00FD7DA6"/>
    <w:rsid w:val="00FE0705"/>
    <w:rsid w:val="00FE0CA5"/>
    <w:rsid w:val="00FE139E"/>
    <w:rsid w:val="00FE1D20"/>
    <w:rsid w:val="00FE1DBA"/>
    <w:rsid w:val="00FE66BE"/>
    <w:rsid w:val="00FE746B"/>
    <w:rsid w:val="00FF07EE"/>
    <w:rsid w:val="00FF2473"/>
    <w:rsid w:val="00FF35FA"/>
    <w:rsid w:val="00FF5D0D"/>
    <w:rsid w:val="00FF6AC9"/>
    <w:rsid w:val="03257471"/>
    <w:rsid w:val="04D39D53"/>
    <w:rsid w:val="05026D4B"/>
    <w:rsid w:val="05755481"/>
    <w:rsid w:val="05F7646F"/>
    <w:rsid w:val="06011F73"/>
    <w:rsid w:val="06882242"/>
    <w:rsid w:val="06F258F7"/>
    <w:rsid w:val="0738013C"/>
    <w:rsid w:val="073A7173"/>
    <w:rsid w:val="074DF9F3"/>
    <w:rsid w:val="07703F91"/>
    <w:rsid w:val="0794D0EB"/>
    <w:rsid w:val="07ED9A0F"/>
    <w:rsid w:val="09B7A014"/>
    <w:rsid w:val="0AAF06CA"/>
    <w:rsid w:val="0B745683"/>
    <w:rsid w:val="0B7C0499"/>
    <w:rsid w:val="0BAC4ADC"/>
    <w:rsid w:val="0C390B62"/>
    <w:rsid w:val="0C5C7E64"/>
    <w:rsid w:val="0CC9393A"/>
    <w:rsid w:val="0D461B30"/>
    <w:rsid w:val="0D501741"/>
    <w:rsid w:val="0DEE5F77"/>
    <w:rsid w:val="0DFFDE8C"/>
    <w:rsid w:val="0E2E535E"/>
    <w:rsid w:val="0E75E2E0"/>
    <w:rsid w:val="0ED5F063"/>
    <w:rsid w:val="0F7F7ACF"/>
    <w:rsid w:val="0FDBD93A"/>
    <w:rsid w:val="1031756B"/>
    <w:rsid w:val="11275C77"/>
    <w:rsid w:val="11931F79"/>
    <w:rsid w:val="11BD5413"/>
    <w:rsid w:val="11EFAB9F"/>
    <w:rsid w:val="133A1F99"/>
    <w:rsid w:val="147FF452"/>
    <w:rsid w:val="14E63D87"/>
    <w:rsid w:val="15FB8984"/>
    <w:rsid w:val="16F9C773"/>
    <w:rsid w:val="1703504B"/>
    <w:rsid w:val="1733271C"/>
    <w:rsid w:val="1738BD8F"/>
    <w:rsid w:val="17BD6F03"/>
    <w:rsid w:val="17EBC4E9"/>
    <w:rsid w:val="18753A87"/>
    <w:rsid w:val="194D2360"/>
    <w:rsid w:val="19A250E6"/>
    <w:rsid w:val="19DE42E1"/>
    <w:rsid w:val="1B3BDA6D"/>
    <w:rsid w:val="1B487F31"/>
    <w:rsid w:val="1B737351"/>
    <w:rsid w:val="1BDFFAE9"/>
    <w:rsid w:val="1BFD85E5"/>
    <w:rsid w:val="1C5A34B6"/>
    <w:rsid w:val="1CFF414B"/>
    <w:rsid w:val="1DBB58C0"/>
    <w:rsid w:val="1DEB7023"/>
    <w:rsid w:val="1DEF59C4"/>
    <w:rsid w:val="1E5FB1B8"/>
    <w:rsid w:val="1EF7E5F1"/>
    <w:rsid w:val="1EF7FBE6"/>
    <w:rsid w:val="1EFD0303"/>
    <w:rsid w:val="1F3E742C"/>
    <w:rsid w:val="1F4652BE"/>
    <w:rsid w:val="1F6C0009"/>
    <w:rsid w:val="1F7F3089"/>
    <w:rsid w:val="1FA57D22"/>
    <w:rsid w:val="1FBB2EC2"/>
    <w:rsid w:val="1FBF0309"/>
    <w:rsid w:val="1FCDD9AA"/>
    <w:rsid w:val="226E52B9"/>
    <w:rsid w:val="238C33B2"/>
    <w:rsid w:val="239258A8"/>
    <w:rsid w:val="23FF077F"/>
    <w:rsid w:val="249A6036"/>
    <w:rsid w:val="25D78893"/>
    <w:rsid w:val="25FC4C82"/>
    <w:rsid w:val="277F2054"/>
    <w:rsid w:val="279B2AD2"/>
    <w:rsid w:val="27D60ABE"/>
    <w:rsid w:val="27FDF959"/>
    <w:rsid w:val="29483366"/>
    <w:rsid w:val="295C133B"/>
    <w:rsid w:val="29B67BB5"/>
    <w:rsid w:val="2A283EEB"/>
    <w:rsid w:val="2A8B6F09"/>
    <w:rsid w:val="2A9D47AC"/>
    <w:rsid w:val="2BFB5437"/>
    <w:rsid w:val="2D57955E"/>
    <w:rsid w:val="2D9FA04F"/>
    <w:rsid w:val="2DB8F648"/>
    <w:rsid w:val="2EBBF9A3"/>
    <w:rsid w:val="2EE47259"/>
    <w:rsid w:val="2F4F7A7D"/>
    <w:rsid w:val="2F6F0148"/>
    <w:rsid w:val="2F76C28C"/>
    <w:rsid w:val="2F7C15D8"/>
    <w:rsid w:val="2FCF2002"/>
    <w:rsid w:val="2FE53D59"/>
    <w:rsid w:val="2FEF821A"/>
    <w:rsid w:val="302502D1"/>
    <w:rsid w:val="30BD0622"/>
    <w:rsid w:val="315C6D68"/>
    <w:rsid w:val="3170B803"/>
    <w:rsid w:val="31FB6DD1"/>
    <w:rsid w:val="321D5862"/>
    <w:rsid w:val="32D54D47"/>
    <w:rsid w:val="334B2B5E"/>
    <w:rsid w:val="336C2A59"/>
    <w:rsid w:val="33B9A17D"/>
    <w:rsid w:val="33BBF0AF"/>
    <w:rsid w:val="33F6F1A4"/>
    <w:rsid w:val="3406592D"/>
    <w:rsid w:val="34523632"/>
    <w:rsid w:val="3480002C"/>
    <w:rsid w:val="350B5EF2"/>
    <w:rsid w:val="35325872"/>
    <w:rsid w:val="35777913"/>
    <w:rsid w:val="357DAA2F"/>
    <w:rsid w:val="358C4137"/>
    <w:rsid w:val="359BF424"/>
    <w:rsid w:val="35D346CC"/>
    <w:rsid w:val="35D727FD"/>
    <w:rsid w:val="364FA772"/>
    <w:rsid w:val="367B3895"/>
    <w:rsid w:val="36DEE552"/>
    <w:rsid w:val="36FC5189"/>
    <w:rsid w:val="3775E35A"/>
    <w:rsid w:val="37C3E342"/>
    <w:rsid w:val="37CD23E8"/>
    <w:rsid w:val="37E59665"/>
    <w:rsid w:val="37E670AF"/>
    <w:rsid w:val="37EED666"/>
    <w:rsid w:val="37F785FF"/>
    <w:rsid w:val="37F883BD"/>
    <w:rsid w:val="37FA8E25"/>
    <w:rsid w:val="38473916"/>
    <w:rsid w:val="38B9BD68"/>
    <w:rsid w:val="38F94ECD"/>
    <w:rsid w:val="39585634"/>
    <w:rsid w:val="395F216C"/>
    <w:rsid w:val="39EF2089"/>
    <w:rsid w:val="3A8258AD"/>
    <w:rsid w:val="3AB37492"/>
    <w:rsid w:val="3AEA78A1"/>
    <w:rsid w:val="3AED135B"/>
    <w:rsid w:val="3AF78677"/>
    <w:rsid w:val="3B7D71CC"/>
    <w:rsid w:val="3B9FB96D"/>
    <w:rsid w:val="3BDD156D"/>
    <w:rsid w:val="3C072F26"/>
    <w:rsid w:val="3C77988A"/>
    <w:rsid w:val="3C8B3830"/>
    <w:rsid w:val="3CDE1871"/>
    <w:rsid w:val="3CDF526A"/>
    <w:rsid w:val="3CE75508"/>
    <w:rsid w:val="3CFA5C70"/>
    <w:rsid w:val="3CFD7226"/>
    <w:rsid w:val="3CFE02EA"/>
    <w:rsid w:val="3D73E980"/>
    <w:rsid w:val="3D8D34C8"/>
    <w:rsid w:val="3DB9B48E"/>
    <w:rsid w:val="3DBF2FAE"/>
    <w:rsid w:val="3DDE6685"/>
    <w:rsid w:val="3DE28566"/>
    <w:rsid w:val="3DF3419F"/>
    <w:rsid w:val="3DF99385"/>
    <w:rsid w:val="3E74F004"/>
    <w:rsid w:val="3E7FD2B8"/>
    <w:rsid w:val="3EA7BC07"/>
    <w:rsid w:val="3EB54A1B"/>
    <w:rsid w:val="3EBF9715"/>
    <w:rsid w:val="3EEDCB0D"/>
    <w:rsid w:val="3EF9FA8C"/>
    <w:rsid w:val="3EFBA353"/>
    <w:rsid w:val="3EFFFDBD"/>
    <w:rsid w:val="3F5A0424"/>
    <w:rsid w:val="3F7E5EB1"/>
    <w:rsid w:val="3F8F1AB2"/>
    <w:rsid w:val="3F986E86"/>
    <w:rsid w:val="3FB50DB9"/>
    <w:rsid w:val="3FB6D05C"/>
    <w:rsid w:val="3FB79853"/>
    <w:rsid w:val="3FBBD6FC"/>
    <w:rsid w:val="3FD43472"/>
    <w:rsid w:val="3FDD07DC"/>
    <w:rsid w:val="3FE7C132"/>
    <w:rsid w:val="3FEEF7D0"/>
    <w:rsid w:val="3FF7C09F"/>
    <w:rsid w:val="3FFB89FA"/>
    <w:rsid w:val="3FFCB57A"/>
    <w:rsid w:val="3FFCE46E"/>
    <w:rsid w:val="3FFF4FB8"/>
    <w:rsid w:val="3FFF6282"/>
    <w:rsid w:val="3FFF6380"/>
    <w:rsid w:val="3FFFACD9"/>
    <w:rsid w:val="3FFFD90D"/>
    <w:rsid w:val="40244F73"/>
    <w:rsid w:val="40CF51AE"/>
    <w:rsid w:val="415EEB71"/>
    <w:rsid w:val="419F2DC1"/>
    <w:rsid w:val="42DE52BC"/>
    <w:rsid w:val="4301054F"/>
    <w:rsid w:val="43DB3FAF"/>
    <w:rsid w:val="43ED6CE9"/>
    <w:rsid w:val="4501774B"/>
    <w:rsid w:val="451B1EC8"/>
    <w:rsid w:val="4556490C"/>
    <w:rsid w:val="4559200A"/>
    <w:rsid w:val="457BAEA1"/>
    <w:rsid w:val="45FB0EBB"/>
    <w:rsid w:val="46DCFC67"/>
    <w:rsid w:val="476F2604"/>
    <w:rsid w:val="477F75FB"/>
    <w:rsid w:val="479FA454"/>
    <w:rsid w:val="47B3FCFE"/>
    <w:rsid w:val="47D62CD2"/>
    <w:rsid w:val="484C29A9"/>
    <w:rsid w:val="48598FC3"/>
    <w:rsid w:val="48700954"/>
    <w:rsid w:val="48FFF461"/>
    <w:rsid w:val="4A6A4369"/>
    <w:rsid w:val="4AC05CD6"/>
    <w:rsid w:val="4AF505EB"/>
    <w:rsid w:val="4BAB026F"/>
    <w:rsid w:val="4BBD49D0"/>
    <w:rsid w:val="4BF46C68"/>
    <w:rsid w:val="4BFBF4E3"/>
    <w:rsid w:val="4C912CFD"/>
    <w:rsid w:val="4CD22221"/>
    <w:rsid w:val="4D066243"/>
    <w:rsid w:val="4D736872"/>
    <w:rsid w:val="4DA94C04"/>
    <w:rsid w:val="4DC15695"/>
    <w:rsid w:val="4DFF069B"/>
    <w:rsid w:val="4DFF6E57"/>
    <w:rsid w:val="4EEF29BB"/>
    <w:rsid w:val="4F7BF497"/>
    <w:rsid w:val="4F7E6DA5"/>
    <w:rsid w:val="4FBB958A"/>
    <w:rsid w:val="4FBDADC8"/>
    <w:rsid w:val="4FD74ACC"/>
    <w:rsid w:val="4FFBAC9D"/>
    <w:rsid w:val="500736A0"/>
    <w:rsid w:val="503B103B"/>
    <w:rsid w:val="5050538F"/>
    <w:rsid w:val="512E0303"/>
    <w:rsid w:val="51D75ED3"/>
    <w:rsid w:val="530748AA"/>
    <w:rsid w:val="537DE542"/>
    <w:rsid w:val="538E3AD1"/>
    <w:rsid w:val="538E7ED0"/>
    <w:rsid w:val="53FFE21F"/>
    <w:rsid w:val="547F7CFA"/>
    <w:rsid w:val="55A87015"/>
    <w:rsid w:val="55FFEC09"/>
    <w:rsid w:val="56390221"/>
    <w:rsid w:val="56501B9C"/>
    <w:rsid w:val="56B3B432"/>
    <w:rsid w:val="56BF5DE1"/>
    <w:rsid w:val="56FBCBEF"/>
    <w:rsid w:val="57712235"/>
    <w:rsid w:val="57930EA2"/>
    <w:rsid w:val="57D73424"/>
    <w:rsid w:val="57EB987F"/>
    <w:rsid w:val="57F72CB6"/>
    <w:rsid w:val="57F7FFDF"/>
    <w:rsid w:val="57FB11FD"/>
    <w:rsid w:val="57FC5C33"/>
    <w:rsid w:val="580679EB"/>
    <w:rsid w:val="58463DF3"/>
    <w:rsid w:val="58A334CB"/>
    <w:rsid w:val="590837E9"/>
    <w:rsid w:val="595E394E"/>
    <w:rsid w:val="59AEAB1E"/>
    <w:rsid w:val="59DFE2F9"/>
    <w:rsid w:val="59F19D15"/>
    <w:rsid w:val="5A4017EE"/>
    <w:rsid w:val="5A7C108E"/>
    <w:rsid w:val="5AAA060E"/>
    <w:rsid w:val="5AE7FEF3"/>
    <w:rsid w:val="5AFFDB19"/>
    <w:rsid w:val="5B3FA485"/>
    <w:rsid w:val="5B9531DB"/>
    <w:rsid w:val="5BB16861"/>
    <w:rsid w:val="5BB53817"/>
    <w:rsid w:val="5BE9381F"/>
    <w:rsid w:val="5BEF561B"/>
    <w:rsid w:val="5BFB00CD"/>
    <w:rsid w:val="5C3F6100"/>
    <w:rsid w:val="5C7BE46C"/>
    <w:rsid w:val="5C9C2A1D"/>
    <w:rsid w:val="5CDA733D"/>
    <w:rsid w:val="5D1FE9B9"/>
    <w:rsid w:val="5D6D170F"/>
    <w:rsid w:val="5D7DA08E"/>
    <w:rsid w:val="5DADB071"/>
    <w:rsid w:val="5DAF9677"/>
    <w:rsid w:val="5DDF11AC"/>
    <w:rsid w:val="5DE75D41"/>
    <w:rsid w:val="5DEE3896"/>
    <w:rsid w:val="5DEFAF62"/>
    <w:rsid w:val="5DFAC4DC"/>
    <w:rsid w:val="5DFCC0AF"/>
    <w:rsid w:val="5DFDCB88"/>
    <w:rsid w:val="5DFEB1B3"/>
    <w:rsid w:val="5E122951"/>
    <w:rsid w:val="5E6E0D0C"/>
    <w:rsid w:val="5E940777"/>
    <w:rsid w:val="5EAF4465"/>
    <w:rsid w:val="5EBF4CDB"/>
    <w:rsid w:val="5ED76B26"/>
    <w:rsid w:val="5EDF6D0E"/>
    <w:rsid w:val="5F0D725D"/>
    <w:rsid w:val="5F190DDA"/>
    <w:rsid w:val="5F3B564C"/>
    <w:rsid w:val="5F3EBE45"/>
    <w:rsid w:val="5F4FCB8C"/>
    <w:rsid w:val="5F5E022E"/>
    <w:rsid w:val="5F5F0A3E"/>
    <w:rsid w:val="5F643CCB"/>
    <w:rsid w:val="5F6497B5"/>
    <w:rsid w:val="5F683235"/>
    <w:rsid w:val="5F7BF44E"/>
    <w:rsid w:val="5F7DC7D1"/>
    <w:rsid w:val="5F7E8FAE"/>
    <w:rsid w:val="5F7EFBCD"/>
    <w:rsid w:val="5F7F1FB1"/>
    <w:rsid w:val="5F9F5BFA"/>
    <w:rsid w:val="5FA7E5F9"/>
    <w:rsid w:val="5FB76FFD"/>
    <w:rsid w:val="5FCF408C"/>
    <w:rsid w:val="5FCF8A36"/>
    <w:rsid w:val="5FD67BC5"/>
    <w:rsid w:val="5FDA59CB"/>
    <w:rsid w:val="5FDBB4A9"/>
    <w:rsid w:val="5FE8EB8C"/>
    <w:rsid w:val="5FECBB75"/>
    <w:rsid w:val="5FEFAAE1"/>
    <w:rsid w:val="5FFD1B9B"/>
    <w:rsid w:val="5FFE6AE2"/>
    <w:rsid w:val="5FFEC04C"/>
    <w:rsid w:val="5FFF22BB"/>
    <w:rsid w:val="5FFF6BA0"/>
    <w:rsid w:val="606ABF91"/>
    <w:rsid w:val="60825A37"/>
    <w:rsid w:val="61F8823D"/>
    <w:rsid w:val="6233322B"/>
    <w:rsid w:val="6274048D"/>
    <w:rsid w:val="63BEEAC4"/>
    <w:rsid w:val="647FB6F4"/>
    <w:rsid w:val="6497BDD7"/>
    <w:rsid w:val="64CF81B8"/>
    <w:rsid w:val="64D98556"/>
    <w:rsid w:val="65BD6B43"/>
    <w:rsid w:val="65CBBEC7"/>
    <w:rsid w:val="65DBB81E"/>
    <w:rsid w:val="65E5C601"/>
    <w:rsid w:val="66276B33"/>
    <w:rsid w:val="667B6202"/>
    <w:rsid w:val="66BE43AE"/>
    <w:rsid w:val="66DF7F3B"/>
    <w:rsid w:val="67365B12"/>
    <w:rsid w:val="677996E1"/>
    <w:rsid w:val="677EF5F4"/>
    <w:rsid w:val="677F7EE4"/>
    <w:rsid w:val="67BB3F3B"/>
    <w:rsid w:val="67CBFE08"/>
    <w:rsid w:val="67D29154"/>
    <w:rsid w:val="67DF21BE"/>
    <w:rsid w:val="67EF1E8A"/>
    <w:rsid w:val="67EFBBBB"/>
    <w:rsid w:val="67FFA012"/>
    <w:rsid w:val="67FFA517"/>
    <w:rsid w:val="683755CB"/>
    <w:rsid w:val="689B27BB"/>
    <w:rsid w:val="69971412"/>
    <w:rsid w:val="69BBA61F"/>
    <w:rsid w:val="69EF9D6C"/>
    <w:rsid w:val="6A64148A"/>
    <w:rsid w:val="6A76A750"/>
    <w:rsid w:val="6ABF3567"/>
    <w:rsid w:val="6AD3CFA4"/>
    <w:rsid w:val="6AF7CDDC"/>
    <w:rsid w:val="6AFBB243"/>
    <w:rsid w:val="6B48784C"/>
    <w:rsid w:val="6B5FC19B"/>
    <w:rsid w:val="6B66E548"/>
    <w:rsid w:val="6B7D0742"/>
    <w:rsid w:val="6B8F5BD1"/>
    <w:rsid w:val="6BD73154"/>
    <w:rsid w:val="6BFD0739"/>
    <w:rsid w:val="6BFE87C7"/>
    <w:rsid w:val="6BFF3143"/>
    <w:rsid w:val="6BFFF06D"/>
    <w:rsid w:val="6C027254"/>
    <w:rsid w:val="6C176C2D"/>
    <w:rsid w:val="6C9B2F1B"/>
    <w:rsid w:val="6CDC16CA"/>
    <w:rsid w:val="6CDE9BBF"/>
    <w:rsid w:val="6CEEFB6C"/>
    <w:rsid w:val="6CFDE3D9"/>
    <w:rsid w:val="6D637EC6"/>
    <w:rsid w:val="6DAF0AAC"/>
    <w:rsid w:val="6DCF8297"/>
    <w:rsid w:val="6DDF2565"/>
    <w:rsid w:val="6DEE19AB"/>
    <w:rsid w:val="6DF54B59"/>
    <w:rsid w:val="6DF7E2EC"/>
    <w:rsid w:val="6DFD14D4"/>
    <w:rsid w:val="6DFE5252"/>
    <w:rsid w:val="6DFEA0AA"/>
    <w:rsid w:val="6DFF7113"/>
    <w:rsid w:val="6DFF8A25"/>
    <w:rsid w:val="6E46739E"/>
    <w:rsid w:val="6E7F067A"/>
    <w:rsid w:val="6EBDDC90"/>
    <w:rsid w:val="6ECAB4E3"/>
    <w:rsid w:val="6ECB1B80"/>
    <w:rsid w:val="6ED7348E"/>
    <w:rsid w:val="6EDD239C"/>
    <w:rsid w:val="6EE76F97"/>
    <w:rsid w:val="6EF5CB8E"/>
    <w:rsid w:val="6EFA8E61"/>
    <w:rsid w:val="6EFFCB96"/>
    <w:rsid w:val="6EFFDC49"/>
    <w:rsid w:val="6F133F6C"/>
    <w:rsid w:val="6F2FB053"/>
    <w:rsid w:val="6F3F9F45"/>
    <w:rsid w:val="6F58F130"/>
    <w:rsid w:val="6F5E433E"/>
    <w:rsid w:val="6F615109"/>
    <w:rsid w:val="6F735177"/>
    <w:rsid w:val="6F796A39"/>
    <w:rsid w:val="6F7F25B9"/>
    <w:rsid w:val="6F9B90A3"/>
    <w:rsid w:val="6F9F6808"/>
    <w:rsid w:val="6FAF7C23"/>
    <w:rsid w:val="6FB7AA55"/>
    <w:rsid w:val="6FBFE009"/>
    <w:rsid w:val="6FC70803"/>
    <w:rsid w:val="6FCD4DB0"/>
    <w:rsid w:val="6FCF99B9"/>
    <w:rsid w:val="6FDB7227"/>
    <w:rsid w:val="6FE20EA7"/>
    <w:rsid w:val="6FED2A25"/>
    <w:rsid w:val="6FEF8DBC"/>
    <w:rsid w:val="6FF27A2E"/>
    <w:rsid w:val="6FF7E9EE"/>
    <w:rsid w:val="6FFC68F4"/>
    <w:rsid w:val="6FFF3CF1"/>
    <w:rsid w:val="6FFF88F7"/>
    <w:rsid w:val="6FFFAAB2"/>
    <w:rsid w:val="70126C4D"/>
    <w:rsid w:val="70AE6BA7"/>
    <w:rsid w:val="70ED9C73"/>
    <w:rsid w:val="717FEAD9"/>
    <w:rsid w:val="71DF82D7"/>
    <w:rsid w:val="71E76416"/>
    <w:rsid w:val="71EF1D20"/>
    <w:rsid w:val="71F75308"/>
    <w:rsid w:val="71FDACB6"/>
    <w:rsid w:val="722B6294"/>
    <w:rsid w:val="722F1EB8"/>
    <w:rsid w:val="72CFCC9C"/>
    <w:rsid w:val="72FFEAAF"/>
    <w:rsid w:val="73BD072A"/>
    <w:rsid w:val="73DE0BD0"/>
    <w:rsid w:val="73EA8A1D"/>
    <w:rsid w:val="73FEB562"/>
    <w:rsid w:val="73FF30D6"/>
    <w:rsid w:val="743F3A42"/>
    <w:rsid w:val="746058BD"/>
    <w:rsid w:val="74727280"/>
    <w:rsid w:val="74B9D1FF"/>
    <w:rsid w:val="7573110B"/>
    <w:rsid w:val="757D3C0C"/>
    <w:rsid w:val="75BB01EC"/>
    <w:rsid w:val="75DFB8EB"/>
    <w:rsid w:val="75F798FF"/>
    <w:rsid w:val="75FDC1B4"/>
    <w:rsid w:val="75FF0F53"/>
    <w:rsid w:val="761ABDC0"/>
    <w:rsid w:val="763DBC23"/>
    <w:rsid w:val="764F2F6D"/>
    <w:rsid w:val="767F9574"/>
    <w:rsid w:val="76CB553E"/>
    <w:rsid w:val="76D961D7"/>
    <w:rsid w:val="76FB9BD7"/>
    <w:rsid w:val="76FEF82E"/>
    <w:rsid w:val="77160A92"/>
    <w:rsid w:val="77595339"/>
    <w:rsid w:val="776F9B31"/>
    <w:rsid w:val="777F59B7"/>
    <w:rsid w:val="778F03BE"/>
    <w:rsid w:val="77AA3248"/>
    <w:rsid w:val="77AE9B9B"/>
    <w:rsid w:val="77B9C990"/>
    <w:rsid w:val="77DF9DCB"/>
    <w:rsid w:val="77E2B723"/>
    <w:rsid w:val="77EAE132"/>
    <w:rsid w:val="77EB225D"/>
    <w:rsid w:val="77EFA6C1"/>
    <w:rsid w:val="77F50F1B"/>
    <w:rsid w:val="77F737BD"/>
    <w:rsid w:val="77FB26DC"/>
    <w:rsid w:val="77FC5075"/>
    <w:rsid w:val="77FDEA60"/>
    <w:rsid w:val="77FDF57C"/>
    <w:rsid w:val="77FE984F"/>
    <w:rsid w:val="77FF3A94"/>
    <w:rsid w:val="77FFE031"/>
    <w:rsid w:val="783A9350"/>
    <w:rsid w:val="78423D13"/>
    <w:rsid w:val="786625C1"/>
    <w:rsid w:val="78BFE71E"/>
    <w:rsid w:val="78EA67CE"/>
    <w:rsid w:val="797FCF2F"/>
    <w:rsid w:val="79AF2782"/>
    <w:rsid w:val="79D8F9BD"/>
    <w:rsid w:val="79ED3711"/>
    <w:rsid w:val="79FB95F8"/>
    <w:rsid w:val="79FCB030"/>
    <w:rsid w:val="79FEA0F1"/>
    <w:rsid w:val="79FF5F25"/>
    <w:rsid w:val="7A383883"/>
    <w:rsid w:val="7A5F2438"/>
    <w:rsid w:val="7AB5C788"/>
    <w:rsid w:val="7ABB2E41"/>
    <w:rsid w:val="7AC7FFFC"/>
    <w:rsid w:val="7AD71DEF"/>
    <w:rsid w:val="7ADB5FA8"/>
    <w:rsid w:val="7ADB6072"/>
    <w:rsid w:val="7AF72DA7"/>
    <w:rsid w:val="7AFE7BB9"/>
    <w:rsid w:val="7AFF5990"/>
    <w:rsid w:val="7B0B2CBC"/>
    <w:rsid w:val="7B294E15"/>
    <w:rsid w:val="7B4DF754"/>
    <w:rsid w:val="7B97C7EC"/>
    <w:rsid w:val="7BA6E560"/>
    <w:rsid w:val="7BB10551"/>
    <w:rsid w:val="7BB367F5"/>
    <w:rsid w:val="7BBFFE9D"/>
    <w:rsid w:val="7BDB6C82"/>
    <w:rsid w:val="7BDE9FE4"/>
    <w:rsid w:val="7BE1525C"/>
    <w:rsid w:val="7BE33D5A"/>
    <w:rsid w:val="7BF75266"/>
    <w:rsid w:val="7BF7A9D7"/>
    <w:rsid w:val="7BFB5772"/>
    <w:rsid w:val="7BFD1290"/>
    <w:rsid w:val="7BFDA493"/>
    <w:rsid w:val="7BFEDC3F"/>
    <w:rsid w:val="7BFF4DC6"/>
    <w:rsid w:val="7BFF69C9"/>
    <w:rsid w:val="7BFF7A4B"/>
    <w:rsid w:val="7BFFA718"/>
    <w:rsid w:val="7C1977A8"/>
    <w:rsid w:val="7C32BA45"/>
    <w:rsid w:val="7C5F07AE"/>
    <w:rsid w:val="7C5F70B7"/>
    <w:rsid w:val="7C7A1DDA"/>
    <w:rsid w:val="7C7F6047"/>
    <w:rsid w:val="7C992F21"/>
    <w:rsid w:val="7CAA1482"/>
    <w:rsid w:val="7CAE4944"/>
    <w:rsid w:val="7CE5A62E"/>
    <w:rsid w:val="7CED0F0D"/>
    <w:rsid w:val="7CF6457B"/>
    <w:rsid w:val="7CFF8AC5"/>
    <w:rsid w:val="7D1F0F5A"/>
    <w:rsid w:val="7D2FE12E"/>
    <w:rsid w:val="7D6AB12F"/>
    <w:rsid w:val="7D6E736C"/>
    <w:rsid w:val="7D6FFE28"/>
    <w:rsid w:val="7D78CAFA"/>
    <w:rsid w:val="7D7B66AA"/>
    <w:rsid w:val="7D7C112C"/>
    <w:rsid w:val="7D7F07B2"/>
    <w:rsid w:val="7D97A6DC"/>
    <w:rsid w:val="7D9E3215"/>
    <w:rsid w:val="7DAB27FE"/>
    <w:rsid w:val="7DB96489"/>
    <w:rsid w:val="7DBB7344"/>
    <w:rsid w:val="7DBBB84D"/>
    <w:rsid w:val="7DBD797D"/>
    <w:rsid w:val="7DBFF487"/>
    <w:rsid w:val="7DD6C59C"/>
    <w:rsid w:val="7DDBEFD6"/>
    <w:rsid w:val="7DDF8DD3"/>
    <w:rsid w:val="7DEB5E24"/>
    <w:rsid w:val="7DEEA260"/>
    <w:rsid w:val="7DF7FA69"/>
    <w:rsid w:val="7DFF17DB"/>
    <w:rsid w:val="7DFF3412"/>
    <w:rsid w:val="7E3F3E2F"/>
    <w:rsid w:val="7E5F44D2"/>
    <w:rsid w:val="7E7A8C24"/>
    <w:rsid w:val="7E7FE011"/>
    <w:rsid w:val="7E99450F"/>
    <w:rsid w:val="7E9F65EF"/>
    <w:rsid w:val="7EA6F4D0"/>
    <w:rsid w:val="7EBBF8AB"/>
    <w:rsid w:val="7ED74442"/>
    <w:rsid w:val="7EDB0CBC"/>
    <w:rsid w:val="7EDB9DC8"/>
    <w:rsid w:val="7EEDB958"/>
    <w:rsid w:val="7EEF4590"/>
    <w:rsid w:val="7EF3D7CC"/>
    <w:rsid w:val="7EF77678"/>
    <w:rsid w:val="7EFC4C37"/>
    <w:rsid w:val="7EFE50CB"/>
    <w:rsid w:val="7EFE6B23"/>
    <w:rsid w:val="7EFF0B6F"/>
    <w:rsid w:val="7EFF7B69"/>
    <w:rsid w:val="7EFFE6A8"/>
    <w:rsid w:val="7F075BC0"/>
    <w:rsid w:val="7F0B1FF2"/>
    <w:rsid w:val="7F0F1DA7"/>
    <w:rsid w:val="7F174713"/>
    <w:rsid w:val="7F1D3D5E"/>
    <w:rsid w:val="7F1E259A"/>
    <w:rsid w:val="7F1F6E1F"/>
    <w:rsid w:val="7F2B921D"/>
    <w:rsid w:val="7F571E67"/>
    <w:rsid w:val="7F5F55A6"/>
    <w:rsid w:val="7F5F5D8D"/>
    <w:rsid w:val="7F5F8489"/>
    <w:rsid w:val="7F6481B7"/>
    <w:rsid w:val="7F6BB1F7"/>
    <w:rsid w:val="7F6E9AC4"/>
    <w:rsid w:val="7F6F0251"/>
    <w:rsid w:val="7F6FFC9A"/>
    <w:rsid w:val="7F751BA6"/>
    <w:rsid w:val="7F778ADE"/>
    <w:rsid w:val="7F790518"/>
    <w:rsid w:val="7F7B16B6"/>
    <w:rsid w:val="7F7B2A8A"/>
    <w:rsid w:val="7F7BCEC0"/>
    <w:rsid w:val="7F7CBD32"/>
    <w:rsid w:val="7F7F4F9B"/>
    <w:rsid w:val="7F7F7D25"/>
    <w:rsid w:val="7F7FCE60"/>
    <w:rsid w:val="7F7FDCC5"/>
    <w:rsid w:val="7F8F02C3"/>
    <w:rsid w:val="7F9BF628"/>
    <w:rsid w:val="7F9F9A25"/>
    <w:rsid w:val="7FB498EB"/>
    <w:rsid w:val="7FB5E271"/>
    <w:rsid w:val="7FB725F3"/>
    <w:rsid w:val="7FB73A99"/>
    <w:rsid w:val="7FBC9B9D"/>
    <w:rsid w:val="7FBCCB97"/>
    <w:rsid w:val="7FBF6F5C"/>
    <w:rsid w:val="7FBFEAD1"/>
    <w:rsid w:val="7FBFEEEA"/>
    <w:rsid w:val="7FCA25C7"/>
    <w:rsid w:val="7FCF3F45"/>
    <w:rsid w:val="7FD740A6"/>
    <w:rsid w:val="7FDB2374"/>
    <w:rsid w:val="7FDC2C7D"/>
    <w:rsid w:val="7FDD13A4"/>
    <w:rsid w:val="7FDD90C2"/>
    <w:rsid w:val="7FDE254A"/>
    <w:rsid w:val="7FDEC9C7"/>
    <w:rsid w:val="7FDF5695"/>
    <w:rsid w:val="7FDF670E"/>
    <w:rsid w:val="7FEB104A"/>
    <w:rsid w:val="7FEB60B0"/>
    <w:rsid w:val="7FEB6E46"/>
    <w:rsid w:val="7FED6913"/>
    <w:rsid w:val="7FEEBFF1"/>
    <w:rsid w:val="7FEED4FB"/>
    <w:rsid w:val="7FEF22CB"/>
    <w:rsid w:val="7FF2AAFA"/>
    <w:rsid w:val="7FF2FD5E"/>
    <w:rsid w:val="7FF30E83"/>
    <w:rsid w:val="7FF3F163"/>
    <w:rsid w:val="7FF65232"/>
    <w:rsid w:val="7FF86BBF"/>
    <w:rsid w:val="7FFB14ED"/>
    <w:rsid w:val="7FFB3EF3"/>
    <w:rsid w:val="7FFB8B13"/>
    <w:rsid w:val="7FFC5239"/>
    <w:rsid w:val="7FFD47DB"/>
    <w:rsid w:val="7FFDD731"/>
    <w:rsid w:val="7FFE7725"/>
    <w:rsid w:val="7FFED17E"/>
    <w:rsid w:val="7FFF5823"/>
    <w:rsid w:val="7FFF65BB"/>
    <w:rsid w:val="7FFF8EAB"/>
    <w:rsid w:val="7FFF95BF"/>
    <w:rsid w:val="7FFF9795"/>
    <w:rsid w:val="7FFFC8EC"/>
    <w:rsid w:val="7FFFCB03"/>
    <w:rsid w:val="7FFFEDF2"/>
    <w:rsid w:val="83BFD64C"/>
    <w:rsid w:val="865F0948"/>
    <w:rsid w:val="87E76729"/>
    <w:rsid w:val="88EFDD46"/>
    <w:rsid w:val="8BDD2D11"/>
    <w:rsid w:val="8BFB81A2"/>
    <w:rsid w:val="8DB92E08"/>
    <w:rsid w:val="8F1DA4C1"/>
    <w:rsid w:val="8F5CD62F"/>
    <w:rsid w:val="93F73735"/>
    <w:rsid w:val="947A5510"/>
    <w:rsid w:val="957CEC5C"/>
    <w:rsid w:val="97F91B66"/>
    <w:rsid w:val="97FF75D9"/>
    <w:rsid w:val="97FFCF6F"/>
    <w:rsid w:val="9A67B193"/>
    <w:rsid w:val="9A9B3806"/>
    <w:rsid w:val="9AFE503D"/>
    <w:rsid w:val="9B7CA2F4"/>
    <w:rsid w:val="9B933EA7"/>
    <w:rsid w:val="9BAF34C6"/>
    <w:rsid w:val="9BFFE5D9"/>
    <w:rsid w:val="9CAF1639"/>
    <w:rsid w:val="9CED2955"/>
    <w:rsid w:val="9CEFCE36"/>
    <w:rsid w:val="9D7D666A"/>
    <w:rsid w:val="9DFFAC36"/>
    <w:rsid w:val="9E3ECBEE"/>
    <w:rsid w:val="9E4F1123"/>
    <w:rsid w:val="9EEFC51B"/>
    <w:rsid w:val="9EF952AE"/>
    <w:rsid w:val="9EFA0FFD"/>
    <w:rsid w:val="9EFFDECA"/>
    <w:rsid w:val="9F6FE640"/>
    <w:rsid w:val="9F94998B"/>
    <w:rsid w:val="9F9DBB0C"/>
    <w:rsid w:val="9FBE6AB9"/>
    <w:rsid w:val="9FBE7698"/>
    <w:rsid w:val="9FC7FCA5"/>
    <w:rsid w:val="9FDFA5FE"/>
    <w:rsid w:val="9FFDCDEE"/>
    <w:rsid w:val="9FFFF9D6"/>
    <w:rsid w:val="A26DFE41"/>
    <w:rsid w:val="A4BED7D7"/>
    <w:rsid w:val="A5CF3A02"/>
    <w:rsid w:val="A6B5B875"/>
    <w:rsid w:val="A6BBBF37"/>
    <w:rsid w:val="A77FECDB"/>
    <w:rsid w:val="AACDDC5C"/>
    <w:rsid w:val="ABBFB5A3"/>
    <w:rsid w:val="ABFEC53C"/>
    <w:rsid w:val="ADDEB295"/>
    <w:rsid w:val="ADEFB8F4"/>
    <w:rsid w:val="AE1E3A1A"/>
    <w:rsid w:val="AE3AF747"/>
    <w:rsid w:val="AF7F17C5"/>
    <w:rsid w:val="AF8FFBFD"/>
    <w:rsid w:val="AFA64DFC"/>
    <w:rsid w:val="AFB6AD3A"/>
    <w:rsid w:val="AFDEBD6E"/>
    <w:rsid w:val="AFF1A459"/>
    <w:rsid w:val="AFF90A9E"/>
    <w:rsid w:val="AFFB7E36"/>
    <w:rsid w:val="AFFF6A00"/>
    <w:rsid w:val="B0F748BA"/>
    <w:rsid w:val="B0FEF6B6"/>
    <w:rsid w:val="B1FF8D4E"/>
    <w:rsid w:val="B2EE62AA"/>
    <w:rsid w:val="B36E5179"/>
    <w:rsid w:val="B3F29275"/>
    <w:rsid w:val="B3F7B197"/>
    <w:rsid w:val="B3FCA770"/>
    <w:rsid w:val="B3FF2768"/>
    <w:rsid w:val="B57B28D5"/>
    <w:rsid w:val="B58F3BB5"/>
    <w:rsid w:val="B5DE82AA"/>
    <w:rsid w:val="B5EC47C0"/>
    <w:rsid w:val="B5EFF886"/>
    <w:rsid w:val="B6571943"/>
    <w:rsid w:val="B67F5C11"/>
    <w:rsid w:val="B6EF4211"/>
    <w:rsid w:val="B6FA68BE"/>
    <w:rsid w:val="B715923B"/>
    <w:rsid w:val="B776F3D5"/>
    <w:rsid w:val="B77B0FA3"/>
    <w:rsid w:val="B77B6F60"/>
    <w:rsid w:val="B77F5244"/>
    <w:rsid w:val="B7CF5A26"/>
    <w:rsid w:val="B7ED04B2"/>
    <w:rsid w:val="B7FB7BA5"/>
    <w:rsid w:val="B9B7335F"/>
    <w:rsid w:val="B9FE7C18"/>
    <w:rsid w:val="BAD3055B"/>
    <w:rsid w:val="BAF6A80D"/>
    <w:rsid w:val="BAFEA682"/>
    <w:rsid w:val="BB3A48BB"/>
    <w:rsid w:val="BB5F8ED4"/>
    <w:rsid w:val="BBFBEB5E"/>
    <w:rsid w:val="BC999329"/>
    <w:rsid w:val="BD50C970"/>
    <w:rsid w:val="BD5B5AAB"/>
    <w:rsid w:val="BD5E2A4D"/>
    <w:rsid w:val="BD7D08EA"/>
    <w:rsid w:val="BDDBBEBC"/>
    <w:rsid w:val="BDE7E7F3"/>
    <w:rsid w:val="BDEE64A5"/>
    <w:rsid w:val="BDEFCEDE"/>
    <w:rsid w:val="BDF7276A"/>
    <w:rsid w:val="BDFFEBF0"/>
    <w:rsid w:val="BE62DA3C"/>
    <w:rsid w:val="BE732394"/>
    <w:rsid w:val="BE7F1684"/>
    <w:rsid w:val="BEBCE093"/>
    <w:rsid w:val="BEBFB6AA"/>
    <w:rsid w:val="BEF1CF7F"/>
    <w:rsid w:val="BEF6429D"/>
    <w:rsid w:val="BEF93BF3"/>
    <w:rsid w:val="BEFED930"/>
    <w:rsid w:val="BEFF17BE"/>
    <w:rsid w:val="BEFFBFFC"/>
    <w:rsid w:val="BEFFFF39"/>
    <w:rsid w:val="BF5EEA74"/>
    <w:rsid w:val="BF779D8E"/>
    <w:rsid w:val="BF7F0CD6"/>
    <w:rsid w:val="BF7F10E1"/>
    <w:rsid w:val="BF7F1966"/>
    <w:rsid w:val="BF9B9225"/>
    <w:rsid w:val="BF9FC674"/>
    <w:rsid w:val="BFB3CDA1"/>
    <w:rsid w:val="BFBB6F5E"/>
    <w:rsid w:val="BFBEF1B1"/>
    <w:rsid w:val="BFBFD05B"/>
    <w:rsid w:val="BFC77E5F"/>
    <w:rsid w:val="BFCA4A4B"/>
    <w:rsid w:val="BFDAB7B1"/>
    <w:rsid w:val="BFDBBD83"/>
    <w:rsid w:val="BFEF5F06"/>
    <w:rsid w:val="BFEF7109"/>
    <w:rsid w:val="BFF34CA3"/>
    <w:rsid w:val="BFF46BAC"/>
    <w:rsid w:val="BFF479AD"/>
    <w:rsid w:val="BFF5C3A8"/>
    <w:rsid w:val="BFF6F5D0"/>
    <w:rsid w:val="BFFEAF31"/>
    <w:rsid w:val="BFFF9A57"/>
    <w:rsid w:val="C5DC0E3F"/>
    <w:rsid w:val="C66B9FEB"/>
    <w:rsid w:val="C7BDA248"/>
    <w:rsid w:val="C7D72C8A"/>
    <w:rsid w:val="C8BEB855"/>
    <w:rsid w:val="CB6490A2"/>
    <w:rsid w:val="CB9A93B2"/>
    <w:rsid w:val="CBD39841"/>
    <w:rsid w:val="CBDB22A3"/>
    <w:rsid w:val="CBFF77AE"/>
    <w:rsid w:val="CD5D91C3"/>
    <w:rsid w:val="CE47082E"/>
    <w:rsid w:val="CEA92C04"/>
    <w:rsid w:val="CEFB3173"/>
    <w:rsid w:val="CEFD6FD5"/>
    <w:rsid w:val="CEFF4050"/>
    <w:rsid w:val="CEFF5149"/>
    <w:rsid w:val="CF4BBE3F"/>
    <w:rsid w:val="CF64B160"/>
    <w:rsid w:val="CF656061"/>
    <w:rsid w:val="CF7E832A"/>
    <w:rsid w:val="CF7EF2D1"/>
    <w:rsid w:val="CFCA55ED"/>
    <w:rsid w:val="CFD5B1AD"/>
    <w:rsid w:val="CFDDB635"/>
    <w:rsid w:val="CFDE9DF3"/>
    <w:rsid w:val="CFEF09AF"/>
    <w:rsid w:val="CFEFCFAE"/>
    <w:rsid w:val="CFF57357"/>
    <w:rsid w:val="CFFE7D40"/>
    <w:rsid w:val="CFFF9AF5"/>
    <w:rsid w:val="CFFFED6A"/>
    <w:rsid w:val="D1339C79"/>
    <w:rsid w:val="D2FC0B8E"/>
    <w:rsid w:val="D30F8CB5"/>
    <w:rsid w:val="D31FFE88"/>
    <w:rsid w:val="D36C18D8"/>
    <w:rsid w:val="D3FEFBEF"/>
    <w:rsid w:val="D567CE78"/>
    <w:rsid w:val="D5FBCDB7"/>
    <w:rsid w:val="D667971C"/>
    <w:rsid w:val="D6E4FEA2"/>
    <w:rsid w:val="D6F723CD"/>
    <w:rsid w:val="D6FFB27C"/>
    <w:rsid w:val="D71AC84C"/>
    <w:rsid w:val="D73D97C9"/>
    <w:rsid w:val="D75E0D0B"/>
    <w:rsid w:val="D77F2315"/>
    <w:rsid w:val="D7CFA427"/>
    <w:rsid w:val="D7DA153C"/>
    <w:rsid w:val="D7DCCD67"/>
    <w:rsid w:val="D7DE9A82"/>
    <w:rsid w:val="D7EBB7B4"/>
    <w:rsid w:val="D7EF2406"/>
    <w:rsid w:val="D7FF01A0"/>
    <w:rsid w:val="D87FD8D7"/>
    <w:rsid w:val="D8DC649D"/>
    <w:rsid w:val="D92F890E"/>
    <w:rsid w:val="D9775417"/>
    <w:rsid w:val="D9DF5DBE"/>
    <w:rsid w:val="D9F7F80C"/>
    <w:rsid w:val="D9FDB461"/>
    <w:rsid w:val="DA1D5E1E"/>
    <w:rsid w:val="DA5FB176"/>
    <w:rsid w:val="DAAB7AA4"/>
    <w:rsid w:val="DAEDC090"/>
    <w:rsid w:val="DB73F3A3"/>
    <w:rsid w:val="DBFE44CC"/>
    <w:rsid w:val="DBFE8A31"/>
    <w:rsid w:val="DCFB9A6D"/>
    <w:rsid w:val="DD39FABE"/>
    <w:rsid w:val="DD79D06D"/>
    <w:rsid w:val="DDDB7160"/>
    <w:rsid w:val="DDDD5041"/>
    <w:rsid w:val="DDEF463F"/>
    <w:rsid w:val="DDF79BF9"/>
    <w:rsid w:val="DDF7AC06"/>
    <w:rsid w:val="DDF8F1A5"/>
    <w:rsid w:val="DDFE7CCC"/>
    <w:rsid w:val="DE37894B"/>
    <w:rsid w:val="DE7CBE08"/>
    <w:rsid w:val="DEBB51CB"/>
    <w:rsid w:val="DEDBCFA8"/>
    <w:rsid w:val="DEE31FCB"/>
    <w:rsid w:val="DEFF9A39"/>
    <w:rsid w:val="DF13C9E3"/>
    <w:rsid w:val="DF357310"/>
    <w:rsid w:val="DF5B5945"/>
    <w:rsid w:val="DF6F8B6A"/>
    <w:rsid w:val="DF6FEB77"/>
    <w:rsid w:val="DF6FFF27"/>
    <w:rsid w:val="DF7B0560"/>
    <w:rsid w:val="DF7DAD96"/>
    <w:rsid w:val="DF7E0415"/>
    <w:rsid w:val="DF8DEDFC"/>
    <w:rsid w:val="DF97C28B"/>
    <w:rsid w:val="DFB6AE9C"/>
    <w:rsid w:val="DFC9C963"/>
    <w:rsid w:val="DFD2793F"/>
    <w:rsid w:val="DFD4D46E"/>
    <w:rsid w:val="DFDBE325"/>
    <w:rsid w:val="DFDDCB3E"/>
    <w:rsid w:val="DFDE1A02"/>
    <w:rsid w:val="DFDF7368"/>
    <w:rsid w:val="DFEB8292"/>
    <w:rsid w:val="DFF78F27"/>
    <w:rsid w:val="DFF96272"/>
    <w:rsid w:val="DFF994AD"/>
    <w:rsid w:val="DFFEF938"/>
    <w:rsid w:val="DFFF0A2F"/>
    <w:rsid w:val="DFFF797A"/>
    <w:rsid w:val="DFFFAD01"/>
    <w:rsid w:val="E1F3F0CE"/>
    <w:rsid w:val="E1F4654E"/>
    <w:rsid w:val="E2FFD23E"/>
    <w:rsid w:val="E32DBE6E"/>
    <w:rsid w:val="E377F8F3"/>
    <w:rsid w:val="E3AD1835"/>
    <w:rsid w:val="E3BFEF14"/>
    <w:rsid w:val="E3F68DE5"/>
    <w:rsid w:val="E4D321EB"/>
    <w:rsid w:val="E4DC9553"/>
    <w:rsid w:val="E5F7A8B6"/>
    <w:rsid w:val="E5F94DFB"/>
    <w:rsid w:val="E6974AE4"/>
    <w:rsid w:val="E6BD1C4C"/>
    <w:rsid w:val="E6DB6CAA"/>
    <w:rsid w:val="E6ED7800"/>
    <w:rsid w:val="E6EF50A9"/>
    <w:rsid w:val="E75B2F4E"/>
    <w:rsid w:val="E7778BA4"/>
    <w:rsid w:val="E77FB12E"/>
    <w:rsid w:val="E7B58720"/>
    <w:rsid w:val="E7D56EF7"/>
    <w:rsid w:val="E7DFA9D7"/>
    <w:rsid w:val="E7F78DBA"/>
    <w:rsid w:val="E8FFB8F4"/>
    <w:rsid w:val="E9B7E745"/>
    <w:rsid w:val="EA7F8EE7"/>
    <w:rsid w:val="EAB518B0"/>
    <w:rsid w:val="EAF94FAB"/>
    <w:rsid w:val="EB4F03C4"/>
    <w:rsid w:val="EB5FB8FF"/>
    <w:rsid w:val="EB7DADF7"/>
    <w:rsid w:val="EBB330BD"/>
    <w:rsid w:val="EBBEEBC0"/>
    <w:rsid w:val="EBBFFDFC"/>
    <w:rsid w:val="EBDE82E4"/>
    <w:rsid w:val="EBDEA5CC"/>
    <w:rsid w:val="EBEBE157"/>
    <w:rsid w:val="EBF95E81"/>
    <w:rsid w:val="EC3BF733"/>
    <w:rsid w:val="ECD25E0C"/>
    <w:rsid w:val="ECDAF89C"/>
    <w:rsid w:val="ECFF25E8"/>
    <w:rsid w:val="ED577024"/>
    <w:rsid w:val="ED5FA988"/>
    <w:rsid w:val="ED5FED7D"/>
    <w:rsid w:val="ED77E293"/>
    <w:rsid w:val="ED7BABEA"/>
    <w:rsid w:val="ED8EE9BA"/>
    <w:rsid w:val="EDE72ECC"/>
    <w:rsid w:val="EDEFA37C"/>
    <w:rsid w:val="EDFB8758"/>
    <w:rsid w:val="EDFCB815"/>
    <w:rsid w:val="EE37BC0D"/>
    <w:rsid w:val="EE7E9BC6"/>
    <w:rsid w:val="EE9B89A4"/>
    <w:rsid w:val="EEAF4233"/>
    <w:rsid w:val="EEBE5B2F"/>
    <w:rsid w:val="EED759A7"/>
    <w:rsid w:val="EEF7E284"/>
    <w:rsid w:val="EEFE9A53"/>
    <w:rsid w:val="EF35808D"/>
    <w:rsid w:val="EF3596C0"/>
    <w:rsid w:val="EF5F549F"/>
    <w:rsid w:val="EF7E9546"/>
    <w:rsid w:val="EF7F0D12"/>
    <w:rsid w:val="EF995AC1"/>
    <w:rsid w:val="EF9FCBAF"/>
    <w:rsid w:val="EFA70C80"/>
    <w:rsid w:val="EFAD5772"/>
    <w:rsid w:val="EFB37416"/>
    <w:rsid w:val="EFBE5199"/>
    <w:rsid w:val="EFCA7C54"/>
    <w:rsid w:val="EFCB5822"/>
    <w:rsid w:val="EFDD2462"/>
    <w:rsid w:val="EFF38F7F"/>
    <w:rsid w:val="EFF7E79C"/>
    <w:rsid w:val="EFF7EEC4"/>
    <w:rsid w:val="EFFC930C"/>
    <w:rsid w:val="EFFD14C7"/>
    <w:rsid w:val="EFFD19B5"/>
    <w:rsid w:val="EFFE0E91"/>
    <w:rsid w:val="EFFE1072"/>
    <w:rsid w:val="EFFE4854"/>
    <w:rsid w:val="EFFE9ADB"/>
    <w:rsid w:val="EFFFBF8B"/>
    <w:rsid w:val="EFFFDEA6"/>
    <w:rsid w:val="EFFFF8D3"/>
    <w:rsid w:val="EFFFFB17"/>
    <w:rsid w:val="F0F5519B"/>
    <w:rsid w:val="F167CAB1"/>
    <w:rsid w:val="F1BFE9ED"/>
    <w:rsid w:val="F1E37086"/>
    <w:rsid w:val="F1ED405F"/>
    <w:rsid w:val="F27BD834"/>
    <w:rsid w:val="F2BF58D8"/>
    <w:rsid w:val="F2FB57BD"/>
    <w:rsid w:val="F2FF7BA2"/>
    <w:rsid w:val="F31FC317"/>
    <w:rsid w:val="F37F4FEE"/>
    <w:rsid w:val="F39B163C"/>
    <w:rsid w:val="F3BE7DE3"/>
    <w:rsid w:val="F3DFC48A"/>
    <w:rsid w:val="F3DFCAE4"/>
    <w:rsid w:val="F3DFF222"/>
    <w:rsid w:val="F3EB2583"/>
    <w:rsid w:val="F3FD1286"/>
    <w:rsid w:val="F47D5AF7"/>
    <w:rsid w:val="F4BF0967"/>
    <w:rsid w:val="F4BFB974"/>
    <w:rsid w:val="F56F22EA"/>
    <w:rsid w:val="F56F86AE"/>
    <w:rsid w:val="F578C90D"/>
    <w:rsid w:val="F57FF291"/>
    <w:rsid w:val="F5BA7558"/>
    <w:rsid w:val="F5C7FA36"/>
    <w:rsid w:val="F5ED3376"/>
    <w:rsid w:val="F5EFA01E"/>
    <w:rsid w:val="F5F87707"/>
    <w:rsid w:val="F5F9F206"/>
    <w:rsid w:val="F5FF167F"/>
    <w:rsid w:val="F5FF8AA0"/>
    <w:rsid w:val="F5FFAC7B"/>
    <w:rsid w:val="F5FFB075"/>
    <w:rsid w:val="F5FFEF8A"/>
    <w:rsid w:val="F6BB0101"/>
    <w:rsid w:val="F6FC556E"/>
    <w:rsid w:val="F6FDDB1D"/>
    <w:rsid w:val="F6FF8109"/>
    <w:rsid w:val="F6FFB558"/>
    <w:rsid w:val="F73291CF"/>
    <w:rsid w:val="F75EF2F1"/>
    <w:rsid w:val="F76749FE"/>
    <w:rsid w:val="F77D5A68"/>
    <w:rsid w:val="F77F0F55"/>
    <w:rsid w:val="F7B598AD"/>
    <w:rsid w:val="F7B7705E"/>
    <w:rsid w:val="F7B7989D"/>
    <w:rsid w:val="F7BE2F5C"/>
    <w:rsid w:val="F7BFD072"/>
    <w:rsid w:val="F7DF7E8F"/>
    <w:rsid w:val="F7EC0D58"/>
    <w:rsid w:val="F7EC7BB3"/>
    <w:rsid w:val="F7EEC53B"/>
    <w:rsid w:val="F7EFBBEC"/>
    <w:rsid w:val="F7F6DB64"/>
    <w:rsid w:val="F7F79B7A"/>
    <w:rsid w:val="F7FB8AFB"/>
    <w:rsid w:val="F7FEAB6A"/>
    <w:rsid w:val="F7FFAFAC"/>
    <w:rsid w:val="F7FFF598"/>
    <w:rsid w:val="F7FFFEA2"/>
    <w:rsid w:val="F87B109A"/>
    <w:rsid w:val="F8E701ED"/>
    <w:rsid w:val="F8F7D448"/>
    <w:rsid w:val="F8FF5DE6"/>
    <w:rsid w:val="F935474C"/>
    <w:rsid w:val="F973E303"/>
    <w:rsid w:val="F97BD2F7"/>
    <w:rsid w:val="F97E8FAD"/>
    <w:rsid w:val="F989BCE8"/>
    <w:rsid w:val="F9D5EEE4"/>
    <w:rsid w:val="F9EBAD40"/>
    <w:rsid w:val="F9FE34DA"/>
    <w:rsid w:val="FA3B60A2"/>
    <w:rsid w:val="FA67B7F9"/>
    <w:rsid w:val="FA6F3E70"/>
    <w:rsid w:val="FA7F2156"/>
    <w:rsid w:val="FABF5568"/>
    <w:rsid w:val="FAD5A73A"/>
    <w:rsid w:val="FAE6603B"/>
    <w:rsid w:val="FAE7269E"/>
    <w:rsid w:val="FAEF0ACD"/>
    <w:rsid w:val="FAEFD81C"/>
    <w:rsid w:val="FAFBDDD8"/>
    <w:rsid w:val="FAFD88EB"/>
    <w:rsid w:val="FAFE7B2C"/>
    <w:rsid w:val="FB587594"/>
    <w:rsid w:val="FB6DB040"/>
    <w:rsid w:val="FB7ABBD4"/>
    <w:rsid w:val="FB7DFB10"/>
    <w:rsid w:val="FB7F4B15"/>
    <w:rsid w:val="FB7FDA2F"/>
    <w:rsid w:val="FB997A69"/>
    <w:rsid w:val="FBAF1493"/>
    <w:rsid w:val="FBB3EAC1"/>
    <w:rsid w:val="FBBB231F"/>
    <w:rsid w:val="FBBB7E16"/>
    <w:rsid w:val="FBBF0695"/>
    <w:rsid w:val="FBC192C2"/>
    <w:rsid w:val="FBC2B7E7"/>
    <w:rsid w:val="FBC70928"/>
    <w:rsid w:val="FBDBFF00"/>
    <w:rsid w:val="FBE0C1FC"/>
    <w:rsid w:val="FBE2E6C1"/>
    <w:rsid w:val="FBF0ABF8"/>
    <w:rsid w:val="FBF32540"/>
    <w:rsid w:val="FBF6935F"/>
    <w:rsid w:val="FBF76111"/>
    <w:rsid w:val="FBF92603"/>
    <w:rsid w:val="FBFC4870"/>
    <w:rsid w:val="FBFD3067"/>
    <w:rsid w:val="FBFDF176"/>
    <w:rsid w:val="FBFE2CE0"/>
    <w:rsid w:val="FBFEC5B0"/>
    <w:rsid w:val="FBFEEE2D"/>
    <w:rsid w:val="FBFF0D31"/>
    <w:rsid w:val="FBFFC873"/>
    <w:rsid w:val="FBFFF2F4"/>
    <w:rsid w:val="FC55BFA8"/>
    <w:rsid w:val="FC575829"/>
    <w:rsid w:val="FC7898D7"/>
    <w:rsid w:val="FC7F5D0D"/>
    <w:rsid w:val="FCB1D545"/>
    <w:rsid w:val="FCB75032"/>
    <w:rsid w:val="FCBFE769"/>
    <w:rsid w:val="FCDED1FF"/>
    <w:rsid w:val="FCDF580D"/>
    <w:rsid w:val="FCFE1A13"/>
    <w:rsid w:val="FCFE7E79"/>
    <w:rsid w:val="FCFF30AB"/>
    <w:rsid w:val="FD45B524"/>
    <w:rsid w:val="FD754BBA"/>
    <w:rsid w:val="FD7AC442"/>
    <w:rsid w:val="FD7E939C"/>
    <w:rsid w:val="FD7F05A4"/>
    <w:rsid w:val="FD7FF3C1"/>
    <w:rsid w:val="FD8F70B2"/>
    <w:rsid w:val="FDCF27B9"/>
    <w:rsid w:val="FDD5A136"/>
    <w:rsid w:val="FDDABDF9"/>
    <w:rsid w:val="FDDADE22"/>
    <w:rsid w:val="FDDB76C7"/>
    <w:rsid w:val="FDE7330F"/>
    <w:rsid w:val="FDEB3DFF"/>
    <w:rsid w:val="FDEB9D10"/>
    <w:rsid w:val="FDECD6F2"/>
    <w:rsid w:val="FDEDC709"/>
    <w:rsid w:val="FDEF56BA"/>
    <w:rsid w:val="FDF2B6F1"/>
    <w:rsid w:val="FDF36DC7"/>
    <w:rsid w:val="FDF63529"/>
    <w:rsid w:val="FDF74124"/>
    <w:rsid w:val="FDF75B62"/>
    <w:rsid w:val="FDFB2A11"/>
    <w:rsid w:val="FDFD2422"/>
    <w:rsid w:val="FDFD9D19"/>
    <w:rsid w:val="FDFDE6BA"/>
    <w:rsid w:val="FDFEA790"/>
    <w:rsid w:val="FDFF7EAF"/>
    <w:rsid w:val="FDFF94C4"/>
    <w:rsid w:val="FDFFE98A"/>
    <w:rsid w:val="FE1FE7D7"/>
    <w:rsid w:val="FE36DAA5"/>
    <w:rsid w:val="FE53CFCF"/>
    <w:rsid w:val="FE7D59FF"/>
    <w:rsid w:val="FE7E4CB6"/>
    <w:rsid w:val="FE7F97BA"/>
    <w:rsid w:val="FE9B7309"/>
    <w:rsid w:val="FE9EA74D"/>
    <w:rsid w:val="FE9FDBD7"/>
    <w:rsid w:val="FEABB1FD"/>
    <w:rsid w:val="FEB772AB"/>
    <w:rsid w:val="FED94C7D"/>
    <w:rsid w:val="FEDF20A8"/>
    <w:rsid w:val="FEE7520C"/>
    <w:rsid w:val="FEE7C03F"/>
    <w:rsid w:val="FEECB418"/>
    <w:rsid w:val="FEEF16D9"/>
    <w:rsid w:val="FEEF310D"/>
    <w:rsid w:val="FEF7557B"/>
    <w:rsid w:val="FEF8EB3B"/>
    <w:rsid w:val="FEFCF7D4"/>
    <w:rsid w:val="FEFD7249"/>
    <w:rsid w:val="FEFE6B30"/>
    <w:rsid w:val="FEFF4BB5"/>
    <w:rsid w:val="FF2B7C5F"/>
    <w:rsid w:val="FF2D0EBC"/>
    <w:rsid w:val="FF372FFF"/>
    <w:rsid w:val="FF3A91E1"/>
    <w:rsid w:val="FF3FBE0C"/>
    <w:rsid w:val="FF5509FB"/>
    <w:rsid w:val="FF5757B8"/>
    <w:rsid w:val="FF5F2F33"/>
    <w:rsid w:val="FF63452B"/>
    <w:rsid w:val="FF6B77E7"/>
    <w:rsid w:val="FF6F8271"/>
    <w:rsid w:val="FF6FC3D0"/>
    <w:rsid w:val="FF7753CC"/>
    <w:rsid w:val="FF77A231"/>
    <w:rsid w:val="FF7D6919"/>
    <w:rsid w:val="FF7F23FD"/>
    <w:rsid w:val="FF7F32C1"/>
    <w:rsid w:val="FF7F5935"/>
    <w:rsid w:val="FF7F68AE"/>
    <w:rsid w:val="FF7F7A0B"/>
    <w:rsid w:val="FF7F7BA5"/>
    <w:rsid w:val="FF7F97B9"/>
    <w:rsid w:val="FF8FAA62"/>
    <w:rsid w:val="FF8FB52A"/>
    <w:rsid w:val="FF940639"/>
    <w:rsid w:val="FF9B26FD"/>
    <w:rsid w:val="FFA5E8BF"/>
    <w:rsid w:val="FFAE5AAE"/>
    <w:rsid w:val="FFAF258A"/>
    <w:rsid w:val="FFAF41C6"/>
    <w:rsid w:val="FFAFC2A5"/>
    <w:rsid w:val="FFAFE52E"/>
    <w:rsid w:val="FFB2807B"/>
    <w:rsid w:val="FFB7AD4D"/>
    <w:rsid w:val="FFBD3C71"/>
    <w:rsid w:val="FFBE0ACA"/>
    <w:rsid w:val="FFBEB288"/>
    <w:rsid w:val="FFBF4905"/>
    <w:rsid w:val="FFBF6738"/>
    <w:rsid w:val="FFBF8D58"/>
    <w:rsid w:val="FFC2A09D"/>
    <w:rsid w:val="FFC7DDBF"/>
    <w:rsid w:val="FFCB4822"/>
    <w:rsid w:val="FFCE12C2"/>
    <w:rsid w:val="FFCF2151"/>
    <w:rsid w:val="FFCFFEFE"/>
    <w:rsid w:val="FFD36876"/>
    <w:rsid w:val="FFD6FE28"/>
    <w:rsid w:val="FFD97AF0"/>
    <w:rsid w:val="FFDDEB4A"/>
    <w:rsid w:val="FFDF2B71"/>
    <w:rsid w:val="FFDF65FC"/>
    <w:rsid w:val="FFDF79E6"/>
    <w:rsid w:val="FFDF82FC"/>
    <w:rsid w:val="FFDFCCA9"/>
    <w:rsid w:val="FFDFD518"/>
    <w:rsid w:val="FFDFDAB5"/>
    <w:rsid w:val="FFDFE918"/>
    <w:rsid w:val="FFE3CB32"/>
    <w:rsid w:val="FFE75944"/>
    <w:rsid w:val="FFE940FA"/>
    <w:rsid w:val="FFE9E2B2"/>
    <w:rsid w:val="FFEA3193"/>
    <w:rsid w:val="FFEB7173"/>
    <w:rsid w:val="FFEBF2A3"/>
    <w:rsid w:val="FFEC6AC9"/>
    <w:rsid w:val="FFED513F"/>
    <w:rsid w:val="FFEDEFE3"/>
    <w:rsid w:val="FFEF28CC"/>
    <w:rsid w:val="FFEF8DD2"/>
    <w:rsid w:val="FFF15A00"/>
    <w:rsid w:val="FFF39CAC"/>
    <w:rsid w:val="FFF67C4B"/>
    <w:rsid w:val="FFF71217"/>
    <w:rsid w:val="FFF71AB4"/>
    <w:rsid w:val="FFF721F4"/>
    <w:rsid w:val="FFF9166F"/>
    <w:rsid w:val="FFF9F249"/>
    <w:rsid w:val="FFFA0E8C"/>
    <w:rsid w:val="FFFA551F"/>
    <w:rsid w:val="FFFC5155"/>
    <w:rsid w:val="FFFCBBC5"/>
    <w:rsid w:val="FFFD7161"/>
    <w:rsid w:val="FFFD7DAB"/>
    <w:rsid w:val="FFFD8445"/>
    <w:rsid w:val="FFFE50EF"/>
    <w:rsid w:val="FFFE612D"/>
    <w:rsid w:val="FFFE94BE"/>
    <w:rsid w:val="FFFF0927"/>
    <w:rsid w:val="FFFF0E25"/>
    <w:rsid w:val="FFFF0E34"/>
    <w:rsid w:val="FFFF72D0"/>
    <w:rsid w:val="FFFF77C1"/>
    <w:rsid w:val="FFFFB04E"/>
    <w:rsid w:val="FFFFC286"/>
    <w:rsid w:val="FFFFD8F8"/>
    <w:rsid w:val="FFFFDB02"/>
    <w:rsid w:val="FFFFE837"/>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nhideWhenUsed="0" w:uiPriority="35" w:semiHidden="0"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1" w:semiHidden="0"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adjustRightInd w:val="0"/>
      <w:snapToGrid w:val="0"/>
      <w:spacing w:line="588" w:lineRule="exact"/>
      <w:ind w:firstLine="200" w:firstLineChars="200"/>
      <w:jc w:val="both"/>
    </w:pPr>
    <w:rPr>
      <w:rFonts w:ascii="宋体" w:hAnsi="宋体" w:eastAsia="仿宋_GB2312" w:cs="Times New Roman"/>
      <w:kern w:val="2"/>
      <w:sz w:val="32"/>
      <w:szCs w:val="22"/>
      <w:lang w:val="en-US" w:eastAsia="zh-CN" w:bidi="ar-SA"/>
    </w:rPr>
  </w:style>
  <w:style w:type="paragraph" w:styleId="2">
    <w:name w:val="heading 1"/>
    <w:next w:val="1"/>
    <w:link w:val="40"/>
    <w:qFormat/>
    <w:uiPriority w:val="9"/>
    <w:pPr>
      <w:keepNext/>
      <w:keepLines/>
      <w:numPr>
        <w:ilvl w:val="0"/>
        <w:numId w:val="1"/>
      </w:numPr>
      <w:adjustRightInd w:val="0"/>
      <w:snapToGrid w:val="0"/>
      <w:spacing w:before="200" w:after="400"/>
      <w:ind w:left="0"/>
      <w:jc w:val="center"/>
      <w:outlineLvl w:val="0"/>
    </w:pPr>
    <w:rPr>
      <w:rFonts w:ascii="方正小标宋简体" w:hAnsi="方正小标宋简体" w:eastAsia="方正小标宋简体" w:cs="方正小标宋简体"/>
      <w:bCs/>
      <w:kern w:val="44"/>
      <w:sz w:val="36"/>
      <w:szCs w:val="36"/>
      <w:lang w:val="en-US" w:eastAsia="zh-CN" w:bidi="ar-SA"/>
    </w:rPr>
  </w:style>
  <w:style w:type="paragraph" w:styleId="3">
    <w:name w:val="heading 2"/>
    <w:next w:val="1"/>
    <w:link w:val="41"/>
    <w:qFormat/>
    <w:uiPriority w:val="9"/>
    <w:pPr>
      <w:keepNext/>
      <w:keepLines/>
      <w:numPr>
        <w:ilvl w:val="1"/>
        <w:numId w:val="1"/>
      </w:numPr>
      <w:adjustRightInd w:val="0"/>
      <w:snapToGrid w:val="0"/>
      <w:spacing w:before="200" w:after="200"/>
      <w:ind w:left="0"/>
      <w:jc w:val="center"/>
      <w:outlineLvl w:val="1"/>
    </w:pPr>
    <w:rPr>
      <w:rFonts w:ascii="黑体" w:hAnsi="Cambria" w:eastAsia="黑体" w:cs="Times New Roman"/>
      <w:bCs/>
      <w:kern w:val="2"/>
      <w:sz w:val="32"/>
      <w:szCs w:val="30"/>
      <w:lang w:val="en-US" w:eastAsia="zh-CN" w:bidi="ar-SA"/>
    </w:rPr>
  </w:style>
  <w:style w:type="paragraph" w:styleId="4">
    <w:name w:val="heading 3"/>
    <w:next w:val="1"/>
    <w:link w:val="42"/>
    <w:qFormat/>
    <w:uiPriority w:val="9"/>
    <w:pPr>
      <w:keepNext/>
      <w:keepLines/>
      <w:numPr>
        <w:ilvl w:val="0"/>
        <w:numId w:val="2"/>
      </w:numPr>
      <w:adjustRightInd w:val="0"/>
      <w:snapToGrid w:val="0"/>
      <w:spacing w:before="195" w:beforeLines="60" w:after="195" w:afterLines="60"/>
      <w:outlineLvl w:val="2"/>
    </w:pPr>
    <w:rPr>
      <w:rFonts w:ascii="楷体" w:hAnsi="楷体" w:eastAsia="楷体" w:cs="楷体"/>
      <w:bCs/>
      <w:kern w:val="2"/>
      <w:sz w:val="32"/>
      <w:szCs w:val="32"/>
      <w:lang w:val="en-US" w:eastAsia="zh-CN" w:bidi="ar-SA"/>
    </w:rPr>
  </w:style>
  <w:style w:type="paragraph" w:styleId="5">
    <w:name w:val="heading 4"/>
    <w:next w:val="1"/>
    <w:link w:val="43"/>
    <w:qFormat/>
    <w:uiPriority w:val="9"/>
    <w:pPr>
      <w:keepNext/>
      <w:keepLines/>
      <w:numPr>
        <w:ilvl w:val="3"/>
        <w:numId w:val="1"/>
      </w:numPr>
      <w:adjustRightInd w:val="0"/>
      <w:snapToGrid w:val="0"/>
      <w:spacing w:line="560" w:lineRule="exact"/>
      <w:outlineLvl w:val="3"/>
    </w:pPr>
    <w:rPr>
      <w:rFonts w:ascii="仿宋_GB2312" w:hAnsi="仿宋_GB2312" w:eastAsia="仿宋_GB2312" w:cs="仿宋_GB2312"/>
      <w:bCs/>
      <w:kern w:val="2"/>
      <w:sz w:val="32"/>
      <w:szCs w:val="32"/>
      <w:lang w:val="en-US" w:eastAsia="zh-CN" w:bidi="ar-SA"/>
    </w:rPr>
  </w:style>
  <w:style w:type="paragraph" w:styleId="6">
    <w:name w:val="heading 5"/>
    <w:basedOn w:val="5"/>
    <w:next w:val="1"/>
    <w:link w:val="44"/>
    <w:qFormat/>
    <w:uiPriority w:val="9"/>
    <w:pPr>
      <w:numPr>
        <w:ilvl w:val="4"/>
      </w:numPr>
      <w:outlineLvl w:val="4"/>
    </w:pPr>
  </w:style>
  <w:style w:type="paragraph" w:styleId="7">
    <w:name w:val="heading 6"/>
    <w:basedOn w:val="1"/>
    <w:next w:val="1"/>
    <w:link w:val="45"/>
    <w:qFormat/>
    <w:uiPriority w:val="9"/>
    <w:pPr>
      <w:keepNext/>
      <w:keepLines/>
      <w:spacing w:before="240" w:after="64" w:line="320" w:lineRule="auto"/>
      <w:ind w:firstLine="0" w:firstLineChars="0"/>
      <w:outlineLvl w:val="5"/>
    </w:pPr>
    <w:rPr>
      <w:rFonts w:ascii="Cambria" w:hAnsi="Cambria"/>
      <w:b/>
      <w:bCs/>
      <w:szCs w:val="24"/>
    </w:rPr>
  </w:style>
  <w:style w:type="paragraph" w:styleId="8">
    <w:name w:val="heading 7"/>
    <w:basedOn w:val="1"/>
    <w:next w:val="1"/>
    <w:link w:val="46"/>
    <w:qFormat/>
    <w:uiPriority w:val="9"/>
    <w:pPr>
      <w:keepNext/>
      <w:keepLines/>
      <w:spacing w:before="240" w:after="64" w:line="320" w:lineRule="auto"/>
      <w:ind w:firstLine="0" w:firstLineChars="0"/>
      <w:outlineLvl w:val="6"/>
    </w:pPr>
    <w:rPr>
      <w:b/>
      <w:bCs/>
      <w:szCs w:val="24"/>
    </w:rPr>
  </w:style>
  <w:style w:type="paragraph" w:styleId="9">
    <w:name w:val="heading 8"/>
    <w:basedOn w:val="1"/>
    <w:next w:val="1"/>
    <w:link w:val="47"/>
    <w:qFormat/>
    <w:uiPriority w:val="9"/>
    <w:pPr>
      <w:keepNext/>
      <w:keepLines/>
      <w:numPr>
        <w:ilvl w:val="7"/>
        <w:numId w:val="1"/>
      </w:numPr>
      <w:spacing w:before="240" w:after="64" w:line="320" w:lineRule="auto"/>
      <w:ind w:firstLine="0" w:firstLineChars="0"/>
      <w:outlineLvl w:val="7"/>
    </w:pPr>
    <w:rPr>
      <w:rFonts w:ascii="Cambria" w:hAnsi="Cambria"/>
      <w:szCs w:val="24"/>
    </w:rPr>
  </w:style>
  <w:style w:type="paragraph" w:styleId="10">
    <w:name w:val="heading 9"/>
    <w:basedOn w:val="1"/>
    <w:next w:val="1"/>
    <w:link w:val="48"/>
    <w:qFormat/>
    <w:uiPriority w:val="9"/>
    <w:pPr>
      <w:keepNext/>
      <w:keepLines/>
      <w:numPr>
        <w:ilvl w:val="8"/>
        <w:numId w:val="1"/>
      </w:numPr>
      <w:spacing w:before="240" w:after="64" w:line="320" w:lineRule="auto"/>
      <w:ind w:firstLine="0" w:firstLineChars="0"/>
      <w:outlineLvl w:val="8"/>
    </w:pPr>
    <w:rPr>
      <w:rFonts w:ascii="Cambria" w:hAnsi="Cambria"/>
      <w:szCs w:val="21"/>
    </w:rPr>
  </w:style>
  <w:style w:type="character" w:default="1" w:styleId="32">
    <w:name w:val="Default Paragraph Font"/>
    <w:semiHidden/>
    <w:unhideWhenUsed/>
    <w:qFormat/>
    <w:uiPriority w:val="1"/>
  </w:style>
  <w:style w:type="table" w:default="1" w:styleId="30">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unhideWhenUsed/>
    <w:qFormat/>
    <w:uiPriority w:val="39"/>
    <w:pPr>
      <w:widowControl w:val="0"/>
      <w:adjustRightInd/>
      <w:snapToGrid/>
      <w:spacing w:line="240" w:lineRule="auto"/>
      <w:ind w:left="2520" w:leftChars="1200" w:firstLine="0" w:firstLineChars="0"/>
    </w:pPr>
    <w:rPr>
      <w:rFonts w:asciiTheme="minorHAnsi" w:hAnsiTheme="minorHAnsi" w:eastAsiaTheme="minorEastAsia" w:cstheme="minorBidi"/>
      <w:sz w:val="21"/>
    </w:rPr>
  </w:style>
  <w:style w:type="paragraph" w:styleId="12">
    <w:name w:val="caption"/>
    <w:basedOn w:val="1"/>
    <w:next w:val="1"/>
    <w:link w:val="95"/>
    <w:qFormat/>
    <w:uiPriority w:val="35"/>
    <w:pPr>
      <w:widowControl w:val="0"/>
      <w:adjustRightInd/>
      <w:snapToGrid/>
    </w:pPr>
    <w:rPr>
      <w:rFonts w:ascii="等线 Light" w:hAnsi="等线 Light" w:eastAsia="黑体"/>
      <w:sz w:val="20"/>
      <w:szCs w:val="20"/>
    </w:rPr>
  </w:style>
  <w:style w:type="paragraph" w:styleId="13">
    <w:name w:val="annotation text"/>
    <w:basedOn w:val="1"/>
    <w:link w:val="65"/>
    <w:unhideWhenUsed/>
    <w:qFormat/>
    <w:uiPriority w:val="99"/>
    <w:pPr>
      <w:jc w:val="left"/>
    </w:pPr>
  </w:style>
  <w:style w:type="paragraph" w:styleId="14">
    <w:name w:val="Body Text"/>
    <w:basedOn w:val="1"/>
    <w:link w:val="80"/>
    <w:unhideWhenUsed/>
    <w:qFormat/>
    <w:uiPriority w:val="1"/>
    <w:pPr>
      <w:widowControl w:val="0"/>
      <w:spacing w:after="120"/>
    </w:pPr>
    <w:rPr>
      <w:rFonts w:ascii="Times New Roman"/>
      <w:sz w:val="28"/>
      <w:szCs w:val="24"/>
    </w:rPr>
  </w:style>
  <w:style w:type="paragraph" w:styleId="15">
    <w:name w:val="Body Text Indent"/>
    <w:basedOn w:val="1"/>
    <w:link w:val="75"/>
    <w:unhideWhenUsed/>
    <w:qFormat/>
    <w:uiPriority w:val="99"/>
    <w:pPr>
      <w:spacing w:after="120"/>
      <w:ind w:left="420" w:leftChars="200"/>
    </w:pPr>
  </w:style>
  <w:style w:type="paragraph" w:styleId="16">
    <w:name w:val="toc 5"/>
    <w:basedOn w:val="1"/>
    <w:next w:val="1"/>
    <w:unhideWhenUsed/>
    <w:qFormat/>
    <w:uiPriority w:val="39"/>
    <w:pPr>
      <w:widowControl w:val="0"/>
      <w:adjustRightInd/>
      <w:snapToGrid/>
      <w:spacing w:line="240" w:lineRule="auto"/>
      <w:ind w:left="1680" w:leftChars="800" w:firstLine="0" w:firstLineChars="0"/>
    </w:pPr>
    <w:rPr>
      <w:rFonts w:asciiTheme="minorHAnsi" w:hAnsiTheme="minorHAnsi" w:eastAsiaTheme="minorEastAsia" w:cstheme="minorBidi"/>
      <w:sz w:val="21"/>
    </w:rPr>
  </w:style>
  <w:style w:type="paragraph" w:styleId="17">
    <w:name w:val="toc 3"/>
    <w:next w:val="1"/>
    <w:unhideWhenUsed/>
    <w:qFormat/>
    <w:uiPriority w:val="39"/>
    <w:pPr>
      <w:adjustRightInd w:val="0"/>
      <w:snapToGrid w:val="0"/>
      <w:spacing w:before="50" w:beforeLines="50" w:after="50" w:afterLines="50"/>
      <w:ind w:left="680"/>
      <w:jc w:val="both"/>
    </w:pPr>
    <w:rPr>
      <w:rFonts w:ascii="等线" w:hAnsi="等线" w:eastAsia="黑体" w:cs="Times New Roman"/>
      <w:sz w:val="24"/>
      <w:szCs w:val="22"/>
      <w:lang w:val="en-US" w:eastAsia="zh-CN" w:bidi="ar-SA"/>
    </w:rPr>
  </w:style>
  <w:style w:type="paragraph" w:styleId="18">
    <w:name w:val="toc 8"/>
    <w:basedOn w:val="1"/>
    <w:next w:val="1"/>
    <w:unhideWhenUsed/>
    <w:qFormat/>
    <w:uiPriority w:val="39"/>
    <w:pPr>
      <w:widowControl w:val="0"/>
      <w:adjustRightInd/>
      <w:snapToGrid/>
      <w:spacing w:line="240" w:lineRule="auto"/>
      <w:ind w:left="2940" w:leftChars="1400" w:firstLine="0" w:firstLineChars="0"/>
    </w:pPr>
    <w:rPr>
      <w:rFonts w:asciiTheme="minorHAnsi" w:hAnsiTheme="minorHAnsi" w:eastAsiaTheme="minorEastAsia" w:cstheme="minorBidi"/>
      <w:sz w:val="21"/>
    </w:rPr>
  </w:style>
  <w:style w:type="paragraph" w:styleId="19">
    <w:name w:val="Balloon Text"/>
    <w:basedOn w:val="1"/>
    <w:link w:val="70"/>
    <w:unhideWhenUsed/>
    <w:qFormat/>
    <w:uiPriority w:val="99"/>
    <w:pPr>
      <w:widowControl w:val="0"/>
      <w:adjustRightInd/>
      <w:snapToGrid/>
      <w:spacing w:afterLines="50" w:line="240" w:lineRule="auto"/>
      <w:ind w:firstLine="480"/>
    </w:pPr>
    <w:rPr>
      <w:rFonts w:asciiTheme="minorHAnsi" w:hAnsiTheme="minorHAnsi" w:eastAsiaTheme="minorEastAsia" w:cstheme="minorBidi"/>
      <w:sz w:val="18"/>
      <w:szCs w:val="18"/>
    </w:rPr>
  </w:style>
  <w:style w:type="paragraph" w:styleId="20">
    <w:name w:val="footer"/>
    <w:basedOn w:val="1"/>
    <w:link w:val="51"/>
    <w:unhideWhenUsed/>
    <w:qFormat/>
    <w:uiPriority w:val="99"/>
    <w:pPr>
      <w:tabs>
        <w:tab w:val="center" w:pos="4153"/>
        <w:tab w:val="right" w:pos="8306"/>
      </w:tabs>
      <w:jc w:val="left"/>
    </w:pPr>
    <w:rPr>
      <w:rFonts w:asciiTheme="minorHAnsi" w:hAnsiTheme="minorHAnsi" w:eastAsiaTheme="minorEastAsia" w:cstheme="minorBidi"/>
      <w:sz w:val="18"/>
      <w:szCs w:val="18"/>
    </w:rPr>
  </w:style>
  <w:style w:type="paragraph" w:styleId="21">
    <w:name w:val="header"/>
    <w:link w:val="58"/>
    <w:unhideWhenUsed/>
    <w:qFormat/>
    <w:uiPriority w:val="99"/>
    <w:pPr>
      <w:pBdr>
        <w:bottom w:val="single" w:color="auto" w:sz="6" w:space="1"/>
      </w:pBdr>
      <w:adjustRightInd w:val="0"/>
      <w:snapToGrid w:val="0"/>
    </w:pPr>
    <w:rPr>
      <w:rFonts w:ascii="宋体" w:eastAsia="宋体" w:hAnsiTheme="minorHAnsi" w:cstheme="minorBidi"/>
      <w:kern w:val="2"/>
      <w:sz w:val="18"/>
      <w:szCs w:val="18"/>
      <w:lang w:val="en-US" w:eastAsia="zh-CN" w:bidi="ar-SA"/>
    </w:rPr>
  </w:style>
  <w:style w:type="paragraph" w:styleId="22">
    <w:name w:val="toc 1"/>
    <w:next w:val="1"/>
    <w:unhideWhenUsed/>
    <w:qFormat/>
    <w:uiPriority w:val="39"/>
    <w:pPr>
      <w:adjustRightInd w:val="0"/>
      <w:snapToGrid w:val="0"/>
      <w:spacing w:line="588" w:lineRule="exact"/>
      <w:jc w:val="both"/>
    </w:pPr>
    <w:rPr>
      <w:rFonts w:ascii="楷体" w:hAnsi="楷体" w:eastAsia="楷体" w:cs="楷体"/>
      <w:sz w:val="32"/>
      <w:szCs w:val="32"/>
      <w:lang w:val="en-US" w:eastAsia="zh-CN" w:bidi="ar-SA"/>
    </w:rPr>
  </w:style>
  <w:style w:type="paragraph" w:styleId="23">
    <w:name w:val="toc 4"/>
    <w:basedOn w:val="1"/>
    <w:next w:val="1"/>
    <w:unhideWhenUsed/>
    <w:qFormat/>
    <w:uiPriority w:val="39"/>
    <w:pPr>
      <w:widowControl w:val="0"/>
      <w:adjustRightInd/>
      <w:snapToGrid/>
      <w:spacing w:line="240" w:lineRule="auto"/>
      <w:ind w:left="1260" w:leftChars="600" w:firstLine="0" w:firstLineChars="0"/>
    </w:pPr>
    <w:rPr>
      <w:rFonts w:asciiTheme="minorHAnsi" w:hAnsiTheme="minorHAnsi" w:eastAsiaTheme="minorEastAsia" w:cstheme="minorBidi"/>
      <w:sz w:val="21"/>
    </w:rPr>
  </w:style>
  <w:style w:type="paragraph" w:styleId="24">
    <w:name w:val="toc 6"/>
    <w:basedOn w:val="1"/>
    <w:next w:val="1"/>
    <w:unhideWhenUsed/>
    <w:qFormat/>
    <w:uiPriority w:val="39"/>
    <w:pPr>
      <w:widowControl w:val="0"/>
      <w:adjustRightInd/>
      <w:snapToGrid/>
      <w:spacing w:line="240" w:lineRule="auto"/>
      <w:ind w:left="2100" w:leftChars="1000" w:firstLine="0" w:firstLineChars="0"/>
    </w:pPr>
    <w:rPr>
      <w:rFonts w:asciiTheme="minorHAnsi" w:hAnsiTheme="minorHAnsi" w:eastAsiaTheme="minorEastAsia" w:cstheme="minorBidi"/>
      <w:sz w:val="21"/>
    </w:rPr>
  </w:style>
  <w:style w:type="paragraph" w:styleId="25">
    <w:name w:val="toc 2"/>
    <w:next w:val="1"/>
    <w:unhideWhenUsed/>
    <w:qFormat/>
    <w:uiPriority w:val="39"/>
    <w:pPr>
      <w:adjustRightInd w:val="0"/>
      <w:snapToGrid w:val="0"/>
      <w:spacing w:line="500" w:lineRule="exact"/>
      <w:ind w:left="454"/>
      <w:jc w:val="both"/>
    </w:pPr>
    <w:rPr>
      <w:rFonts w:ascii="楷体" w:hAnsi="楷体" w:eastAsia="楷体" w:cs="楷体"/>
      <w:sz w:val="32"/>
      <w:szCs w:val="32"/>
      <w:lang w:val="en-US" w:eastAsia="zh-CN" w:bidi="ar-SA"/>
    </w:rPr>
  </w:style>
  <w:style w:type="paragraph" w:styleId="26">
    <w:name w:val="toc 9"/>
    <w:basedOn w:val="1"/>
    <w:next w:val="1"/>
    <w:unhideWhenUsed/>
    <w:qFormat/>
    <w:uiPriority w:val="39"/>
    <w:pPr>
      <w:widowControl w:val="0"/>
      <w:adjustRightInd/>
      <w:snapToGrid/>
      <w:spacing w:line="240" w:lineRule="auto"/>
      <w:ind w:left="3360" w:leftChars="1600" w:firstLine="0" w:firstLineChars="0"/>
    </w:pPr>
    <w:rPr>
      <w:rFonts w:asciiTheme="minorHAnsi" w:hAnsiTheme="minorHAnsi" w:eastAsiaTheme="minorEastAsia" w:cstheme="minorBidi"/>
      <w:sz w:val="21"/>
    </w:rPr>
  </w:style>
  <w:style w:type="paragraph" w:styleId="27">
    <w:name w:val="HTML Preformatted"/>
    <w:basedOn w:val="1"/>
    <w:link w:val="74"/>
    <w:unhideWhenUsed/>
    <w:qFormat/>
    <w:uiPriority w:val="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napToGrid/>
      <w:spacing w:before="156" w:after="156" w:afterLines="50"/>
      <w:ind w:firstLine="480"/>
      <w:jc w:val="left"/>
    </w:pPr>
    <w:rPr>
      <w:rFonts w:hint="eastAsia"/>
      <w:kern w:val="0"/>
      <w:szCs w:val="24"/>
    </w:rPr>
  </w:style>
  <w:style w:type="paragraph" w:styleId="28">
    <w:name w:val="Normal (Web)"/>
    <w:basedOn w:val="1"/>
    <w:unhideWhenUsed/>
    <w:qFormat/>
    <w:uiPriority w:val="99"/>
    <w:pPr>
      <w:widowControl w:val="0"/>
      <w:adjustRightInd/>
      <w:snapToGrid/>
      <w:spacing w:afterLines="50"/>
      <w:ind w:firstLine="480"/>
      <w:jc w:val="left"/>
    </w:pPr>
    <w:rPr>
      <w:kern w:val="0"/>
    </w:rPr>
  </w:style>
  <w:style w:type="paragraph" w:styleId="29">
    <w:name w:val="annotation subject"/>
    <w:basedOn w:val="13"/>
    <w:next w:val="13"/>
    <w:link w:val="66"/>
    <w:unhideWhenUsed/>
    <w:qFormat/>
    <w:uiPriority w:val="99"/>
    <w:rPr>
      <w:b/>
      <w:bCs/>
    </w:rPr>
  </w:style>
  <w:style w:type="table" w:styleId="31">
    <w:name w:val="Table Grid"/>
    <w:basedOn w:val="30"/>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3">
    <w:name w:val="Strong"/>
    <w:qFormat/>
    <w:uiPriority w:val="22"/>
    <w:rPr>
      <w:b/>
      <w:bCs/>
    </w:rPr>
  </w:style>
  <w:style w:type="character" w:styleId="34">
    <w:name w:val="FollowedHyperlink"/>
    <w:basedOn w:val="32"/>
    <w:semiHidden/>
    <w:unhideWhenUsed/>
    <w:qFormat/>
    <w:uiPriority w:val="99"/>
    <w:rPr>
      <w:color w:val="954F72"/>
      <w:u w:val="single"/>
    </w:rPr>
  </w:style>
  <w:style w:type="character" w:styleId="35">
    <w:name w:val="Emphasis"/>
    <w:qFormat/>
    <w:uiPriority w:val="20"/>
    <w:rPr>
      <w:i/>
      <w:iCs/>
    </w:rPr>
  </w:style>
  <w:style w:type="character" w:styleId="36">
    <w:name w:val="Hyperlink"/>
    <w:unhideWhenUsed/>
    <w:qFormat/>
    <w:uiPriority w:val="99"/>
    <w:rPr>
      <w:color w:val="0563C1"/>
      <w:u w:val="single"/>
    </w:rPr>
  </w:style>
  <w:style w:type="character" w:styleId="37">
    <w:name w:val="annotation reference"/>
    <w:unhideWhenUsed/>
    <w:qFormat/>
    <w:uiPriority w:val="99"/>
    <w:rPr>
      <w:sz w:val="21"/>
      <w:szCs w:val="21"/>
    </w:rPr>
  </w:style>
  <w:style w:type="character" w:customStyle="1" w:styleId="38">
    <w:name w:val="无间隔 字符"/>
    <w:link w:val="39"/>
    <w:qFormat/>
    <w:uiPriority w:val="1"/>
    <w:rPr>
      <w:sz w:val="24"/>
      <w:szCs w:val="32"/>
    </w:rPr>
  </w:style>
  <w:style w:type="paragraph" w:styleId="39">
    <w:name w:val="No Spacing"/>
    <w:link w:val="38"/>
    <w:qFormat/>
    <w:uiPriority w:val="1"/>
    <w:pPr>
      <w:widowControl w:val="0"/>
      <w:jc w:val="both"/>
    </w:pPr>
    <w:rPr>
      <w:rFonts w:asciiTheme="minorHAnsi" w:hAnsiTheme="minorHAnsi" w:eastAsiaTheme="minorEastAsia" w:cstheme="minorBidi"/>
      <w:kern w:val="2"/>
      <w:sz w:val="24"/>
      <w:szCs w:val="32"/>
      <w:lang w:val="en-US" w:eastAsia="zh-CN" w:bidi="ar-SA"/>
    </w:rPr>
  </w:style>
  <w:style w:type="character" w:customStyle="1" w:styleId="40">
    <w:name w:val="标题 1 字符"/>
    <w:basedOn w:val="32"/>
    <w:link w:val="2"/>
    <w:qFormat/>
    <w:uiPriority w:val="9"/>
    <w:rPr>
      <w:rFonts w:ascii="方正小标宋简体" w:hAnsi="方正小标宋简体" w:eastAsia="方正小标宋简体" w:cs="方正小标宋简体"/>
      <w:bCs/>
      <w:kern w:val="44"/>
      <w:sz w:val="36"/>
      <w:szCs w:val="36"/>
    </w:rPr>
  </w:style>
  <w:style w:type="character" w:customStyle="1" w:styleId="41">
    <w:name w:val="标题 2 字符"/>
    <w:basedOn w:val="32"/>
    <w:link w:val="3"/>
    <w:qFormat/>
    <w:uiPriority w:val="9"/>
    <w:rPr>
      <w:rFonts w:ascii="黑体" w:hAnsi="Cambria" w:eastAsia="黑体"/>
      <w:bCs/>
      <w:kern w:val="2"/>
      <w:sz w:val="32"/>
      <w:szCs w:val="30"/>
    </w:rPr>
  </w:style>
  <w:style w:type="character" w:customStyle="1" w:styleId="42">
    <w:name w:val="标题 3 字符"/>
    <w:basedOn w:val="32"/>
    <w:link w:val="4"/>
    <w:qFormat/>
    <w:uiPriority w:val="9"/>
    <w:rPr>
      <w:rFonts w:ascii="楷体" w:hAnsi="楷体" w:eastAsia="楷体" w:cs="楷体"/>
      <w:bCs/>
      <w:kern w:val="2"/>
      <w:sz w:val="32"/>
      <w:szCs w:val="32"/>
    </w:rPr>
  </w:style>
  <w:style w:type="character" w:customStyle="1" w:styleId="43">
    <w:name w:val="标题 4 字符"/>
    <w:basedOn w:val="32"/>
    <w:link w:val="5"/>
    <w:qFormat/>
    <w:uiPriority w:val="9"/>
    <w:rPr>
      <w:rFonts w:ascii="仿宋_GB2312" w:hAnsi="仿宋_GB2312" w:eastAsia="仿宋_GB2312" w:cs="仿宋_GB2312"/>
      <w:bCs/>
      <w:kern w:val="2"/>
      <w:sz w:val="32"/>
      <w:szCs w:val="32"/>
    </w:rPr>
  </w:style>
  <w:style w:type="character" w:customStyle="1" w:styleId="44">
    <w:name w:val="标题 5 字符"/>
    <w:basedOn w:val="32"/>
    <w:link w:val="6"/>
    <w:qFormat/>
    <w:uiPriority w:val="9"/>
    <w:rPr>
      <w:rFonts w:ascii="仿宋_GB2312" w:hAnsi="仿宋_GB2312" w:eastAsia="仿宋_GB2312" w:cs="仿宋_GB2312"/>
      <w:bCs/>
      <w:kern w:val="2"/>
      <w:sz w:val="32"/>
      <w:szCs w:val="32"/>
    </w:rPr>
  </w:style>
  <w:style w:type="character" w:customStyle="1" w:styleId="45">
    <w:name w:val="标题 6 字符"/>
    <w:basedOn w:val="32"/>
    <w:link w:val="7"/>
    <w:qFormat/>
    <w:uiPriority w:val="9"/>
    <w:rPr>
      <w:rFonts w:ascii="Cambria" w:hAnsi="Cambria" w:eastAsia="宋体" w:cs="Times New Roman"/>
      <w:b/>
      <w:bCs/>
      <w:sz w:val="24"/>
      <w:szCs w:val="24"/>
    </w:rPr>
  </w:style>
  <w:style w:type="character" w:customStyle="1" w:styleId="46">
    <w:name w:val="标题 7 字符"/>
    <w:basedOn w:val="32"/>
    <w:link w:val="8"/>
    <w:qFormat/>
    <w:uiPriority w:val="9"/>
    <w:rPr>
      <w:rFonts w:ascii="Times New Roman" w:hAnsi="Times New Roman" w:eastAsia="宋体" w:cs="Times New Roman"/>
      <w:b/>
      <w:bCs/>
      <w:sz w:val="24"/>
      <w:szCs w:val="24"/>
    </w:rPr>
  </w:style>
  <w:style w:type="character" w:customStyle="1" w:styleId="47">
    <w:name w:val="标题 8 字符"/>
    <w:basedOn w:val="32"/>
    <w:link w:val="9"/>
    <w:qFormat/>
    <w:uiPriority w:val="9"/>
    <w:rPr>
      <w:rFonts w:ascii="Cambria" w:hAnsi="Cambria" w:eastAsia="仿宋_GB2312"/>
      <w:kern w:val="2"/>
      <w:sz w:val="32"/>
      <w:szCs w:val="24"/>
    </w:rPr>
  </w:style>
  <w:style w:type="character" w:customStyle="1" w:styleId="48">
    <w:name w:val="标题 9 字符"/>
    <w:basedOn w:val="32"/>
    <w:link w:val="10"/>
    <w:qFormat/>
    <w:uiPriority w:val="9"/>
    <w:rPr>
      <w:rFonts w:ascii="Cambria" w:hAnsi="Cambria" w:eastAsia="仿宋_GB2312"/>
      <w:kern w:val="2"/>
      <w:sz w:val="32"/>
      <w:szCs w:val="21"/>
    </w:rPr>
  </w:style>
  <w:style w:type="character" w:customStyle="1" w:styleId="49">
    <w:name w:val="表格正文 字符"/>
    <w:link w:val="50"/>
    <w:qFormat/>
    <w:uiPriority w:val="0"/>
    <w:rPr>
      <w:rFonts w:ascii="仿宋_GB2312" w:hAnsi="仿宋_GB2312" w:eastAsia="仿宋_GB2312" w:cs="仿宋_GB2312"/>
      <w:kern w:val="2"/>
      <w:sz w:val="28"/>
      <w:szCs w:val="22"/>
    </w:rPr>
  </w:style>
  <w:style w:type="paragraph" w:customStyle="1" w:styleId="50">
    <w:name w:val="表格正文"/>
    <w:link w:val="49"/>
    <w:qFormat/>
    <w:uiPriority w:val="0"/>
    <w:pPr>
      <w:adjustRightInd w:val="0"/>
      <w:snapToGrid w:val="0"/>
      <w:spacing w:line="500" w:lineRule="exact"/>
      <w:ind w:firstLine="200" w:firstLineChars="200"/>
    </w:pPr>
    <w:rPr>
      <w:rFonts w:ascii="仿宋_GB2312" w:hAnsi="仿宋_GB2312" w:eastAsia="仿宋_GB2312" w:cs="仿宋_GB2312"/>
      <w:kern w:val="2"/>
      <w:sz w:val="28"/>
      <w:szCs w:val="22"/>
      <w:lang w:val="en-US" w:eastAsia="zh-CN" w:bidi="ar-SA"/>
    </w:rPr>
  </w:style>
  <w:style w:type="character" w:customStyle="1" w:styleId="51">
    <w:name w:val="页脚 字符"/>
    <w:link w:val="20"/>
    <w:qFormat/>
    <w:uiPriority w:val="99"/>
    <w:rPr>
      <w:sz w:val="18"/>
      <w:szCs w:val="18"/>
    </w:rPr>
  </w:style>
  <w:style w:type="character" w:customStyle="1" w:styleId="52">
    <w:name w:val="页脚 字符1"/>
    <w:basedOn w:val="32"/>
    <w:semiHidden/>
    <w:qFormat/>
    <w:uiPriority w:val="99"/>
    <w:rPr>
      <w:rFonts w:ascii="Times New Roman" w:hAnsi="Times New Roman" w:eastAsia="宋体" w:cs="Times New Roman"/>
      <w:sz w:val="18"/>
      <w:szCs w:val="18"/>
    </w:rPr>
  </w:style>
  <w:style w:type="paragraph" w:customStyle="1" w:styleId="53">
    <w:name w:val="封面"/>
    <w:basedOn w:val="1"/>
    <w:link w:val="54"/>
    <w:qFormat/>
    <w:uiPriority w:val="0"/>
    <w:pPr>
      <w:spacing w:before="400" w:beforeLines="400"/>
      <w:ind w:firstLine="0" w:firstLineChars="0"/>
      <w:jc w:val="center"/>
    </w:pPr>
    <w:rPr>
      <w:rFonts w:ascii="黑体" w:eastAsia="黑体"/>
      <w:b/>
      <w:spacing w:val="80"/>
      <w:sz w:val="72"/>
      <w:szCs w:val="72"/>
    </w:rPr>
  </w:style>
  <w:style w:type="character" w:customStyle="1" w:styleId="54">
    <w:name w:val="封面 字符"/>
    <w:link w:val="53"/>
    <w:qFormat/>
    <w:uiPriority w:val="0"/>
    <w:rPr>
      <w:rFonts w:ascii="黑体" w:hAnsi="Times New Roman" w:eastAsia="黑体" w:cs="Times New Roman"/>
      <w:b/>
      <w:spacing w:val="80"/>
      <w:sz w:val="72"/>
      <w:szCs w:val="72"/>
    </w:rPr>
  </w:style>
  <w:style w:type="character" w:customStyle="1" w:styleId="55">
    <w:name w:val="明显强调1"/>
    <w:qFormat/>
    <w:uiPriority w:val="21"/>
    <w:rPr>
      <w:i/>
      <w:iCs/>
      <w:color w:val="4472C4"/>
    </w:rPr>
  </w:style>
  <w:style w:type="paragraph" w:customStyle="1" w:styleId="56">
    <w:name w:val="附表"/>
    <w:next w:val="1"/>
    <w:link w:val="57"/>
    <w:qFormat/>
    <w:uiPriority w:val="0"/>
    <w:pPr>
      <w:keepNext/>
      <w:pageBreakBefore/>
      <w:adjustRightInd w:val="0"/>
      <w:snapToGrid w:val="0"/>
      <w:spacing w:before="100" w:beforeLines="100"/>
      <w:jc w:val="both"/>
      <w:outlineLvl w:val="0"/>
    </w:pPr>
    <w:rPr>
      <w:rFonts w:ascii="黑体" w:hAnsi="Times New Roman" w:eastAsia="黑体" w:cs="Times New Roman"/>
      <w:b/>
      <w:bCs/>
      <w:kern w:val="44"/>
      <w:sz w:val="36"/>
      <w:szCs w:val="44"/>
      <w:lang w:val="en-US" w:eastAsia="zh-CN" w:bidi="ar-SA"/>
    </w:rPr>
  </w:style>
  <w:style w:type="character" w:customStyle="1" w:styleId="57">
    <w:name w:val="附表 字符"/>
    <w:link w:val="56"/>
    <w:qFormat/>
    <w:uiPriority w:val="0"/>
    <w:rPr>
      <w:rFonts w:ascii="黑体" w:hAnsi="Times New Roman" w:eastAsia="黑体" w:cs="Times New Roman"/>
      <w:b/>
      <w:bCs/>
      <w:kern w:val="44"/>
      <w:sz w:val="36"/>
      <w:szCs w:val="44"/>
    </w:rPr>
  </w:style>
  <w:style w:type="character" w:customStyle="1" w:styleId="58">
    <w:name w:val="页眉 字符"/>
    <w:link w:val="21"/>
    <w:qFormat/>
    <w:uiPriority w:val="99"/>
    <w:rPr>
      <w:rFonts w:ascii="宋体" w:eastAsia="宋体"/>
      <w:sz w:val="18"/>
      <w:szCs w:val="18"/>
    </w:rPr>
  </w:style>
  <w:style w:type="character" w:customStyle="1" w:styleId="59">
    <w:name w:val="页眉 字符1"/>
    <w:basedOn w:val="32"/>
    <w:semiHidden/>
    <w:qFormat/>
    <w:uiPriority w:val="99"/>
    <w:rPr>
      <w:rFonts w:ascii="Times New Roman" w:hAnsi="Times New Roman" w:eastAsia="宋体" w:cs="Times New Roman"/>
      <w:sz w:val="18"/>
      <w:szCs w:val="18"/>
    </w:rPr>
  </w:style>
  <w:style w:type="table" w:customStyle="1" w:styleId="60">
    <w:name w:val="样式1"/>
    <w:basedOn w:val="30"/>
    <w:qFormat/>
    <w:uiPriority w:val="99"/>
    <w:pPr>
      <w:adjustRightInd w:val="0"/>
      <w:snapToGrid w:val="0"/>
      <w:jc w:val="center"/>
    </w:pPr>
    <w:rPr>
      <w:rFonts w:ascii="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cantSplit/>
    </w:trPr>
    <w:tcPr>
      <w:vAlign w:val="center"/>
    </w:tcPr>
    <w:tblStylePr w:type="firstRow">
      <w:pPr>
        <w:keepNext/>
        <w:keepLines w:val="0"/>
        <w:pageBreakBefore w:val="0"/>
        <w:widowControl/>
        <w:suppressLineNumbers w:val="0"/>
        <w:suppressAutoHyphens w:val="0"/>
        <w:kinsoku/>
        <w:wordWrap/>
        <w:overflowPunct/>
        <w:topLinePunct w:val="0"/>
        <w:autoSpaceDE/>
        <w:autoSpaceDN/>
        <w:adjustRightInd w:val="0"/>
        <w:snapToGrid w:val="0"/>
        <w:contextualSpacing w:val="0"/>
        <w:jc w:val="center"/>
      </w:pPr>
      <w:rPr>
        <w:rFonts w:eastAsia="宋体"/>
        <w:b/>
        <w:sz w:val="21"/>
      </w:rPr>
      <w:tblPr/>
      <w:trPr>
        <w:tblHeader/>
      </w:trPr>
      <w:tcPr>
        <w:shd w:val="clear" w:color="auto" w:fill="BFBFBF"/>
      </w:tcPr>
    </w:tblStylePr>
  </w:style>
  <w:style w:type="paragraph" w:customStyle="1" w:styleId="61">
    <w:name w:val="TOC 标题1"/>
    <w:basedOn w:val="2"/>
    <w:next w:val="1"/>
    <w:qFormat/>
    <w:uiPriority w:val="39"/>
    <w:pPr>
      <w:numPr>
        <w:numId w:val="0"/>
      </w:numPr>
      <w:spacing w:beforeAutospacing="1"/>
      <w:outlineLvl w:val="9"/>
    </w:pPr>
    <w:rPr>
      <w:rFonts w:ascii="等线 Light" w:hAnsi="等线 Light"/>
      <w:b/>
      <w:bCs w:val="0"/>
      <w:kern w:val="0"/>
      <w:sz w:val="44"/>
      <w:szCs w:val="32"/>
    </w:rPr>
  </w:style>
  <w:style w:type="paragraph" w:customStyle="1" w:styleId="62">
    <w:name w:val="图名"/>
    <w:basedOn w:val="63"/>
    <w:next w:val="1"/>
    <w:link w:val="64"/>
    <w:qFormat/>
    <w:uiPriority w:val="0"/>
    <w:pPr>
      <w:keepNext w:val="0"/>
    </w:pPr>
  </w:style>
  <w:style w:type="paragraph" w:customStyle="1" w:styleId="63">
    <w:name w:val="表名"/>
    <w:next w:val="50"/>
    <w:link w:val="76"/>
    <w:qFormat/>
    <w:uiPriority w:val="0"/>
    <w:pPr>
      <w:keepNext/>
      <w:keepLines/>
      <w:adjustRightInd w:val="0"/>
      <w:snapToGrid w:val="0"/>
      <w:spacing w:before="326" w:beforeLines="100" w:after="163" w:afterLines="50"/>
      <w:outlineLvl w:val="1"/>
    </w:pPr>
    <w:rPr>
      <w:rFonts w:ascii="黑体" w:hAnsi="黑体" w:eastAsia="仿宋_GB2312" w:cs="Times New Roman"/>
      <w:b/>
      <w:bCs/>
      <w:kern w:val="44"/>
      <w:sz w:val="24"/>
      <w:szCs w:val="44"/>
      <w:lang w:val="en-US" w:eastAsia="zh-CN" w:bidi="ar-SA"/>
    </w:rPr>
  </w:style>
  <w:style w:type="character" w:customStyle="1" w:styleId="64">
    <w:name w:val="图名 字符"/>
    <w:link w:val="62"/>
    <w:qFormat/>
    <w:uiPriority w:val="0"/>
    <w:rPr>
      <w:rFonts w:ascii="黑体" w:hAnsi="黑体" w:eastAsia="仿宋_GB2312"/>
      <w:b/>
      <w:bCs/>
      <w:kern w:val="44"/>
      <w:sz w:val="24"/>
      <w:szCs w:val="44"/>
    </w:rPr>
  </w:style>
  <w:style w:type="character" w:customStyle="1" w:styleId="65">
    <w:name w:val="批注文字 字符"/>
    <w:basedOn w:val="32"/>
    <w:link w:val="13"/>
    <w:qFormat/>
    <w:uiPriority w:val="99"/>
    <w:rPr>
      <w:rFonts w:ascii="Times New Roman" w:hAnsi="Times New Roman" w:eastAsia="宋体" w:cs="Times New Roman"/>
      <w:sz w:val="24"/>
    </w:rPr>
  </w:style>
  <w:style w:type="character" w:customStyle="1" w:styleId="66">
    <w:name w:val="批注主题 字符"/>
    <w:basedOn w:val="65"/>
    <w:link w:val="29"/>
    <w:qFormat/>
    <w:uiPriority w:val="99"/>
    <w:rPr>
      <w:rFonts w:ascii="Times New Roman" w:hAnsi="Times New Roman" w:eastAsia="宋体" w:cs="Times New Roman"/>
      <w:b/>
      <w:bCs/>
      <w:sz w:val="24"/>
    </w:rPr>
  </w:style>
  <w:style w:type="paragraph" w:customStyle="1" w:styleId="67">
    <w:name w:val="图片"/>
    <w:next w:val="62"/>
    <w:link w:val="68"/>
    <w:qFormat/>
    <w:uiPriority w:val="0"/>
    <w:pPr>
      <w:keepNext/>
      <w:widowControl w:val="0"/>
      <w:adjustRightInd w:val="0"/>
      <w:snapToGrid w:val="0"/>
      <w:spacing w:before="100" w:beforeLines="100" w:after="50" w:afterLines="50"/>
      <w:jc w:val="center"/>
    </w:pPr>
    <w:rPr>
      <w:rFonts w:ascii="Times New Roman" w:hAnsi="Times New Roman" w:eastAsia="宋体" w:cs="Times New Roman"/>
      <w:kern w:val="2"/>
      <w:sz w:val="24"/>
      <w:szCs w:val="22"/>
      <w:lang w:val="en-US" w:eastAsia="zh-CN" w:bidi="ar-SA"/>
    </w:rPr>
  </w:style>
  <w:style w:type="character" w:customStyle="1" w:styleId="68">
    <w:name w:val="图片 字符"/>
    <w:link w:val="67"/>
    <w:qFormat/>
    <w:uiPriority w:val="0"/>
    <w:rPr>
      <w:rFonts w:ascii="Times New Roman" w:hAnsi="Times New Roman" w:eastAsia="宋体" w:cs="Times New Roman"/>
      <w:sz w:val="24"/>
    </w:rPr>
  </w:style>
  <w:style w:type="character" w:customStyle="1" w:styleId="69">
    <w:name w:val="正文文本首行缩进 字符"/>
    <w:semiHidden/>
    <w:qFormat/>
    <w:uiPriority w:val="99"/>
  </w:style>
  <w:style w:type="character" w:customStyle="1" w:styleId="70">
    <w:name w:val="批注框文本 字符"/>
    <w:link w:val="19"/>
    <w:qFormat/>
    <w:uiPriority w:val="99"/>
    <w:rPr>
      <w:sz w:val="18"/>
      <w:szCs w:val="18"/>
    </w:rPr>
  </w:style>
  <w:style w:type="character" w:customStyle="1" w:styleId="71">
    <w:name w:val="批注框文本 字符1"/>
    <w:basedOn w:val="32"/>
    <w:semiHidden/>
    <w:qFormat/>
    <w:uiPriority w:val="99"/>
    <w:rPr>
      <w:rFonts w:ascii="Times New Roman" w:hAnsi="Times New Roman" w:eastAsia="宋体" w:cs="Times New Roman"/>
      <w:sz w:val="18"/>
      <w:szCs w:val="18"/>
    </w:rPr>
  </w:style>
  <w:style w:type="paragraph" w:styleId="72">
    <w:name w:val="List Paragraph"/>
    <w:basedOn w:val="1"/>
    <w:link w:val="73"/>
    <w:qFormat/>
    <w:uiPriority w:val="34"/>
    <w:pPr>
      <w:widowControl w:val="0"/>
      <w:adjustRightInd/>
      <w:snapToGrid/>
      <w:ind w:firstLine="420"/>
    </w:pPr>
  </w:style>
  <w:style w:type="character" w:customStyle="1" w:styleId="73">
    <w:name w:val="列表段落 字符"/>
    <w:link w:val="72"/>
    <w:qFormat/>
    <w:uiPriority w:val="34"/>
    <w:rPr>
      <w:rFonts w:ascii="Times New Roman" w:hAnsi="Times New Roman" w:eastAsia="宋体" w:cs="Times New Roman"/>
      <w:sz w:val="24"/>
    </w:rPr>
  </w:style>
  <w:style w:type="character" w:customStyle="1" w:styleId="74">
    <w:name w:val="HTML 预设格式 字符"/>
    <w:basedOn w:val="32"/>
    <w:link w:val="27"/>
    <w:qFormat/>
    <w:uiPriority w:val="99"/>
    <w:rPr>
      <w:rFonts w:ascii="宋体" w:hAnsi="宋体" w:eastAsia="宋体" w:cs="Times New Roman"/>
      <w:kern w:val="0"/>
      <w:sz w:val="24"/>
      <w:szCs w:val="24"/>
    </w:rPr>
  </w:style>
  <w:style w:type="character" w:customStyle="1" w:styleId="75">
    <w:name w:val="正文文本缩进 字符"/>
    <w:basedOn w:val="32"/>
    <w:link w:val="15"/>
    <w:qFormat/>
    <w:uiPriority w:val="99"/>
    <w:rPr>
      <w:rFonts w:ascii="Times New Roman" w:hAnsi="Times New Roman" w:eastAsia="宋体" w:cs="Times New Roman"/>
      <w:sz w:val="24"/>
    </w:rPr>
  </w:style>
  <w:style w:type="character" w:customStyle="1" w:styleId="76">
    <w:name w:val="表名 字符"/>
    <w:basedOn w:val="64"/>
    <w:link w:val="63"/>
    <w:qFormat/>
    <w:uiPriority w:val="0"/>
    <w:rPr>
      <w:rFonts w:ascii="黑体" w:hAnsi="黑体" w:eastAsia="仿宋_GB2312"/>
      <w:kern w:val="44"/>
      <w:sz w:val="24"/>
      <w:szCs w:val="44"/>
    </w:rPr>
  </w:style>
  <w:style w:type="character" w:customStyle="1" w:styleId="77">
    <w:name w:val="未处理的提及1"/>
    <w:basedOn w:val="32"/>
    <w:semiHidden/>
    <w:unhideWhenUsed/>
    <w:qFormat/>
    <w:uiPriority w:val="99"/>
    <w:rPr>
      <w:color w:val="605E5C"/>
      <w:shd w:val="clear" w:color="auto" w:fill="E1DFDD"/>
    </w:rPr>
  </w:style>
  <w:style w:type="table" w:customStyle="1" w:styleId="78">
    <w:name w:val="网格型浅色1"/>
    <w:basedOn w:val="30"/>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character" w:customStyle="1" w:styleId="79">
    <w:name w:val="正文首行缩进 Char"/>
    <w:basedOn w:val="32"/>
    <w:qFormat/>
    <w:uiPriority w:val="0"/>
    <w:rPr>
      <w:rFonts w:hint="eastAsia" w:ascii="黑体" w:hAnsi="宋体" w:eastAsia="黑体" w:cs="黑体"/>
      <w:color w:val="000000"/>
      <w:kern w:val="2"/>
      <w:sz w:val="28"/>
      <w:szCs w:val="24"/>
      <w:lang w:val="en-US" w:eastAsia="zh-CN" w:bidi="ar"/>
    </w:rPr>
  </w:style>
  <w:style w:type="character" w:customStyle="1" w:styleId="80">
    <w:name w:val="正文文本 字符"/>
    <w:basedOn w:val="32"/>
    <w:link w:val="14"/>
    <w:qFormat/>
    <w:uiPriority w:val="0"/>
    <w:rPr>
      <w:rFonts w:hint="eastAsia" w:ascii="黑体" w:hAnsi="宋体" w:eastAsia="黑体" w:cs="黑体"/>
      <w:color w:val="000000"/>
      <w:kern w:val="2"/>
      <w:sz w:val="21"/>
      <w:szCs w:val="24"/>
      <w:lang w:val="en-US" w:eastAsia="zh-CN" w:bidi="ar"/>
    </w:rPr>
  </w:style>
  <w:style w:type="character" w:customStyle="1" w:styleId="81">
    <w:name w:val="正文01 字符"/>
    <w:basedOn w:val="32"/>
    <w:link w:val="82"/>
    <w:qFormat/>
    <w:uiPriority w:val="0"/>
    <w:rPr>
      <w:rFonts w:hint="eastAsia" w:ascii="宋体" w:hAnsi="宋体" w:eastAsia="宋体" w:cs="宋体"/>
      <w:kern w:val="2"/>
      <w:sz w:val="24"/>
      <w:szCs w:val="24"/>
    </w:rPr>
  </w:style>
  <w:style w:type="paragraph" w:customStyle="1" w:styleId="82">
    <w:name w:val="正文01"/>
    <w:basedOn w:val="1"/>
    <w:link w:val="81"/>
    <w:qFormat/>
    <w:uiPriority w:val="0"/>
    <w:pPr>
      <w:widowControl w:val="0"/>
      <w:ind w:firstLine="480"/>
    </w:pPr>
    <w:rPr>
      <w:rFonts w:hint="eastAsia"/>
      <w:szCs w:val="24"/>
    </w:rPr>
  </w:style>
  <w:style w:type="paragraph" w:customStyle="1" w:styleId="83">
    <w:name w:val="msonormal"/>
    <w:basedOn w:val="1"/>
    <w:qFormat/>
    <w:uiPriority w:val="0"/>
    <w:pPr>
      <w:adjustRightInd/>
      <w:snapToGrid/>
      <w:spacing w:before="100" w:beforeAutospacing="1" w:after="100" w:afterAutospacing="1" w:line="240" w:lineRule="auto"/>
      <w:ind w:firstLine="0" w:firstLineChars="0"/>
      <w:jc w:val="left"/>
    </w:pPr>
    <w:rPr>
      <w:rFonts w:cs="宋体"/>
      <w:kern w:val="0"/>
      <w:szCs w:val="24"/>
    </w:rPr>
  </w:style>
  <w:style w:type="paragraph" w:customStyle="1" w:styleId="84">
    <w:name w:val="font5"/>
    <w:basedOn w:val="1"/>
    <w:qFormat/>
    <w:uiPriority w:val="0"/>
    <w:pPr>
      <w:adjustRightInd/>
      <w:snapToGrid/>
      <w:spacing w:before="100" w:beforeAutospacing="1" w:after="100" w:afterAutospacing="1" w:line="240" w:lineRule="auto"/>
      <w:ind w:firstLine="0" w:firstLineChars="0"/>
      <w:jc w:val="left"/>
    </w:pPr>
    <w:rPr>
      <w:rFonts w:ascii="等线" w:hAnsi="等线" w:eastAsia="等线" w:cs="宋体"/>
      <w:kern w:val="0"/>
      <w:sz w:val="18"/>
      <w:szCs w:val="18"/>
    </w:rPr>
  </w:style>
  <w:style w:type="paragraph" w:customStyle="1" w:styleId="85">
    <w:name w:val="font6"/>
    <w:basedOn w:val="1"/>
    <w:qFormat/>
    <w:uiPriority w:val="0"/>
    <w:pPr>
      <w:adjustRightInd/>
      <w:snapToGrid/>
      <w:spacing w:before="100" w:beforeAutospacing="1" w:after="100" w:afterAutospacing="1" w:line="240" w:lineRule="auto"/>
      <w:ind w:firstLine="0" w:firstLineChars="0"/>
      <w:jc w:val="left"/>
    </w:pPr>
    <w:rPr>
      <w:rFonts w:ascii="等线" w:hAnsi="等线" w:eastAsia="等线" w:cs="宋体"/>
      <w:kern w:val="0"/>
      <w:sz w:val="18"/>
      <w:szCs w:val="18"/>
    </w:rPr>
  </w:style>
  <w:style w:type="paragraph" w:customStyle="1" w:styleId="86">
    <w:name w:val="xl65"/>
    <w:basedOn w:val="1"/>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cs="宋体"/>
      <w:kern w:val="0"/>
      <w:szCs w:val="24"/>
    </w:rPr>
  </w:style>
  <w:style w:type="paragraph" w:customStyle="1" w:styleId="87">
    <w:name w:val="xl66"/>
    <w:basedOn w:val="1"/>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cs="宋体"/>
      <w:kern w:val="0"/>
      <w:szCs w:val="24"/>
    </w:rPr>
  </w:style>
  <w:style w:type="paragraph" w:customStyle="1" w:styleId="88">
    <w:name w:val="xl67"/>
    <w:basedOn w:val="1"/>
    <w:qFormat/>
    <w:uiPriority w:val="0"/>
    <w:pPr>
      <w:adjustRightInd/>
      <w:snapToGrid/>
      <w:spacing w:before="100" w:beforeAutospacing="1" w:after="100" w:afterAutospacing="1" w:line="240" w:lineRule="auto"/>
      <w:ind w:firstLine="0" w:firstLineChars="0"/>
      <w:jc w:val="left"/>
    </w:pPr>
    <w:rPr>
      <w:rFonts w:cs="宋体"/>
      <w:kern w:val="0"/>
      <w:szCs w:val="24"/>
    </w:rPr>
  </w:style>
  <w:style w:type="paragraph" w:customStyle="1" w:styleId="89">
    <w:name w:val="xl68"/>
    <w:basedOn w:val="1"/>
    <w:qFormat/>
    <w:uiPriority w:val="0"/>
    <w:pPr>
      <w:adjustRightInd/>
      <w:snapToGrid/>
      <w:spacing w:before="100" w:beforeAutospacing="1" w:after="100" w:afterAutospacing="1" w:line="240" w:lineRule="auto"/>
      <w:ind w:firstLine="0" w:firstLineChars="0"/>
      <w:jc w:val="center"/>
      <w:textAlignment w:val="center"/>
    </w:pPr>
    <w:rPr>
      <w:rFonts w:cs="宋体"/>
      <w:kern w:val="0"/>
      <w:szCs w:val="24"/>
    </w:rPr>
  </w:style>
  <w:style w:type="paragraph" w:customStyle="1" w:styleId="90">
    <w:name w:val="4级要点"/>
    <w:next w:val="1"/>
    <w:qFormat/>
    <w:uiPriority w:val="0"/>
    <w:pPr>
      <w:keepNext/>
      <w:adjustRightInd w:val="0"/>
      <w:snapToGrid w:val="0"/>
      <w:spacing w:before="163" w:beforeLines="50" w:after="163" w:afterLines="50" w:line="360" w:lineRule="auto"/>
      <w:ind w:left="85" w:firstLine="340"/>
    </w:pPr>
    <w:rPr>
      <w:rFonts w:ascii="宋体" w:hAnsi="Times New Roman" w:eastAsia="宋体" w:cs="Times New Roman"/>
      <w:b/>
      <w:kern w:val="2"/>
      <w:sz w:val="24"/>
      <w:szCs w:val="22"/>
      <w:lang w:val="en-US" w:eastAsia="zh-CN" w:bidi="ar-SA"/>
    </w:rPr>
  </w:style>
  <w:style w:type="paragraph" w:customStyle="1" w:styleId="91">
    <w:name w:val="5级要点"/>
    <w:next w:val="1"/>
    <w:qFormat/>
    <w:uiPriority w:val="0"/>
    <w:pPr>
      <w:adjustRightInd w:val="0"/>
      <w:snapToGrid w:val="0"/>
      <w:spacing w:before="50" w:beforeLines="50" w:after="50" w:afterLines="50" w:line="360" w:lineRule="auto"/>
      <w:ind w:firstLine="567"/>
    </w:pPr>
    <w:rPr>
      <w:rFonts w:ascii="宋体" w:hAnsi="Times New Roman" w:eastAsia="宋体" w:cs="Times New Roman"/>
      <w:b/>
      <w:kern w:val="2"/>
      <w:sz w:val="24"/>
      <w:szCs w:val="22"/>
      <w:lang w:val="en-US" w:eastAsia="zh-CN" w:bidi="ar-SA"/>
    </w:rPr>
  </w:style>
  <w:style w:type="paragraph" w:customStyle="1" w:styleId="92">
    <w:name w:val="Default"/>
    <w:qFormat/>
    <w:uiPriority w:val="0"/>
    <w:pPr>
      <w:widowControl w:val="0"/>
      <w:autoSpaceDE w:val="0"/>
      <w:autoSpaceDN w:val="0"/>
      <w:adjustRightInd w:val="0"/>
    </w:pPr>
    <w:rPr>
      <w:rFonts w:ascii="黑体" w:hAnsi="黑体" w:eastAsia="宋体" w:cs="黑体"/>
      <w:color w:val="000000"/>
      <w:sz w:val="24"/>
      <w:szCs w:val="24"/>
      <w:lang w:val="en-US" w:eastAsia="zh-CN" w:bidi="ar-SA"/>
    </w:rPr>
  </w:style>
  <w:style w:type="character" w:customStyle="1" w:styleId="93">
    <w:name w:val="表 字符"/>
    <w:link w:val="94"/>
    <w:qFormat/>
    <w:locked/>
    <w:uiPriority w:val="0"/>
    <w:rPr>
      <w:rFonts w:ascii="宋体" w:hAnsi="宋体"/>
      <w:kern w:val="2"/>
      <w:sz w:val="21"/>
      <w:szCs w:val="21"/>
    </w:rPr>
  </w:style>
  <w:style w:type="paragraph" w:customStyle="1" w:styleId="94">
    <w:name w:val="表"/>
    <w:basedOn w:val="1"/>
    <w:link w:val="93"/>
    <w:qFormat/>
    <w:uiPriority w:val="0"/>
    <w:pPr>
      <w:widowControl w:val="0"/>
      <w:adjustRightInd/>
      <w:snapToGrid/>
      <w:spacing w:line="240" w:lineRule="auto"/>
      <w:ind w:firstLine="0" w:firstLineChars="0"/>
    </w:pPr>
    <w:rPr>
      <w:sz w:val="21"/>
      <w:szCs w:val="21"/>
    </w:rPr>
  </w:style>
  <w:style w:type="character" w:customStyle="1" w:styleId="95">
    <w:name w:val="题注 字符"/>
    <w:link w:val="12"/>
    <w:qFormat/>
    <w:locked/>
    <w:uiPriority w:val="35"/>
    <w:rPr>
      <w:rFonts w:ascii="等线 Light" w:hAnsi="等线 Light" w:eastAsia="黑体"/>
      <w:kern w:val="2"/>
    </w:rPr>
  </w:style>
  <w:style w:type="paragraph" w:customStyle="1" w:styleId="96">
    <w:name w:val="表格"/>
    <w:basedOn w:val="1"/>
    <w:link w:val="97"/>
    <w:qFormat/>
    <w:uiPriority w:val="0"/>
    <w:pPr>
      <w:widowControl w:val="0"/>
      <w:adjustRightInd/>
      <w:snapToGrid/>
      <w:spacing w:line="580" w:lineRule="exact"/>
      <w:ind w:firstLine="0" w:firstLineChars="0"/>
      <w:jc w:val="center"/>
    </w:pPr>
    <w:rPr>
      <w:sz w:val="21"/>
      <w:szCs w:val="21"/>
    </w:rPr>
  </w:style>
  <w:style w:type="character" w:customStyle="1" w:styleId="97">
    <w:name w:val="表格 Char"/>
    <w:link w:val="96"/>
    <w:qFormat/>
    <w:locked/>
    <w:uiPriority w:val="0"/>
    <w:rPr>
      <w:rFonts w:ascii="宋体" w:hAnsi="宋体" w:eastAsia="仿宋_GB2312"/>
      <w:kern w:val="2"/>
      <w:sz w:val="21"/>
      <w:szCs w:val="21"/>
    </w:rPr>
  </w:style>
  <w:style w:type="paragraph" w:customStyle="1" w:styleId="98">
    <w:name w:val="专栏标题"/>
    <w:basedOn w:val="1"/>
    <w:link w:val="99"/>
    <w:qFormat/>
    <w:uiPriority w:val="0"/>
    <w:pPr>
      <w:spacing w:line="500" w:lineRule="exact"/>
      <w:ind w:firstLine="0" w:firstLineChars="0"/>
      <w:jc w:val="center"/>
    </w:pPr>
    <w:rPr>
      <w:b/>
      <w:bCs/>
      <w:sz w:val="28"/>
      <w:szCs w:val="20"/>
    </w:rPr>
  </w:style>
  <w:style w:type="character" w:customStyle="1" w:styleId="99">
    <w:name w:val="专栏标题 字符"/>
    <w:basedOn w:val="32"/>
    <w:link w:val="98"/>
    <w:qFormat/>
    <w:uiPriority w:val="0"/>
    <w:rPr>
      <w:rFonts w:ascii="宋体" w:hAnsi="宋体" w:eastAsia="仿宋_GB2312"/>
      <w:b/>
      <w:bCs/>
      <w:kern w:val="2"/>
      <w:sz w:val="28"/>
    </w:rPr>
  </w:style>
  <w:style w:type="paragraph" w:customStyle="1" w:styleId="100">
    <w:name w:val="_Style 2"/>
    <w:qFormat/>
    <w:uiPriority w:val="1"/>
    <w:pPr>
      <w:widowControl w:val="0"/>
      <w:ind w:firstLine="200" w:firstLineChars="200"/>
      <w:jc w:val="both"/>
    </w:pPr>
    <w:rPr>
      <w:rFonts w:ascii="Times New Roman" w:hAnsi="Times New Roman" w:eastAsia="宋体" w:cs="Times New Roman"/>
      <w:kern w:val="2"/>
      <w:sz w:val="24"/>
      <w:szCs w:val="22"/>
      <w:lang w:val="en-US" w:eastAsia="zh-CN" w:bidi="ar-SA"/>
    </w:rPr>
  </w:style>
  <w:style w:type="paragraph" w:customStyle="1" w:styleId="101">
    <w:name w:val="专栏文字"/>
    <w:basedOn w:val="1"/>
    <w:link w:val="102"/>
    <w:qFormat/>
    <w:uiPriority w:val="0"/>
    <w:pPr>
      <w:widowControl w:val="0"/>
      <w:ind w:firstLine="420"/>
    </w:pPr>
    <w:rPr>
      <w:rFonts w:ascii="Times New Roman" w:hAnsi="Times New Roman"/>
      <w:sz w:val="21"/>
      <w:szCs w:val="20"/>
    </w:rPr>
  </w:style>
  <w:style w:type="character" w:customStyle="1" w:styleId="102">
    <w:name w:val="专栏文字 字符"/>
    <w:basedOn w:val="32"/>
    <w:link w:val="101"/>
    <w:qFormat/>
    <w:uiPriority w:val="0"/>
    <w:rPr>
      <w:rFonts w:eastAsia="仿宋_GB2312"/>
      <w:kern w:val="2"/>
      <w:sz w:val="21"/>
    </w:rPr>
  </w:style>
  <w:style w:type="paragraph" w:customStyle="1" w:styleId="103">
    <w:name w:val="专栏内容"/>
    <w:basedOn w:val="1"/>
    <w:link w:val="104"/>
    <w:qFormat/>
    <w:uiPriority w:val="0"/>
    <w:pPr>
      <w:widowControl w:val="0"/>
      <w:ind w:firstLine="422"/>
    </w:pPr>
    <w:rPr>
      <w:rFonts w:ascii="Times New Roman" w:hAnsi="Times New Roman"/>
      <w:bCs/>
      <w:sz w:val="21"/>
      <w:szCs w:val="20"/>
    </w:rPr>
  </w:style>
  <w:style w:type="character" w:customStyle="1" w:styleId="104">
    <w:name w:val="专栏内容 字符"/>
    <w:basedOn w:val="32"/>
    <w:link w:val="103"/>
    <w:qFormat/>
    <w:uiPriority w:val="0"/>
    <w:rPr>
      <w:rFonts w:eastAsia="仿宋_GB2312"/>
      <w:bCs/>
      <w:kern w:val="2"/>
      <w:sz w:val="21"/>
    </w:rPr>
  </w:style>
  <w:style w:type="paragraph" w:customStyle="1" w:styleId="105">
    <w:name w:val="注脚"/>
    <w:basedOn w:val="1"/>
    <w:link w:val="106"/>
    <w:qFormat/>
    <w:uiPriority w:val="0"/>
    <w:pPr>
      <w:ind w:firstLine="0" w:firstLineChars="0"/>
    </w:pPr>
    <w:rPr>
      <w:rFonts w:ascii="楷体_GB2312" w:eastAsia="楷体_GB2312"/>
      <w:sz w:val="24"/>
      <w:szCs w:val="20"/>
    </w:rPr>
  </w:style>
  <w:style w:type="character" w:customStyle="1" w:styleId="106">
    <w:name w:val="注脚 字符"/>
    <w:basedOn w:val="32"/>
    <w:link w:val="105"/>
    <w:qFormat/>
    <w:uiPriority w:val="0"/>
    <w:rPr>
      <w:rFonts w:ascii="楷体_GB2312" w:hAnsi="宋体" w:eastAsia="楷体_GB2312"/>
      <w:kern w:val="2"/>
      <w:sz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2" Type="http://schemas.openxmlformats.org/officeDocument/2006/relationships/fontTable" Target="fontTable.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image" Target="media/image6.jpeg"/><Relationship Id="rId18" Type="http://schemas.openxmlformats.org/officeDocument/2006/relationships/image" Target="media/image5.jpeg"/><Relationship Id="rId17" Type="http://schemas.openxmlformats.org/officeDocument/2006/relationships/image" Target="media/image4.jpeg"/><Relationship Id="rId16" Type="http://schemas.openxmlformats.org/officeDocument/2006/relationships/image" Target="media/image3.jpeg"/><Relationship Id="rId15" Type="http://schemas.openxmlformats.org/officeDocument/2006/relationships/image" Target="media/image2.jpeg"/><Relationship Id="rId14" Type="http://schemas.openxmlformats.org/officeDocument/2006/relationships/image" Target="media/image1.jpeg"/><Relationship Id="rId13" Type="http://schemas.openxmlformats.org/officeDocument/2006/relationships/theme" Target="theme/theme1.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126</Pages>
  <Words>7950</Words>
  <Characters>45316</Characters>
  <Lines>377</Lines>
  <Paragraphs>106</Paragraphs>
  <TotalTime>284</TotalTime>
  <ScaleCrop>false</ScaleCrop>
  <LinksUpToDate>false</LinksUpToDate>
  <CharactersWithSpaces>53160</CharactersWithSpaces>
  <Application>WPS Office_11.8.2.9980_F1E327BC-269C-435d-A152-05C5408002CA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2025-09-11T11:42:00Z</dcterms:created>
  <dc:creator>Lee wintersweet</dc:creator>
  <cp:lastModifiedBy>kylin</cp:lastModifiedBy>
  <cp:lastPrinted>2026-02-03T09:50:00Z</cp:lastPrinted>
  <dcterms:modified xsi:type="dcterms:W3CDTF">2026-02-05T11:39:29Z</dcterms:modified>
  <cp:revision>55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2052-11.8.2.9980</vt:lpwstr>
  </property>
  <property fmtid="{D5CDD505-2E9C-101B-9397-08002B2CF9AE}" pid="3" name="ICV">
    <vt:lpwstr>38E1466444224D0A93CE8049DB88D4EB</vt:lpwstr>
  </property>
</Properties>
</file>