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pPr>
    </w:p>
    <w:p>
      <w:pPr>
        <w:ind w:firstLine="640"/>
      </w:pPr>
    </w:p>
    <w:p>
      <w:pPr>
        <w:ind w:firstLine="640"/>
      </w:pPr>
    </w:p>
    <w:p>
      <w:pPr>
        <w:ind w:firstLine="640"/>
      </w:pPr>
    </w:p>
    <w:p>
      <w:pPr>
        <w:tabs>
          <w:tab w:val="left" w:pos="229"/>
          <w:tab w:val="center" w:pos="4264"/>
        </w:tabs>
        <w:spacing w:line="240" w:lineRule="auto"/>
        <w:ind w:firstLine="0" w:firstLineChars="0"/>
        <w:jc w:val="center"/>
        <w:rPr>
          <w:rFonts w:ascii="方正小标宋简体" w:hAnsi="黑体" w:eastAsia="方正小标宋简体"/>
          <w:bCs/>
          <w:sz w:val="48"/>
          <w:szCs w:val="48"/>
        </w:rPr>
      </w:pPr>
      <w:r>
        <w:rPr>
          <w:rFonts w:hint="eastAsia" w:ascii="方正小标宋简体" w:hAnsi="黑体" w:eastAsia="方正小标宋简体"/>
          <w:bCs/>
          <w:sz w:val="48"/>
          <w:szCs w:val="48"/>
        </w:rPr>
        <w:t>内乡县七里坪乡国土空间总体规划</w:t>
      </w:r>
    </w:p>
    <w:p>
      <w:pPr>
        <w:widowControl w:val="0"/>
        <w:adjustRightInd/>
        <w:snapToGrid/>
        <w:spacing w:line="240" w:lineRule="auto"/>
        <w:ind w:firstLine="0" w:firstLineChars="0"/>
        <w:jc w:val="center"/>
        <w:rPr>
          <w:rFonts w:ascii="方正小标宋简体" w:hAnsi="黑体" w:eastAsia="方正小标宋简体"/>
          <w:bCs/>
          <w:sz w:val="48"/>
          <w:szCs w:val="48"/>
        </w:rPr>
      </w:pPr>
      <w:r>
        <w:rPr>
          <w:rFonts w:hint="eastAsia" w:ascii="方正小标宋简体" w:hAnsi="黑体" w:eastAsia="方正小标宋简体"/>
          <w:bCs/>
          <w:sz w:val="48"/>
          <w:szCs w:val="48"/>
        </w:rPr>
        <w:t>（2021-2035年）</w:t>
      </w:r>
    </w:p>
    <w:p>
      <w:pPr>
        <w:spacing w:before="65"/>
        <w:ind w:firstLine="0" w:firstLineChars="0"/>
        <w:jc w:val="center"/>
      </w:pPr>
    </w:p>
    <w:p>
      <w:pPr>
        <w:spacing w:before="65"/>
        <w:ind w:firstLine="0" w:firstLineChars="0"/>
        <w:jc w:val="center"/>
        <w:rPr>
          <w:rFonts w:ascii="方正小标宋简体" w:eastAsia="方正小标宋简体"/>
          <w:bCs/>
          <w:sz w:val="44"/>
          <w:szCs w:val="44"/>
        </w:rPr>
      </w:pPr>
      <w:r>
        <w:rPr>
          <w:rFonts w:hint="eastAsia" w:ascii="方正小标宋简体" w:eastAsia="方正小标宋简体"/>
          <w:bCs/>
          <w:sz w:val="44"/>
          <w:szCs w:val="44"/>
        </w:rPr>
        <w:t>文  本</w:t>
      </w:r>
    </w:p>
    <w:p>
      <w:pPr>
        <w:spacing w:before="65"/>
        <w:ind w:firstLine="0" w:firstLineChars="0"/>
        <w:jc w:val="center"/>
        <w:rPr>
          <w:rFonts w:ascii="楷体" w:hAnsi="楷体" w:eastAsia="楷体" w:cs="楷体"/>
          <w:bCs/>
          <w:sz w:val="44"/>
          <w:szCs w:val="44"/>
        </w:rPr>
      </w:pPr>
      <w:bookmarkStart w:id="0" w:name="_Hlk196901031"/>
      <w:r>
        <w:rPr>
          <w:rFonts w:hint="eastAsia" w:ascii="楷体" w:hAnsi="楷体" w:eastAsia="楷体" w:cs="楷体"/>
          <w:bCs/>
          <w:sz w:val="44"/>
          <w:szCs w:val="44"/>
        </w:rPr>
        <w:t>（公示稿）</w:t>
      </w:r>
    </w:p>
    <w:bookmarkEnd w:id="0"/>
    <w:p>
      <w:pPr>
        <w:widowControl w:val="0"/>
        <w:adjustRightInd/>
        <w:snapToGrid/>
        <w:spacing w:before="163" w:after="163" w:line="500" w:lineRule="exact"/>
        <w:ind w:firstLine="0" w:firstLineChars="0"/>
        <w:jc w:val="center"/>
        <w:rPr>
          <w:rFonts w:ascii="楷体_GB2312" w:hAnsi="黑体" w:eastAsia="楷体_GB2312"/>
          <w:b/>
          <w:sz w:val="36"/>
          <w:szCs w:val="36"/>
        </w:rPr>
      </w:pPr>
    </w:p>
    <w:p>
      <w:pPr>
        <w:widowControl w:val="0"/>
        <w:adjustRightInd/>
        <w:snapToGrid/>
        <w:spacing w:before="163" w:after="163" w:line="500" w:lineRule="exact"/>
        <w:ind w:firstLine="0" w:firstLineChars="0"/>
        <w:jc w:val="center"/>
        <w:rPr>
          <w:rFonts w:ascii="楷体_GB2312" w:hAnsi="黑体" w:eastAsia="楷体_GB2312"/>
          <w:b/>
          <w:sz w:val="36"/>
          <w:szCs w:val="36"/>
        </w:rPr>
      </w:pPr>
    </w:p>
    <w:p>
      <w:pPr>
        <w:widowControl w:val="0"/>
        <w:adjustRightInd/>
        <w:snapToGrid/>
        <w:spacing w:before="163" w:after="163" w:line="500" w:lineRule="exact"/>
        <w:ind w:firstLine="0" w:firstLineChars="0"/>
        <w:jc w:val="center"/>
        <w:rPr>
          <w:rFonts w:ascii="楷体_GB2312" w:hAnsi="黑体" w:eastAsia="楷体_GB2312"/>
          <w:b/>
          <w:sz w:val="36"/>
          <w:szCs w:val="36"/>
        </w:rPr>
      </w:pPr>
    </w:p>
    <w:p>
      <w:pPr>
        <w:widowControl w:val="0"/>
        <w:adjustRightInd/>
        <w:snapToGrid/>
        <w:spacing w:before="163" w:after="163" w:line="500" w:lineRule="exact"/>
        <w:ind w:firstLine="0" w:firstLineChars="0"/>
        <w:jc w:val="center"/>
        <w:rPr>
          <w:rFonts w:ascii="楷体_GB2312" w:hAnsi="黑体" w:eastAsia="楷体_GB2312"/>
          <w:b/>
          <w:sz w:val="36"/>
          <w:szCs w:val="36"/>
        </w:rPr>
      </w:pPr>
    </w:p>
    <w:p>
      <w:pPr>
        <w:widowControl w:val="0"/>
        <w:adjustRightInd/>
        <w:snapToGrid/>
        <w:spacing w:before="163" w:after="163" w:line="500" w:lineRule="exact"/>
        <w:ind w:firstLine="0" w:firstLineChars="0"/>
        <w:jc w:val="center"/>
        <w:rPr>
          <w:rFonts w:ascii="楷体_GB2312" w:hAnsi="黑体" w:eastAsia="楷体_GB2312"/>
          <w:b/>
          <w:sz w:val="36"/>
          <w:szCs w:val="36"/>
        </w:rPr>
      </w:pPr>
    </w:p>
    <w:p>
      <w:pPr>
        <w:widowControl w:val="0"/>
        <w:adjustRightInd/>
        <w:snapToGrid/>
        <w:spacing w:before="163" w:after="163" w:line="500" w:lineRule="exact"/>
        <w:ind w:firstLine="0" w:firstLineChars="0"/>
        <w:jc w:val="center"/>
        <w:rPr>
          <w:rFonts w:ascii="楷体_GB2312" w:hAnsi="黑体" w:eastAsia="楷体_GB2312"/>
          <w:b/>
          <w:sz w:val="36"/>
          <w:szCs w:val="36"/>
        </w:rPr>
      </w:pPr>
    </w:p>
    <w:p>
      <w:pPr>
        <w:widowControl w:val="0"/>
        <w:adjustRightInd/>
        <w:snapToGrid/>
        <w:spacing w:before="163" w:after="163" w:line="500" w:lineRule="exact"/>
        <w:ind w:firstLine="0" w:firstLineChars="0"/>
        <w:jc w:val="center"/>
        <w:rPr>
          <w:rFonts w:ascii="楷体_GB2312" w:hAnsi="黑体" w:eastAsia="楷体_GB2312"/>
          <w:b/>
          <w:sz w:val="36"/>
          <w:szCs w:val="36"/>
        </w:rPr>
      </w:pPr>
    </w:p>
    <w:p>
      <w:pPr>
        <w:widowControl w:val="0"/>
        <w:adjustRightInd/>
        <w:snapToGrid/>
        <w:spacing w:before="163" w:after="163" w:line="500" w:lineRule="exact"/>
        <w:ind w:firstLine="0" w:firstLineChars="0"/>
        <w:jc w:val="center"/>
        <w:rPr>
          <w:rFonts w:ascii="楷体_GB2312" w:hAnsi="黑体" w:eastAsia="楷体_GB2312"/>
          <w:b/>
          <w:sz w:val="36"/>
          <w:szCs w:val="36"/>
        </w:rPr>
      </w:pPr>
    </w:p>
    <w:p>
      <w:pPr>
        <w:spacing w:line="240" w:lineRule="auto"/>
        <w:ind w:firstLine="0" w:firstLineChars="0"/>
        <w:jc w:val="center"/>
        <w:rPr>
          <w:rFonts w:ascii="黑体" w:hAnsi="黑体" w:eastAsia="黑体"/>
          <w:szCs w:val="32"/>
        </w:rPr>
      </w:pPr>
      <w:r>
        <w:rPr>
          <w:rFonts w:hint="eastAsia" w:ascii="黑体" w:hAnsi="黑体" w:eastAsia="黑体"/>
          <w:szCs w:val="32"/>
        </w:rPr>
        <w:t>内乡县七里坪乡人民政府</w:t>
      </w:r>
    </w:p>
    <w:p>
      <w:pPr>
        <w:spacing w:before="65"/>
        <w:ind w:firstLine="0" w:firstLineChars="0"/>
        <w:jc w:val="center"/>
        <w:rPr>
          <w:rFonts w:ascii="黑体" w:hAnsi="黑体" w:eastAsia="黑体"/>
          <w:szCs w:val="32"/>
        </w:rPr>
      </w:pPr>
      <w:r>
        <w:rPr>
          <w:rFonts w:hint="eastAsia" w:ascii="黑体" w:hAnsi="黑体" w:eastAsia="黑体"/>
          <w:szCs w:val="32"/>
        </w:rPr>
        <w:t>2025年11月</w:t>
      </w:r>
    </w:p>
    <w:p>
      <w:pPr>
        <w:pStyle w:val="53"/>
        <w:spacing w:before="652" w:beforeLines="200" w:after="163"/>
        <w:jc w:val="both"/>
        <w:rPr>
          <w:b w:val="0"/>
          <w:bCs/>
          <w:spacing w:val="0"/>
          <w:sz w:val="36"/>
          <w:szCs w:val="36"/>
        </w:rPr>
        <w:sectPr>
          <w:headerReference r:id="rId7" w:type="first"/>
          <w:footerReference r:id="rId10" w:type="first"/>
          <w:headerReference r:id="rId5" w:type="default"/>
          <w:footerReference r:id="rId8" w:type="default"/>
          <w:headerReference r:id="rId6" w:type="even"/>
          <w:footerReference r:id="rId9" w:type="even"/>
          <w:pgSz w:w="11907" w:h="16839"/>
          <w:pgMar w:top="1440" w:right="1800" w:bottom="1440" w:left="1800" w:header="851" w:footer="992" w:gutter="0"/>
          <w:pgNumType w:start="1"/>
          <w:cols w:space="1137" w:num="1"/>
          <w:docGrid w:type="lines" w:linePitch="326" w:charSpace="0"/>
        </w:sectPr>
      </w:pPr>
    </w:p>
    <w:sdt>
      <w:sdtPr>
        <w:rPr>
          <w:rFonts w:hint="eastAsia" w:ascii="黑体" w:hAnsi="黑体" w:eastAsia="黑体" w:cs="黑体"/>
          <w:b/>
          <w:bCs/>
          <w:szCs w:val="32"/>
          <w:lang w:val="zh-CN"/>
        </w:rPr>
        <w:id w:val="-1"/>
        <w:docPartObj>
          <w:docPartGallery w:val="Table of Contents"/>
          <w:docPartUnique/>
        </w:docPartObj>
      </w:sdtPr>
      <w:sdtEndPr>
        <w:rPr>
          <w:rFonts w:hint="eastAsia" w:ascii="宋体" w:hAnsi="黑体" w:eastAsia="黑体" w:cs="黑体"/>
          <w:b/>
          <w:bCs/>
          <w:sz w:val="40"/>
          <w:szCs w:val="36"/>
          <w:lang w:val="zh-CN"/>
        </w:rPr>
      </w:sdtEndPr>
      <w:sdtContent>
        <w:p>
          <w:pPr>
            <w:spacing w:line="240" w:lineRule="auto"/>
            <w:ind w:firstLine="0" w:firstLineChars="0"/>
            <w:jc w:val="center"/>
            <w:rPr>
              <w:rFonts w:ascii="方正小标宋简体" w:eastAsia="方正小标宋简体"/>
              <w:szCs w:val="32"/>
            </w:rPr>
          </w:pPr>
          <w:r>
            <w:rPr>
              <w:rFonts w:hint="eastAsia" w:ascii="方正小标宋简体" w:eastAsia="方正小标宋简体"/>
              <w:b/>
              <w:bCs/>
              <w:szCs w:val="32"/>
            </w:rPr>
            <w:t>目 录</w:t>
          </w:r>
        </w:p>
        <w:p>
          <w:pPr>
            <w:pStyle w:val="22"/>
            <w:tabs>
              <w:tab w:val="right" w:leader="dot" w:pos="8297"/>
            </w:tabs>
            <w:spacing w:line="600" w:lineRule="exact"/>
            <w:rPr>
              <w:rStyle w:val="36"/>
              <w:bCs/>
            </w:rPr>
          </w:pPr>
          <w:r>
            <w:rPr>
              <w:rFonts w:ascii="楷体_GB2312" w:hAnsi="Times New Roman" w:cs="楷体_GB2312"/>
              <w:b w:val="0"/>
              <w:sz w:val="36"/>
            </w:rPr>
            <w:fldChar w:fldCharType="begin"/>
          </w:r>
          <w:r>
            <w:rPr>
              <w:rFonts w:ascii="楷体_GB2312" w:hAnsi="Times New Roman" w:cs="楷体_GB2312"/>
              <w:b w:val="0"/>
              <w:sz w:val="36"/>
            </w:rPr>
            <w:instrText xml:space="preserve"> TOC \o "1-1" \h \z \u </w:instrText>
          </w:r>
          <w:r>
            <w:rPr>
              <w:rFonts w:ascii="楷体_GB2312" w:hAnsi="Times New Roman" w:cs="楷体_GB2312"/>
              <w:b w:val="0"/>
              <w:sz w:val="36"/>
            </w:rPr>
            <w:fldChar w:fldCharType="separate"/>
          </w:r>
          <w:r>
            <w:fldChar w:fldCharType="begin"/>
          </w:r>
          <w:r>
            <w:instrText xml:space="preserve"> HYPERLINK \l "_Toc209773039" </w:instrText>
          </w:r>
          <w:r>
            <w:fldChar w:fldCharType="separate"/>
          </w:r>
          <w:r>
            <w:rPr>
              <w:rStyle w:val="36"/>
              <w:rFonts w:hint="eastAsia"/>
              <w:b w:val="0"/>
              <w:bCs/>
            </w:rPr>
            <w:t>第一章 总则</w:t>
          </w:r>
          <w:r>
            <w:rPr>
              <w:rStyle w:val="36"/>
              <w:rFonts w:hint="eastAsia"/>
              <w:b w:val="0"/>
              <w:bCs/>
            </w:rPr>
            <w:tab/>
          </w:r>
          <w:r>
            <w:rPr>
              <w:rStyle w:val="36"/>
              <w:rFonts w:hint="eastAsia"/>
              <w:b w:val="0"/>
              <w:bCs/>
            </w:rPr>
            <w:fldChar w:fldCharType="begin"/>
          </w:r>
          <w:r>
            <w:rPr>
              <w:rStyle w:val="36"/>
              <w:rFonts w:hint="eastAsia"/>
              <w:b w:val="0"/>
              <w:bCs/>
            </w:rPr>
            <w:instrText xml:space="preserve"> </w:instrText>
          </w:r>
          <w:r>
            <w:rPr>
              <w:rStyle w:val="36"/>
              <w:b w:val="0"/>
              <w:bCs/>
            </w:rPr>
            <w:instrText xml:space="preserve">PAGEREF _Toc209773039 \h</w:instrText>
          </w:r>
          <w:r>
            <w:rPr>
              <w:rStyle w:val="36"/>
              <w:rFonts w:hint="eastAsia"/>
              <w:b w:val="0"/>
              <w:bCs/>
            </w:rPr>
            <w:instrText xml:space="preserve"> </w:instrText>
          </w:r>
          <w:r>
            <w:rPr>
              <w:rStyle w:val="36"/>
              <w:rFonts w:hint="eastAsia"/>
              <w:b w:val="0"/>
              <w:bCs/>
            </w:rPr>
            <w:fldChar w:fldCharType="separate"/>
          </w:r>
          <w:r>
            <w:rPr>
              <w:rStyle w:val="36"/>
              <w:rFonts w:hint="eastAsia"/>
              <w:b w:val="0"/>
              <w:bCs/>
            </w:rPr>
            <w:t>2</w:t>
          </w:r>
          <w:r>
            <w:rPr>
              <w:rStyle w:val="36"/>
              <w:rFonts w:hint="eastAsia"/>
              <w:b w:val="0"/>
              <w:bCs/>
            </w:rPr>
            <w:fldChar w:fldCharType="end"/>
          </w:r>
          <w:r>
            <w:rPr>
              <w:rStyle w:val="36"/>
              <w:rFonts w:hint="eastAsia"/>
              <w:b w:val="0"/>
              <w:bCs/>
            </w:rPr>
            <w:fldChar w:fldCharType="end"/>
          </w:r>
        </w:p>
        <w:p>
          <w:pPr>
            <w:pStyle w:val="22"/>
            <w:tabs>
              <w:tab w:val="right" w:leader="dot" w:pos="8297"/>
            </w:tabs>
            <w:spacing w:line="600" w:lineRule="exact"/>
            <w:rPr>
              <w:rStyle w:val="36"/>
              <w:bCs/>
            </w:rPr>
          </w:pPr>
          <w:r>
            <w:fldChar w:fldCharType="begin"/>
          </w:r>
          <w:r>
            <w:instrText xml:space="preserve"> HYPERLINK \l "_Toc209773040" </w:instrText>
          </w:r>
          <w:r>
            <w:fldChar w:fldCharType="separate"/>
          </w:r>
          <w:r>
            <w:rPr>
              <w:rStyle w:val="36"/>
              <w:rFonts w:hint="eastAsia"/>
              <w:b w:val="0"/>
              <w:bCs/>
            </w:rPr>
            <w:t>第二章 现状分析</w:t>
          </w:r>
          <w:r>
            <w:rPr>
              <w:rStyle w:val="36"/>
              <w:rFonts w:hint="eastAsia"/>
              <w:b w:val="0"/>
              <w:bCs/>
            </w:rPr>
            <w:tab/>
          </w:r>
          <w:r>
            <w:rPr>
              <w:rStyle w:val="36"/>
              <w:rFonts w:hint="eastAsia"/>
              <w:b w:val="0"/>
              <w:bCs/>
            </w:rPr>
            <w:fldChar w:fldCharType="begin"/>
          </w:r>
          <w:r>
            <w:rPr>
              <w:rStyle w:val="36"/>
              <w:rFonts w:hint="eastAsia"/>
              <w:b w:val="0"/>
              <w:bCs/>
            </w:rPr>
            <w:instrText xml:space="preserve"> </w:instrText>
          </w:r>
          <w:r>
            <w:rPr>
              <w:rStyle w:val="36"/>
              <w:b w:val="0"/>
              <w:bCs/>
            </w:rPr>
            <w:instrText xml:space="preserve">PAGEREF _Toc209773040 \h</w:instrText>
          </w:r>
          <w:r>
            <w:rPr>
              <w:rStyle w:val="36"/>
              <w:rFonts w:hint="eastAsia"/>
              <w:b w:val="0"/>
              <w:bCs/>
            </w:rPr>
            <w:instrText xml:space="preserve"> </w:instrText>
          </w:r>
          <w:r>
            <w:rPr>
              <w:rStyle w:val="36"/>
              <w:rFonts w:hint="eastAsia"/>
              <w:b w:val="0"/>
              <w:bCs/>
            </w:rPr>
            <w:fldChar w:fldCharType="separate"/>
          </w:r>
          <w:r>
            <w:rPr>
              <w:rStyle w:val="36"/>
              <w:rFonts w:hint="eastAsia"/>
              <w:b w:val="0"/>
              <w:bCs/>
            </w:rPr>
            <w:t>5</w:t>
          </w:r>
          <w:r>
            <w:rPr>
              <w:rStyle w:val="36"/>
              <w:rFonts w:hint="eastAsia"/>
              <w:b w:val="0"/>
              <w:bCs/>
            </w:rPr>
            <w:fldChar w:fldCharType="end"/>
          </w:r>
          <w:r>
            <w:rPr>
              <w:rStyle w:val="36"/>
              <w:rFonts w:hint="eastAsia"/>
              <w:b w:val="0"/>
              <w:bCs/>
            </w:rPr>
            <w:fldChar w:fldCharType="end"/>
          </w:r>
        </w:p>
        <w:p>
          <w:pPr>
            <w:pStyle w:val="22"/>
            <w:tabs>
              <w:tab w:val="right" w:leader="dot" w:pos="8297"/>
            </w:tabs>
            <w:spacing w:line="600" w:lineRule="exact"/>
            <w:rPr>
              <w:rStyle w:val="36"/>
              <w:bCs/>
            </w:rPr>
          </w:pPr>
          <w:r>
            <w:fldChar w:fldCharType="begin"/>
          </w:r>
          <w:r>
            <w:instrText xml:space="preserve"> HYPERLINK \l "_Toc209773041" </w:instrText>
          </w:r>
          <w:r>
            <w:fldChar w:fldCharType="separate"/>
          </w:r>
          <w:r>
            <w:rPr>
              <w:rStyle w:val="36"/>
              <w:rFonts w:hint="eastAsia"/>
              <w:b w:val="0"/>
              <w:bCs/>
            </w:rPr>
            <w:t>第三章 发展定位与目标</w:t>
          </w:r>
          <w:r>
            <w:rPr>
              <w:rStyle w:val="36"/>
              <w:rFonts w:hint="eastAsia"/>
              <w:b w:val="0"/>
              <w:bCs/>
            </w:rPr>
            <w:tab/>
          </w:r>
          <w:r>
            <w:rPr>
              <w:rStyle w:val="36"/>
              <w:rFonts w:hint="eastAsia"/>
              <w:b w:val="0"/>
              <w:bCs/>
            </w:rPr>
            <w:fldChar w:fldCharType="begin"/>
          </w:r>
          <w:r>
            <w:rPr>
              <w:rStyle w:val="36"/>
              <w:rFonts w:hint="eastAsia"/>
              <w:b w:val="0"/>
              <w:bCs/>
            </w:rPr>
            <w:instrText xml:space="preserve"> </w:instrText>
          </w:r>
          <w:r>
            <w:rPr>
              <w:rStyle w:val="36"/>
              <w:b w:val="0"/>
              <w:bCs/>
            </w:rPr>
            <w:instrText xml:space="preserve">PAGEREF _Toc209773041 \h</w:instrText>
          </w:r>
          <w:r>
            <w:rPr>
              <w:rStyle w:val="36"/>
              <w:rFonts w:hint="eastAsia"/>
              <w:b w:val="0"/>
              <w:bCs/>
            </w:rPr>
            <w:instrText xml:space="preserve"> </w:instrText>
          </w:r>
          <w:r>
            <w:rPr>
              <w:rStyle w:val="36"/>
              <w:rFonts w:hint="eastAsia"/>
              <w:b w:val="0"/>
              <w:bCs/>
            </w:rPr>
            <w:fldChar w:fldCharType="separate"/>
          </w:r>
          <w:r>
            <w:rPr>
              <w:rStyle w:val="36"/>
              <w:rFonts w:hint="eastAsia"/>
              <w:b w:val="0"/>
              <w:bCs/>
            </w:rPr>
            <w:t>10</w:t>
          </w:r>
          <w:r>
            <w:rPr>
              <w:rStyle w:val="36"/>
              <w:rFonts w:hint="eastAsia"/>
              <w:b w:val="0"/>
              <w:bCs/>
            </w:rPr>
            <w:fldChar w:fldCharType="end"/>
          </w:r>
          <w:r>
            <w:rPr>
              <w:rStyle w:val="36"/>
              <w:rFonts w:hint="eastAsia"/>
              <w:b w:val="0"/>
              <w:bCs/>
            </w:rPr>
            <w:fldChar w:fldCharType="end"/>
          </w:r>
        </w:p>
        <w:p>
          <w:pPr>
            <w:pStyle w:val="22"/>
            <w:tabs>
              <w:tab w:val="right" w:leader="dot" w:pos="8297"/>
            </w:tabs>
            <w:spacing w:line="600" w:lineRule="exact"/>
            <w:rPr>
              <w:rStyle w:val="36"/>
              <w:bCs/>
            </w:rPr>
          </w:pPr>
          <w:r>
            <w:fldChar w:fldCharType="begin"/>
          </w:r>
          <w:r>
            <w:instrText xml:space="preserve"> HYPERLINK \l "_Toc209773042" </w:instrText>
          </w:r>
          <w:r>
            <w:fldChar w:fldCharType="separate"/>
          </w:r>
          <w:r>
            <w:rPr>
              <w:rStyle w:val="36"/>
              <w:rFonts w:hint="eastAsia"/>
              <w:b w:val="0"/>
              <w:bCs/>
            </w:rPr>
            <w:t>第四章 底线约束</w:t>
          </w:r>
          <w:r>
            <w:rPr>
              <w:rStyle w:val="36"/>
              <w:rFonts w:hint="eastAsia"/>
              <w:b w:val="0"/>
              <w:bCs/>
            </w:rPr>
            <w:tab/>
          </w:r>
          <w:r>
            <w:rPr>
              <w:rStyle w:val="36"/>
              <w:rFonts w:hint="eastAsia"/>
              <w:b w:val="0"/>
              <w:bCs/>
            </w:rPr>
            <w:fldChar w:fldCharType="begin"/>
          </w:r>
          <w:r>
            <w:rPr>
              <w:rStyle w:val="36"/>
              <w:rFonts w:hint="eastAsia"/>
              <w:b w:val="0"/>
              <w:bCs/>
            </w:rPr>
            <w:instrText xml:space="preserve"> </w:instrText>
          </w:r>
          <w:r>
            <w:rPr>
              <w:rStyle w:val="36"/>
              <w:b w:val="0"/>
              <w:bCs/>
            </w:rPr>
            <w:instrText xml:space="preserve">PAGEREF _Toc209773042 \h</w:instrText>
          </w:r>
          <w:r>
            <w:rPr>
              <w:rStyle w:val="36"/>
              <w:rFonts w:hint="eastAsia"/>
              <w:b w:val="0"/>
              <w:bCs/>
            </w:rPr>
            <w:instrText xml:space="preserve"> </w:instrText>
          </w:r>
          <w:r>
            <w:rPr>
              <w:rStyle w:val="36"/>
              <w:rFonts w:hint="eastAsia"/>
              <w:b w:val="0"/>
              <w:bCs/>
            </w:rPr>
            <w:fldChar w:fldCharType="separate"/>
          </w:r>
          <w:r>
            <w:rPr>
              <w:rStyle w:val="36"/>
              <w:rFonts w:hint="eastAsia"/>
              <w:b w:val="0"/>
              <w:bCs/>
            </w:rPr>
            <w:t>14</w:t>
          </w:r>
          <w:r>
            <w:rPr>
              <w:rStyle w:val="36"/>
              <w:rFonts w:hint="eastAsia"/>
              <w:b w:val="0"/>
              <w:bCs/>
            </w:rPr>
            <w:fldChar w:fldCharType="end"/>
          </w:r>
          <w:r>
            <w:rPr>
              <w:rStyle w:val="36"/>
              <w:rFonts w:hint="eastAsia"/>
              <w:b w:val="0"/>
              <w:bCs/>
            </w:rPr>
            <w:fldChar w:fldCharType="end"/>
          </w:r>
        </w:p>
        <w:p>
          <w:pPr>
            <w:pStyle w:val="22"/>
            <w:tabs>
              <w:tab w:val="right" w:leader="dot" w:pos="8297"/>
            </w:tabs>
            <w:spacing w:line="600" w:lineRule="exact"/>
            <w:rPr>
              <w:rStyle w:val="36"/>
              <w:bCs/>
            </w:rPr>
          </w:pPr>
          <w:r>
            <w:fldChar w:fldCharType="begin"/>
          </w:r>
          <w:r>
            <w:instrText xml:space="preserve"> HYPERLINK \l "_Toc209773043" </w:instrText>
          </w:r>
          <w:r>
            <w:fldChar w:fldCharType="separate"/>
          </w:r>
          <w:r>
            <w:rPr>
              <w:rStyle w:val="36"/>
              <w:rFonts w:hint="eastAsia"/>
              <w:b w:val="0"/>
              <w:bCs/>
            </w:rPr>
            <w:t>第五章 规划分区</w:t>
          </w:r>
          <w:r>
            <w:rPr>
              <w:rStyle w:val="36"/>
              <w:rFonts w:hint="eastAsia"/>
              <w:b w:val="0"/>
              <w:bCs/>
            </w:rPr>
            <w:tab/>
          </w:r>
          <w:r>
            <w:rPr>
              <w:rStyle w:val="36"/>
              <w:rFonts w:hint="eastAsia"/>
              <w:b w:val="0"/>
              <w:bCs/>
            </w:rPr>
            <w:fldChar w:fldCharType="begin"/>
          </w:r>
          <w:r>
            <w:rPr>
              <w:rStyle w:val="36"/>
              <w:rFonts w:hint="eastAsia"/>
              <w:b w:val="0"/>
              <w:bCs/>
            </w:rPr>
            <w:instrText xml:space="preserve"> </w:instrText>
          </w:r>
          <w:r>
            <w:rPr>
              <w:rStyle w:val="36"/>
              <w:b w:val="0"/>
              <w:bCs/>
            </w:rPr>
            <w:instrText xml:space="preserve">PAGEREF _Toc209773043 \h</w:instrText>
          </w:r>
          <w:r>
            <w:rPr>
              <w:rStyle w:val="36"/>
              <w:rFonts w:hint="eastAsia"/>
              <w:b w:val="0"/>
              <w:bCs/>
            </w:rPr>
            <w:instrText xml:space="preserve"> </w:instrText>
          </w:r>
          <w:r>
            <w:rPr>
              <w:rStyle w:val="36"/>
              <w:rFonts w:hint="eastAsia"/>
              <w:b w:val="0"/>
              <w:bCs/>
            </w:rPr>
            <w:fldChar w:fldCharType="separate"/>
          </w:r>
          <w:r>
            <w:rPr>
              <w:rStyle w:val="36"/>
              <w:rFonts w:hint="eastAsia"/>
              <w:b w:val="0"/>
              <w:bCs/>
            </w:rPr>
            <w:t>17</w:t>
          </w:r>
          <w:r>
            <w:rPr>
              <w:rStyle w:val="36"/>
              <w:rFonts w:hint="eastAsia"/>
              <w:b w:val="0"/>
              <w:bCs/>
            </w:rPr>
            <w:fldChar w:fldCharType="end"/>
          </w:r>
          <w:r>
            <w:rPr>
              <w:rStyle w:val="36"/>
              <w:rFonts w:hint="eastAsia"/>
              <w:b w:val="0"/>
              <w:bCs/>
            </w:rPr>
            <w:fldChar w:fldCharType="end"/>
          </w:r>
        </w:p>
        <w:p>
          <w:pPr>
            <w:pStyle w:val="22"/>
            <w:tabs>
              <w:tab w:val="right" w:leader="dot" w:pos="8297"/>
            </w:tabs>
            <w:spacing w:line="600" w:lineRule="exact"/>
            <w:rPr>
              <w:rStyle w:val="36"/>
              <w:bCs/>
            </w:rPr>
          </w:pPr>
          <w:r>
            <w:fldChar w:fldCharType="begin"/>
          </w:r>
          <w:r>
            <w:instrText xml:space="preserve"> HYPERLINK \l "_Toc209773044" </w:instrText>
          </w:r>
          <w:r>
            <w:fldChar w:fldCharType="separate"/>
          </w:r>
          <w:r>
            <w:rPr>
              <w:rStyle w:val="36"/>
              <w:rFonts w:hint="eastAsia"/>
              <w:b w:val="0"/>
              <w:bCs/>
            </w:rPr>
            <w:t>第六章 国土空间功能结构调整</w:t>
          </w:r>
          <w:r>
            <w:rPr>
              <w:rStyle w:val="36"/>
              <w:rFonts w:hint="eastAsia"/>
              <w:b w:val="0"/>
              <w:bCs/>
            </w:rPr>
            <w:tab/>
          </w:r>
          <w:r>
            <w:rPr>
              <w:rStyle w:val="36"/>
              <w:rFonts w:hint="eastAsia"/>
              <w:b w:val="0"/>
              <w:bCs/>
            </w:rPr>
            <w:fldChar w:fldCharType="begin"/>
          </w:r>
          <w:r>
            <w:rPr>
              <w:rStyle w:val="36"/>
              <w:rFonts w:hint="eastAsia"/>
              <w:b w:val="0"/>
              <w:bCs/>
            </w:rPr>
            <w:instrText xml:space="preserve"> </w:instrText>
          </w:r>
          <w:r>
            <w:rPr>
              <w:rStyle w:val="36"/>
              <w:b w:val="0"/>
              <w:bCs/>
            </w:rPr>
            <w:instrText xml:space="preserve">PAGEREF _Toc209773044 \h</w:instrText>
          </w:r>
          <w:r>
            <w:rPr>
              <w:rStyle w:val="36"/>
              <w:rFonts w:hint="eastAsia"/>
              <w:b w:val="0"/>
              <w:bCs/>
            </w:rPr>
            <w:instrText xml:space="preserve"> </w:instrText>
          </w:r>
          <w:r>
            <w:rPr>
              <w:rStyle w:val="36"/>
              <w:rFonts w:hint="eastAsia"/>
              <w:b w:val="0"/>
              <w:bCs/>
            </w:rPr>
            <w:fldChar w:fldCharType="separate"/>
          </w:r>
          <w:r>
            <w:rPr>
              <w:rStyle w:val="36"/>
              <w:rFonts w:hint="eastAsia"/>
              <w:b w:val="0"/>
              <w:bCs/>
            </w:rPr>
            <w:t>25</w:t>
          </w:r>
          <w:r>
            <w:rPr>
              <w:rStyle w:val="36"/>
              <w:rFonts w:hint="eastAsia"/>
              <w:b w:val="0"/>
              <w:bCs/>
            </w:rPr>
            <w:fldChar w:fldCharType="end"/>
          </w:r>
          <w:r>
            <w:rPr>
              <w:rStyle w:val="36"/>
              <w:rFonts w:hint="eastAsia"/>
              <w:b w:val="0"/>
              <w:bCs/>
            </w:rPr>
            <w:fldChar w:fldCharType="end"/>
          </w:r>
        </w:p>
        <w:p>
          <w:pPr>
            <w:pStyle w:val="22"/>
            <w:tabs>
              <w:tab w:val="right" w:leader="dot" w:pos="8297"/>
            </w:tabs>
            <w:spacing w:line="600" w:lineRule="exact"/>
            <w:rPr>
              <w:rStyle w:val="36"/>
              <w:bCs/>
            </w:rPr>
          </w:pPr>
          <w:r>
            <w:fldChar w:fldCharType="begin"/>
          </w:r>
          <w:r>
            <w:instrText xml:space="preserve"> HYPERLINK \l "_Toc209773045" </w:instrText>
          </w:r>
          <w:r>
            <w:fldChar w:fldCharType="separate"/>
          </w:r>
          <w:r>
            <w:rPr>
              <w:rStyle w:val="36"/>
              <w:rFonts w:hint="eastAsia"/>
              <w:b w:val="0"/>
              <w:bCs/>
            </w:rPr>
            <w:t>第七章 自然资源保护利用</w:t>
          </w:r>
          <w:r>
            <w:rPr>
              <w:rStyle w:val="36"/>
              <w:rFonts w:hint="eastAsia"/>
              <w:b w:val="0"/>
              <w:bCs/>
            </w:rPr>
            <w:tab/>
          </w:r>
          <w:r>
            <w:rPr>
              <w:rStyle w:val="36"/>
              <w:rFonts w:hint="eastAsia"/>
              <w:b w:val="0"/>
              <w:bCs/>
            </w:rPr>
            <w:fldChar w:fldCharType="begin"/>
          </w:r>
          <w:r>
            <w:rPr>
              <w:rStyle w:val="36"/>
              <w:rFonts w:hint="eastAsia"/>
              <w:b w:val="0"/>
              <w:bCs/>
            </w:rPr>
            <w:instrText xml:space="preserve"> </w:instrText>
          </w:r>
          <w:r>
            <w:rPr>
              <w:rStyle w:val="36"/>
              <w:b w:val="0"/>
              <w:bCs/>
            </w:rPr>
            <w:instrText xml:space="preserve">PAGEREF _Toc209773045 \h</w:instrText>
          </w:r>
          <w:r>
            <w:rPr>
              <w:rStyle w:val="36"/>
              <w:rFonts w:hint="eastAsia"/>
              <w:b w:val="0"/>
              <w:bCs/>
            </w:rPr>
            <w:instrText xml:space="preserve"> </w:instrText>
          </w:r>
          <w:r>
            <w:rPr>
              <w:rStyle w:val="36"/>
              <w:rFonts w:hint="eastAsia"/>
              <w:b w:val="0"/>
              <w:bCs/>
            </w:rPr>
            <w:fldChar w:fldCharType="separate"/>
          </w:r>
          <w:r>
            <w:rPr>
              <w:rStyle w:val="36"/>
              <w:rFonts w:hint="eastAsia"/>
              <w:b w:val="0"/>
              <w:bCs/>
            </w:rPr>
            <w:t>28</w:t>
          </w:r>
          <w:r>
            <w:rPr>
              <w:rStyle w:val="36"/>
              <w:rFonts w:hint="eastAsia"/>
              <w:b w:val="0"/>
              <w:bCs/>
            </w:rPr>
            <w:fldChar w:fldCharType="end"/>
          </w:r>
          <w:r>
            <w:rPr>
              <w:rStyle w:val="36"/>
              <w:rFonts w:hint="eastAsia"/>
              <w:b w:val="0"/>
              <w:bCs/>
            </w:rPr>
            <w:fldChar w:fldCharType="end"/>
          </w:r>
        </w:p>
        <w:p>
          <w:pPr>
            <w:pStyle w:val="22"/>
            <w:tabs>
              <w:tab w:val="right" w:leader="dot" w:pos="8297"/>
            </w:tabs>
            <w:spacing w:line="600" w:lineRule="exact"/>
            <w:rPr>
              <w:rStyle w:val="36"/>
              <w:bCs/>
            </w:rPr>
          </w:pPr>
          <w:r>
            <w:fldChar w:fldCharType="begin"/>
          </w:r>
          <w:r>
            <w:instrText xml:space="preserve"> HYPERLINK \l "_Toc209773046" </w:instrText>
          </w:r>
          <w:r>
            <w:fldChar w:fldCharType="separate"/>
          </w:r>
          <w:r>
            <w:rPr>
              <w:rStyle w:val="36"/>
              <w:rFonts w:hint="eastAsia"/>
              <w:b w:val="0"/>
              <w:bCs/>
            </w:rPr>
            <w:t>第八章 产业规划</w:t>
          </w:r>
          <w:r>
            <w:rPr>
              <w:rStyle w:val="36"/>
              <w:rFonts w:hint="eastAsia"/>
              <w:b w:val="0"/>
              <w:bCs/>
            </w:rPr>
            <w:tab/>
          </w:r>
          <w:r>
            <w:rPr>
              <w:rStyle w:val="36"/>
              <w:rFonts w:hint="eastAsia"/>
              <w:b w:val="0"/>
              <w:bCs/>
            </w:rPr>
            <w:fldChar w:fldCharType="begin"/>
          </w:r>
          <w:r>
            <w:rPr>
              <w:rStyle w:val="36"/>
              <w:rFonts w:hint="eastAsia"/>
              <w:b w:val="0"/>
              <w:bCs/>
            </w:rPr>
            <w:instrText xml:space="preserve"> </w:instrText>
          </w:r>
          <w:r>
            <w:rPr>
              <w:rStyle w:val="36"/>
              <w:b w:val="0"/>
              <w:bCs/>
            </w:rPr>
            <w:instrText xml:space="preserve">PAGEREF _Toc209773046 \h</w:instrText>
          </w:r>
          <w:r>
            <w:rPr>
              <w:rStyle w:val="36"/>
              <w:rFonts w:hint="eastAsia"/>
              <w:b w:val="0"/>
              <w:bCs/>
            </w:rPr>
            <w:instrText xml:space="preserve"> </w:instrText>
          </w:r>
          <w:r>
            <w:rPr>
              <w:rStyle w:val="36"/>
              <w:rFonts w:hint="eastAsia"/>
              <w:b w:val="0"/>
              <w:bCs/>
            </w:rPr>
            <w:fldChar w:fldCharType="separate"/>
          </w:r>
          <w:r>
            <w:rPr>
              <w:rStyle w:val="36"/>
              <w:rFonts w:hint="eastAsia"/>
              <w:b w:val="0"/>
              <w:bCs/>
            </w:rPr>
            <w:t>42</w:t>
          </w:r>
          <w:r>
            <w:rPr>
              <w:rStyle w:val="36"/>
              <w:rFonts w:hint="eastAsia"/>
              <w:b w:val="0"/>
              <w:bCs/>
            </w:rPr>
            <w:fldChar w:fldCharType="end"/>
          </w:r>
          <w:r>
            <w:rPr>
              <w:rStyle w:val="36"/>
              <w:rFonts w:hint="eastAsia"/>
              <w:b w:val="0"/>
              <w:bCs/>
            </w:rPr>
            <w:fldChar w:fldCharType="end"/>
          </w:r>
        </w:p>
        <w:p>
          <w:pPr>
            <w:pStyle w:val="22"/>
            <w:tabs>
              <w:tab w:val="right" w:leader="dot" w:pos="8297"/>
            </w:tabs>
            <w:spacing w:line="600" w:lineRule="exact"/>
            <w:rPr>
              <w:rStyle w:val="36"/>
              <w:bCs/>
            </w:rPr>
          </w:pPr>
          <w:r>
            <w:fldChar w:fldCharType="begin"/>
          </w:r>
          <w:r>
            <w:instrText xml:space="preserve"> HYPERLINK \l "_Toc209773047" </w:instrText>
          </w:r>
          <w:r>
            <w:fldChar w:fldCharType="separate"/>
          </w:r>
          <w:r>
            <w:rPr>
              <w:rStyle w:val="36"/>
              <w:rFonts w:hint="eastAsia"/>
              <w:b w:val="0"/>
              <w:bCs/>
            </w:rPr>
            <w:t>第九章 村庄布局</w:t>
          </w:r>
          <w:r>
            <w:rPr>
              <w:rStyle w:val="36"/>
              <w:rFonts w:hint="eastAsia"/>
              <w:b w:val="0"/>
              <w:bCs/>
            </w:rPr>
            <w:tab/>
          </w:r>
          <w:r>
            <w:rPr>
              <w:rStyle w:val="36"/>
              <w:rFonts w:hint="eastAsia"/>
              <w:b w:val="0"/>
              <w:bCs/>
            </w:rPr>
            <w:fldChar w:fldCharType="begin"/>
          </w:r>
          <w:r>
            <w:rPr>
              <w:rStyle w:val="36"/>
              <w:rFonts w:hint="eastAsia"/>
              <w:b w:val="0"/>
              <w:bCs/>
            </w:rPr>
            <w:instrText xml:space="preserve"> </w:instrText>
          </w:r>
          <w:r>
            <w:rPr>
              <w:rStyle w:val="36"/>
              <w:b w:val="0"/>
              <w:bCs/>
            </w:rPr>
            <w:instrText xml:space="preserve">PAGEREF _Toc209773047 \h</w:instrText>
          </w:r>
          <w:r>
            <w:rPr>
              <w:rStyle w:val="36"/>
              <w:rFonts w:hint="eastAsia"/>
              <w:b w:val="0"/>
              <w:bCs/>
            </w:rPr>
            <w:instrText xml:space="preserve"> </w:instrText>
          </w:r>
          <w:r>
            <w:rPr>
              <w:rStyle w:val="36"/>
              <w:rFonts w:hint="eastAsia"/>
              <w:b w:val="0"/>
              <w:bCs/>
            </w:rPr>
            <w:fldChar w:fldCharType="separate"/>
          </w:r>
          <w:r>
            <w:rPr>
              <w:rStyle w:val="36"/>
              <w:rFonts w:hint="eastAsia"/>
              <w:b w:val="0"/>
              <w:bCs/>
            </w:rPr>
            <w:t>47</w:t>
          </w:r>
          <w:r>
            <w:rPr>
              <w:rStyle w:val="36"/>
              <w:rFonts w:hint="eastAsia"/>
              <w:b w:val="0"/>
              <w:bCs/>
            </w:rPr>
            <w:fldChar w:fldCharType="end"/>
          </w:r>
          <w:r>
            <w:rPr>
              <w:rStyle w:val="36"/>
              <w:rFonts w:hint="eastAsia"/>
              <w:b w:val="0"/>
              <w:bCs/>
            </w:rPr>
            <w:fldChar w:fldCharType="end"/>
          </w:r>
        </w:p>
        <w:p>
          <w:pPr>
            <w:pStyle w:val="22"/>
            <w:tabs>
              <w:tab w:val="right" w:leader="dot" w:pos="8297"/>
            </w:tabs>
            <w:spacing w:line="600" w:lineRule="exact"/>
            <w:rPr>
              <w:rStyle w:val="36"/>
              <w:bCs/>
            </w:rPr>
          </w:pPr>
          <w:r>
            <w:fldChar w:fldCharType="begin"/>
          </w:r>
          <w:r>
            <w:instrText xml:space="preserve"> HYPERLINK \l "_Toc209773048" </w:instrText>
          </w:r>
          <w:r>
            <w:fldChar w:fldCharType="separate"/>
          </w:r>
          <w:r>
            <w:rPr>
              <w:rStyle w:val="36"/>
              <w:rFonts w:hint="eastAsia"/>
              <w:b w:val="0"/>
              <w:bCs/>
            </w:rPr>
            <w:t>第十章 支撑体系规划</w:t>
          </w:r>
          <w:r>
            <w:rPr>
              <w:rStyle w:val="36"/>
              <w:rFonts w:hint="eastAsia"/>
              <w:b w:val="0"/>
              <w:bCs/>
            </w:rPr>
            <w:tab/>
          </w:r>
          <w:r>
            <w:rPr>
              <w:rStyle w:val="36"/>
              <w:rFonts w:hint="eastAsia"/>
              <w:b w:val="0"/>
              <w:bCs/>
            </w:rPr>
            <w:fldChar w:fldCharType="begin"/>
          </w:r>
          <w:r>
            <w:rPr>
              <w:rStyle w:val="36"/>
              <w:rFonts w:hint="eastAsia"/>
              <w:b w:val="0"/>
              <w:bCs/>
            </w:rPr>
            <w:instrText xml:space="preserve"> </w:instrText>
          </w:r>
          <w:r>
            <w:rPr>
              <w:rStyle w:val="36"/>
              <w:b w:val="0"/>
              <w:bCs/>
            </w:rPr>
            <w:instrText xml:space="preserve">PAGEREF _Toc209773048 \h</w:instrText>
          </w:r>
          <w:r>
            <w:rPr>
              <w:rStyle w:val="36"/>
              <w:rFonts w:hint="eastAsia"/>
              <w:b w:val="0"/>
              <w:bCs/>
            </w:rPr>
            <w:instrText xml:space="preserve"> </w:instrText>
          </w:r>
          <w:r>
            <w:rPr>
              <w:rStyle w:val="36"/>
              <w:rFonts w:hint="eastAsia"/>
              <w:b w:val="0"/>
              <w:bCs/>
            </w:rPr>
            <w:fldChar w:fldCharType="separate"/>
          </w:r>
          <w:r>
            <w:rPr>
              <w:rStyle w:val="36"/>
              <w:rFonts w:hint="eastAsia"/>
              <w:b w:val="0"/>
              <w:bCs/>
            </w:rPr>
            <w:t>51</w:t>
          </w:r>
          <w:r>
            <w:rPr>
              <w:rStyle w:val="36"/>
              <w:rFonts w:hint="eastAsia"/>
              <w:b w:val="0"/>
              <w:bCs/>
            </w:rPr>
            <w:fldChar w:fldCharType="end"/>
          </w:r>
          <w:r>
            <w:rPr>
              <w:rStyle w:val="36"/>
              <w:rFonts w:hint="eastAsia"/>
              <w:b w:val="0"/>
              <w:bCs/>
            </w:rPr>
            <w:fldChar w:fldCharType="end"/>
          </w:r>
        </w:p>
        <w:p>
          <w:pPr>
            <w:pStyle w:val="22"/>
            <w:tabs>
              <w:tab w:val="right" w:leader="dot" w:pos="8297"/>
            </w:tabs>
            <w:spacing w:line="600" w:lineRule="exact"/>
            <w:rPr>
              <w:rStyle w:val="36"/>
              <w:bCs/>
            </w:rPr>
          </w:pPr>
          <w:r>
            <w:fldChar w:fldCharType="begin"/>
          </w:r>
          <w:r>
            <w:instrText xml:space="preserve"> HYPERLINK \l "_Toc209773049" </w:instrText>
          </w:r>
          <w:r>
            <w:fldChar w:fldCharType="separate"/>
          </w:r>
          <w:r>
            <w:rPr>
              <w:rStyle w:val="36"/>
              <w:rFonts w:hint="eastAsia"/>
              <w:b w:val="0"/>
              <w:bCs/>
            </w:rPr>
            <w:t>第十一章 历史文化与景观风貌规划</w:t>
          </w:r>
          <w:r>
            <w:rPr>
              <w:rStyle w:val="36"/>
              <w:rFonts w:hint="eastAsia"/>
              <w:b w:val="0"/>
              <w:bCs/>
            </w:rPr>
            <w:tab/>
          </w:r>
          <w:r>
            <w:rPr>
              <w:rStyle w:val="36"/>
              <w:rFonts w:hint="eastAsia"/>
              <w:b w:val="0"/>
              <w:bCs/>
            </w:rPr>
            <w:fldChar w:fldCharType="begin"/>
          </w:r>
          <w:r>
            <w:rPr>
              <w:rStyle w:val="36"/>
              <w:rFonts w:hint="eastAsia"/>
              <w:b w:val="0"/>
              <w:bCs/>
            </w:rPr>
            <w:instrText xml:space="preserve"> </w:instrText>
          </w:r>
          <w:r>
            <w:rPr>
              <w:rStyle w:val="36"/>
              <w:b w:val="0"/>
              <w:bCs/>
            </w:rPr>
            <w:instrText xml:space="preserve">PAGEREF _Toc209773049 \h</w:instrText>
          </w:r>
          <w:r>
            <w:rPr>
              <w:rStyle w:val="36"/>
              <w:rFonts w:hint="eastAsia"/>
              <w:b w:val="0"/>
              <w:bCs/>
            </w:rPr>
            <w:instrText xml:space="preserve"> </w:instrText>
          </w:r>
          <w:r>
            <w:rPr>
              <w:rStyle w:val="36"/>
              <w:rFonts w:hint="eastAsia"/>
              <w:b w:val="0"/>
              <w:bCs/>
            </w:rPr>
            <w:fldChar w:fldCharType="separate"/>
          </w:r>
          <w:r>
            <w:rPr>
              <w:rStyle w:val="36"/>
              <w:rFonts w:hint="eastAsia"/>
              <w:b w:val="0"/>
              <w:bCs/>
            </w:rPr>
            <w:t>62</w:t>
          </w:r>
          <w:r>
            <w:rPr>
              <w:rStyle w:val="36"/>
              <w:rFonts w:hint="eastAsia"/>
              <w:b w:val="0"/>
              <w:bCs/>
            </w:rPr>
            <w:fldChar w:fldCharType="end"/>
          </w:r>
          <w:r>
            <w:rPr>
              <w:rStyle w:val="36"/>
              <w:rFonts w:hint="eastAsia"/>
              <w:b w:val="0"/>
              <w:bCs/>
            </w:rPr>
            <w:fldChar w:fldCharType="end"/>
          </w:r>
        </w:p>
        <w:p>
          <w:pPr>
            <w:pStyle w:val="22"/>
            <w:tabs>
              <w:tab w:val="right" w:leader="dot" w:pos="8297"/>
            </w:tabs>
            <w:spacing w:line="600" w:lineRule="exact"/>
            <w:rPr>
              <w:rStyle w:val="36"/>
              <w:bCs/>
            </w:rPr>
          </w:pPr>
          <w:r>
            <w:fldChar w:fldCharType="begin"/>
          </w:r>
          <w:r>
            <w:instrText xml:space="preserve"> HYPERLINK \l "_Toc209773050" </w:instrText>
          </w:r>
          <w:r>
            <w:fldChar w:fldCharType="separate"/>
          </w:r>
          <w:r>
            <w:rPr>
              <w:rStyle w:val="36"/>
              <w:rFonts w:hint="eastAsia"/>
              <w:b w:val="0"/>
              <w:bCs/>
            </w:rPr>
            <w:t>第十二章 乡镇政府驻地规划</w:t>
          </w:r>
          <w:r>
            <w:rPr>
              <w:rStyle w:val="36"/>
              <w:rFonts w:hint="eastAsia"/>
              <w:b w:val="0"/>
              <w:bCs/>
            </w:rPr>
            <w:tab/>
          </w:r>
          <w:r>
            <w:rPr>
              <w:rStyle w:val="36"/>
              <w:rFonts w:hint="eastAsia"/>
              <w:b w:val="0"/>
              <w:bCs/>
            </w:rPr>
            <w:fldChar w:fldCharType="begin"/>
          </w:r>
          <w:r>
            <w:rPr>
              <w:rStyle w:val="36"/>
              <w:rFonts w:hint="eastAsia"/>
              <w:b w:val="0"/>
              <w:bCs/>
            </w:rPr>
            <w:instrText xml:space="preserve"> </w:instrText>
          </w:r>
          <w:r>
            <w:rPr>
              <w:rStyle w:val="36"/>
              <w:b w:val="0"/>
              <w:bCs/>
            </w:rPr>
            <w:instrText xml:space="preserve">PAGEREF _Toc209773050 \h</w:instrText>
          </w:r>
          <w:r>
            <w:rPr>
              <w:rStyle w:val="36"/>
              <w:rFonts w:hint="eastAsia"/>
              <w:b w:val="0"/>
              <w:bCs/>
            </w:rPr>
            <w:instrText xml:space="preserve"> </w:instrText>
          </w:r>
          <w:r>
            <w:rPr>
              <w:rStyle w:val="36"/>
              <w:rFonts w:hint="eastAsia"/>
              <w:b w:val="0"/>
              <w:bCs/>
            </w:rPr>
            <w:fldChar w:fldCharType="separate"/>
          </w:r>
          <w:r>
            <w:rPr>
              <w:rStyle w:val="36"/>
              <w:rFonts w:hint="eastAsia"/>
              <w:b w:val="0"/>
              <w:bCs/>
            </w:rPr>
            <w:t>66</w:t>
          </w:r>
          <w:r>
            <w:rPr>
              <w:rStyle w:val="36"/>
              <w:rFonts w:hint="eastAsia"/>
              <w:b w:val="0"/>
              <w:bCs/>
            </w:rPr>
            <w:fldChar w:fldCharType="end"/>
          </w:r>
          <w:r>
            <w:rPr>
              <w:rStyle w:val="36"/>
              <w:rFonts w:hint="eastAsia"/>
              <w:b w:val="0"/>
              <w:bCs/>
            </w:rPr>
            <w:fldChar w:fldCharType="end"/>
          </w:r>
        </w:p>
        <w:p>
          <w:pPr>
            <w:pStyle w:val="22"/>
            <w:tabs>
              <w:tab w:val="right" w:leader="dot" w:pos="8297"/>
            </w:tabs>
            <w:spacing w:line="600" w:lineRule="exact"/>
            <w:rPr>
              <w:rStyle w:val="36"/>
              <w:bCs/>
            </w:rPr>
          </w:pPr>
          <w:r>
            <w:fldChar w:fldCharType="begin"/>
          </w:r>
          <w:r>
            <w:instrText xml:space="preserve"> HYPERLINK \l "_Toc209773051" </w:instrText>
          </w:r>
          <w:r>
            <w:fldChar w:fldCharType="separate"/>
          </w:r>
          <w:r>
            <w:rPr>
              <w:rStyle w:val="36"/>
              <w:rFonts w:hint="eastAsia"/>
              <w:b w:val="0"/>
              <w:bCs/>
            </w:rPr>
            <w:t>第十三章 土地综合整治与生态修复</w:t>
          </w:r>
          <w:r>
            <w:rPr>
              <w:rStyle w:val="36"/>
              <w:rFonts w:hint="eastAsia"/>
              <w:b w:val="0"/>
              <w:bCs/>
            </w:rPr>
            <w:tab/>
          </w:r>
          <w:r>
            <w:rPr>
              <w:rStyle w:val="36"/>
              <w:rFonts w:hint="eastAsia"/>
              <w:b w:val="0"/>
              <w:bCs/>
            </w:rPr>
            <w:fldChar w:fldCharType="begin"/>
          </w:r>
          <w:r>
            <w:rPr>
              <w:rStyle w:val="36"/>
              <w:rFonts w:hint="eastAsia"/>
              <w:b w:val="0"/>
              <w:bCs/>
            </w:rPr>
            <w:instrText xml:space="preserve"> </w:instrText>
          </w:r>
          <w:r>
            <w:rPr>
              <w:rStyle w:val="36"/>
              <w:b w:val="0"/>
              <w:bCs/>
            </w:rPr>
            <w:instrText xml:space="preserve">PAGEREF _Toc209773051 \h</w:instrText>
          </w:r>
          <w:r>
            <w:rPr>
              <w:rStyle w:val="36"/>
              <w:rFonts w:hint="eastAsia"/>
              <w:b w:val="0"/>
              <w:bCs/>
            </w:rPr>
            <w:instrText xml:space="preserve"> </w:instrText>
          </w:r>
          <w:r>
            <w:rPr>
              <w:rStyle w:val="36"/>
              <w:rFonts w:hint="eastAsia"/>
              <w:b w:val="0"/>
              <w:bCs/>
            </w:rPr>
            <w:fldChar w:fldCharType="separate"/>
          </w:r>
          <w:r>
            <w:rPr>
              <w:rStyle w:val="36"/>
              <w:rFonts w:hint="eastAsia"/>
              <w:b w:val="0"/>
              <w:bCs/>
            </w:rPr>
            <w:t>86</w:t>
          </w:r>
          <w:r>
            <w:rPr>
              <w:rStyle w:val="36"/>
              <w:rFonts w:hint="eastAsia"/>
              <w:b w:val="0"/>
              <w:bCs/>
            </w:rPr>
            <w:fldChar w:fldCharType="end"/>
          </w:r>
          <w:r>
            <w:rPr>
              <w:rStyle w:val="36"/>
              <w:rFonts w:hint="eastAsia"/>
              <w:b w:val="0"/>
              <w:bCs/>
            </w:rPr>
            <w:fldChar w:fldCharType="end"/>
          </w:r>
        </w:p>
        <w:p>
          <w:pPr>
            <w:pStyle w:val="22"/>
            <w:tabs>
              <w:tab w:val="right" w:leader="dot" w:pos="8297"/>
            </w:tabs>
            <w:spacing w:line="600" w:lineRule="exact"/>
            <w:rPr>
              <w:rStyle w:val="36"/>
              <w:bCs/>
            </w:rPr>
          </w:pPr>
          <w:r>
            <w:fldChar w:fldCharType="begin"/>
          </w:r>
          <w:r>
            <w:instrText xml:space="preserve"> HYPERLINK \l "_Toc209773052" </w:instrText>
          </w:r>
          <w:r>
            <w:fldChar w:fldCharType="separate"/>
          </w:r>
          <w:r>
            <w:rPr>
              <w:rStyle w:val="36"/>
              <w:rFonts w:hint="eastAsia"/>
              <w:b w:val="0"/>
              <w:bCs/>
            </w:rPr>
            <w:t>第十四章 规划传导</w:t>
          </w:r>
          <w:r>
            <w:rPr>
              <w:rStyle w:val="36"/>
              <w:rFonts w:hint="eastAsia"/>
              <w:b w:val="0"/>
              <w:bCs/>
            </w:rPr>
            <w:tab/>
          </w:r>
          <w:r>
            <w:rPr>
              <w:rStyle w:val="36"/>
              <w:rFonts w:hint="eastAsia"/>
              <w:b w:val="0"/>
              <w:bCs/>
            </w:rPr>
            <w:fldChar w:fldCharType="begin"/>
          </w:r>
          <w:r>
            <w:rPr>
              <w:rStyle w:val="36"/>
              <w:rFonts w:hint="eastAsia"/>
              <w:b w:val="0"/>
              <w:bCs/>
            </w:rPr>
            <w:instrText xml:space="preserve"> </w:instrText>
          </w:r>
          <w:r>
            <w:rPr>
              <w:rStyle w:val="36"/>
              <w:b w:val="0"/>
              <w:bCs/>
            </w:rPr>
            <w:instrText xml:space="preserve">PAGEREF _Toc209773052 \h</w:instrText>
          </w:r>
          <w:r>
            <w:rPr>
              <w:rStyle w:val="36"/>
              <w:rFonts w:hint="eastAsia"/>
              <w:b w:val="0"/>
              <w:bCs/>
            </w:rPr>
            <w:instrText xml:space="preserve"> </w:instrText>
          </w:r>
          <w:r>
            <w:rPr>
              <w:rStyle w:val="36"/>
              <w:rFonts w:hint="eastAsia"/>
              <w:b w:val="0"/>
              <w:bCs/>
            </w:rPr>
            <w:fldChar w:fldCharType="separate"/>
          </w:r>
          <w:r>
            <w:rPr>
              <w:rStyle w:val="36"/>
              <w:rFonts w:hint="eastAsia"/>
              <w:b w:val="0"/>
              <w:bCs/>
            </w:rPr>
            <w:t>93</w:t>
          </w:r>
          <w:r>
            <w:rPr>
              <w:rStyle w:val="36"/>
              <w:rFonts w:hint="eastAsia"/>
              <w:b w:val="0"/>
              <w:bCs/>
            </w:rPr>
            <w:fldChar w:fldCharType="end"/>
          </w:r>
          <w:r>
            <w:rPr>
              <w:rStyle w:val="36"/>
              <w:rFonts w:hint="eastAsia"/>
              <w:b w:val="0"/>
              <w:bCs/>
            </w:rPr>
            <w:fldChar w:fldCharType="end"/>
          </w:r>
        </w:p>
        <w:p>
          <w:pPr>
            <w:pStyle w:val="22"/>
            <w:tabs>
              <w:tab w:val="right" w:leader="dot" w:pos="8297"/>
            </w:tabs>
            <w:spacing w:line="600" w:lineRule="exact"/>
            <w:rPr>
              <w:rStyle w:val="36"/>
              <w:bCs/>
            </w:rPr>
          </w:pPr>
          <w:r>
            <w:fldChar w:fldCharType="begin"/>
          </w:r>
          <w:r>
            <w:instrText xml:space="preserve"> HYPERLINK \l "_Toc209773053" </w:instrText>
          </w:r>
          <w:r>
            <w:fldChar w:fldCharType="separate"/>
          </w:r>
          <w:r>
            <w:rPr>
              <w:rStyle w:val="36"/>
              <w:rFonts w:hint="eastAsia"/>
              <w:b w:val="0"/>
              <w:bCs/>
            </w:rPr>
            <w:t>第十五章 规划实施</w:t>
          </w:r>
          <w:r>
            <w:rPr>
              <w:rStyle w:val="36"/>
              <w:rFonts w:hint="eastAsia"/>
              <w:b w:val="0"/>
              <w:bCs/>
            </w:rPr>
            <w:tab/>
          </w:r>
          <w:r>
            <w:rPr>
              <w:rStyle w:val="36"/>
              <w:rFonts w:hint="eastAsia"/>
              <w:b w:val="0"/>
              <w:bCs/>
            </w:rPr>
            <w:fldChar w:fldCharType="begin"/>
          </w:r>
          <w:r>
            <w:rPr>
              <w:rStyle w:val="36"/>
              <w:rFonts w:hint="eastAsia"/>
              <w:b w:val="0"/>
              <w:bCs/>
            </w:rPr>
            <w:instrText xml:space="preserve"> </w:instrText>
          </w:r>
          <w:r>
            <w:rPr>
              <w:rStyle w:val="36"/>
              <w:b w:val="0"/>
              <w:bCs/>
            </w:rPr>
            <w:instrText xml:space="preserve">PAGEREF _Toc209773053 \h</w:instrText>
          </w:r>
          <w:r>
            <w:rPr>
              <w:rStyle w:val="36"/>
              <w:rFonts w:hint="eastAsia"/>
              <w:b w:val="0"/>
              <w:bCs/>
            </w:rPr>
            <w:instrText xml:space="preserve"> </w:instrText>
          </w:r>
          <w:r>
            <w:rPr>
              <w:rStyle w:val="36"/>
              <w:rFonts w:hint="eastAsia"/>
              <w:b w:val="0"/>
              <w:bCs/>
            </w:rPr>
            <w:fldChar w:fldCharType="separate"/>
          </w:r>
          <w:r>
            <w:rPr>
              <w:rStyle w:val="36"/>
              <w:rFonts w:hint="eastAsia"/>
              <w:b w:val="0"/>
              <w:bCs/>
            </w:rPr>
            <w:t>117</w:t>
          </w:r>
          <w:r>
            <w:rPr>
              <w:rStyle w:val="36"/>
              <w:rFonts w:hint="eastAsia"/>
              <w:b w:val="0"/>
              <w:bCs/>
            </w:rPr>
            <w:fldChar w:fldCharType="end"/>
          </w:r>
          <w:r>
            <w:rPr>
              <w:rStyle w:val="36"/>
              <w:rFonts w:hint="eastAsia"/>
              <w:b w:val="0"/>
              <w:bCs/>
            </w:rPr>
            <w:fldChar w:fldCharType="end"/>
          </w:r>
        </w:p>
        <w:p>
          <w:pPr>
            <w:spacing w:before="65" w:after="163" w:line="312" w:lineRule="auto"/>
            <w:ind w:firstLine="0" w:firstLineChars="0"/>
          </w:pPr>
          <w:r>
            <w:rPr>
              <w:rFonts w:ascii="楷体_GB2312" w:hAnsi="Times New Roman" w:eastAsia="楷体" w:cs="楷体_GB2312"/>
              <w:b/>
              <w:kern w:val="0"/>
              <w:sz w:val="36"/>
              <w:szCs w:val="32"/>
            </w:rPr>
            <w:fldChar w:fldCharType="end"/>
          </w:r>
        </w:p>
      </w:sdtContent>
    </w:sdt>
    <w:p>
      <w:pPr>
        <w:spacing w:before="65" w:after="163"/>
        <w:ind w:firstLine="640"/>
      </w:pPr>
    </w:p>
    <w:p>
      <w:pPr>
        <w:spacing w:before="65" w:after="163"/>
        <w:ind w:firstLine="640"/>
        <w:sectPr>
          <w:pgSz w:w="11907" w:h="16839"/>
          <w:pgMar w:top="1440" w:right="1800" w:bottom="1440" w:left="1800" w:header="851" w:footer="992" w:gutter="0"/>
          <w:pgNumType w:start="1"/>
          <w:cols w:space="1137" w:num="1"/>
          <w:docGrid w:type="lines" w:linePitch="326" w:charSpace="0"/>
        </w:sectPr>
      </w:pPr>
    </w:p>
    <w:p>
      <w:pPr>
        <w:ind w:firstLine="640"/>
      </w:pPr>
      <w:bookmarkStart w:id="1" w:name="_Toc129339489"/>
      <w:bookmarkStart w:id="2" w:name="_Toc127432230"/>
    </w:p>
    <w:p>
      <w:pPr>
        <w:pStyle w:val="2"/>
      </w:pPr>
      <w:bookmarkStart w:id="3" w:name="_Toc209773039"/>
      <w:r>
        <w:rPr>
          <w:rFonts w:hint="eastAsia"/>
        </w:rPr>
        <w:t>总则</w:t>
      </w:r>
      <w:bookmarkEnd w:id="1"/>
      <w:bookmarkEnd w:id="2"/>
      <w:bookmarkEnd w:id="3"/>
    </w:p>
    <w:p>
      <w:pPr>
        <w:pStyle w:val="4"/>
      </w:pPr>
      <w:r>
        <w:rPr>
          <w:rFonts w:hint="eastAsia"/>
        </w:rPr>
        <w:t>规划目的</w:t>
      </w:r>
    </w:p>
    <w:p>
      <w:pPr>
        <w:spacing w:before="65"/>
        <w:ind w:firstLine="640"/>
      </w:pPr>
      <w:r>
        <w:rPr>
          <w:rFonts w:hint="eastAsia"/>
        </w:rPr>
        <w:t>为落实习近平生态文明思想和总体国家安全观，贯彻《中共中央国务院关于建立国土空间规划体系并监督实施的若干意见》要求，细化落实《内乡县国土空间总体规划（</w:t>
      </w:r>
      <w:r>
        <w:t>2021-2035年）》，科学有序地推进七里坪乡国土空间开发保护的总体安排和综合部署，统筹七里坪乡的农业、生态、城镇空间，全面提升七里坪乡国土空间治理体系和治理能力现代化水平，特编制《内乡县七里坪乡国土空间总体规划（2021-2035年）》（以下简称本规划）</w:t>
      </w:r>
      <w:r>
        <w:rPr>
          <w:rFonts w:hint="eastAsia"/>
        </w:rPr>
        <w:t>。</w:t>
      </w:r>
    </w:p>
    <w:p>
      <w:pPr>
        <w:pStyle w:val="4"/>
      </w:pPr>
      <w:r>
        <w:rPr>
          <w:rFonts w:hint="eastAsia"/>
        </w:rPr>
        <w:t>规划原则</w:t>
      </w:r>
    </w:p>
    <w:p>
      <w:pPr>
        <w:pStyle w:val="5"/>
        <w:ind w:firstLine="640"/>
      </w:pPr>
      <w:r>
        <w:rPr>
          <w:rFonts w:hint="eastAsia"/>
        </w:rPr>
        <w:t>生态优先、绿色发展</w:t>
      </w:r>
    </w:p>
    <w:p>
      <w:pPr>
        <w:ind w:firstLine="640"/>
      </w:pPr>
      <w:r>
        <w:rPr>
          <w:rFonts w:hint="eastAsia"/>
        </w:rPr>
        <w:t>贯彻新时代新要求，坚持内涵式、集约型、绿色化的高质量发展新路子，在资源环境紧约束下编制规划，推动形成绿色发展方式和生活方式，形成发展新的增长点和竞争力。</w:t>
      </w:r>
    </w:p>
    <w:p>
      <w:pPr>
        <w:pStyle w:val="5"/>
        <w:ind w:firstLine="640"/>
      </w:pPr>
      <w:r>
        <w:rPr>
          <w:rFonts w:hint="eastAsia"/>
        </w:rPr>
        <w:t>以人为本、品质提升</w:t>
      </w:r>
    </w:p>
    <w:p>
      <w:pPr>
        <w:ind w:firstLine="640"/>
      </w:pPr>
      <w:r>
        <w:rPr>
          <w:rFonts w:hint="eastAsia"/>
        </w:rPr>
        <w:t>坚持以人民为中心，塑造高品质人居环境，着力破解各类民生问题，不断提升人民群众的获得感、幸福感、安全感。</w:t>
      </w:r>
    </w:p>
    <w:p>
      <w:pPr>
        <w:pStyle w:val="5"/>
        <w:ind w:firstLine="640"/>
      </w:pPr>
      <w:r>
        <w:rPr>
          <w:rFonts w:hint="eastAsia"/>
        </w:rPr>
        <w:t>全域统筹、城乡融合</w:t>
      </w:r>
    </w:p>
    <w:p>
      <w:pPr>
        <w:ind w:firstLine="640"/>
      </w:pPr>
      <w:r>
        <w:rPr>
          <w:rFonts w:hint="eastAsia"/>
        </w:rPr>
        <w:t>结合本地实际，发挥本地特色和优势，落实乡村振兴、区域协调发展、可持续发展等空间发展战略，推动形成开放协调的空间发展格局。</w:t>
      </w:r>
    </w:p>
    <w:p>
      <w:pPr>
        <w:pStyle w:val="5"/>
        <w:ind w:firstLine="640"/>
      </w:pPr>
      <w:r>
        <w:rPr>
          <w:rFonts w:hint="eastAsia"/>
        </w:rPr>
        <w:t>问题导向、目标导向</w:t>
      </w:r>
    </w:p>
    <w:p>
      <w:pPr>
        <w:ind w:firstLine="640"/>
      </w:pPr>
      <w:r>
        <w:rPr>
          <w:rFonts w:hint="eastAsia"/>
        </w:rPr>
        <w:t>按照“问题-目标-策略-机制”的逻辑，因地制宜制定规划方案和实施措施，充分发挥乡镇级总规在空间治理中的基础作用，确保规划能用、管用、好用。</w:t>
      </w:r>
    </w:p>
    <w:p>
      <w:pPr>
        <w:pStyle w:val="4"/>
      </w:pPr>
      <w:r>
        <w:rPr>
          <w:rFonts w:hint="eastAsia"/>
        </w:rPr>
        <w:t>规划范围</w:t>
      </w:r>
    </w:p>
    <w:p>
      <w:pPr>
        <w:spacing w:before="65"/>
        <w:ind w:firstLine="640"/>
      </w:pPr>
      <w:r>
        <w:rPr>
          <w:rFonts w:hint="eastAsia"/>
        </w:rPr>
        <w:t>规划范围为</w:t>
      </w:r>
      <w:bookmarkStart w:id="4" w:name="_Hlk208334370"/>
      <w:r>
        <w:rPr>
          <w:rFonts w:hint="eastAsia"/>
        </w:rPr>
        <w:t>七里坪乡</w:t>
      </w:r>
      <w:bookmarkEnd w:id="4"/>
      <w:r>
        <w:rPr>
          <w:rFonts w:hint="eastAsia"/>
        </w:rPr>
        <w:t>行政辖区内全部国土空间，包含乡域和集镇区两个层次。其中：</w:t>
      </w:r>
    </w:p>
    <w:p>
      <w:pPr>
        <w:spacing w:before="65"/>
        <w:ind w:firstLine="640"/>
      </w:pPr>
      <w:r>
        <w:rPr>
          <w:rFonts w:hint="eastAsia"/>
        </w:rPr>
        <w:t>乡域范围为七里坪乡行政辖区内全部国土空间，总面积</w:t>
      </w:r>
      <w:bookmarkStart w:id="5" w:name="_Hlk208334376"/>
      <w:r>
        <w:rPr>
          <w:rFonts w:hint="eastAsia"/>
        </w:rPr>
        <w:t>33</w:t>
      </w:r>
      <w:bookmarkEnd w:id="5"/>
      <w:r>
        <w:rPr>
          <w:rFonts w:hint="eastAsia"/>
        </w:rPr>
        <w:t>1平方公里。</w:t>
      </w:r>
    </w:p>
    <w:p>
      <w:pPr>
        <w:spacing w:before="65"/>
        <w:ind w:firstLine="640"/>
      </w:pPr>
      <w:r>
        <w:rPr>
          <w:rFonts w:hint="eastAsia"/>
        </w:rPr>
        <w:t>集镇区范围为</w:t>
      </w:r>
      <w:bookmarkStart w:id="6" w:name="_Hlk208334442"/>
      <w:r>
        <w:rPr>
          <w:rFonts w:hint="eastAsia"/>
        </w:rPr>
        <w:t>七里坪乡政府驻地周边，</w:t>
      </w:r>
      <w:r>
        <w:rPr>
          <w:rFonts w:hint="eastAsia"/>
          <w:lang w:bidi="ar"/>
        </w:rPr>
        <w:t>七宝路、平安路两侧村庄建设边界区域，总面积98.77公顷</w:t>
      </w:r>
      <w:bookmarkEnd w:id="6"/>
      <w:r>
        <w:rPr>
          <w:rFonts w:hint="eastAsia"/>
          <w:lang w:bidi="ar"/>
        </w:rPr>
        <w:t>。</w:t>
      </w:r>
    </w:p>
    <w:p>
      <w:pPr>
        <w:pStyle w:val="4"/>
      </w:pPr>
      <w:r>
        <w:rPr>
          <w:rFonts w:hint="eastAsia"/>
        </w:rPr>
        <w:t>规划期限</w:t>
      </w:r>
    </w:p>
    <w:p>
      <w:pPr>
        <w:spacing w:before="65"/>
        <w:ind w:firstLine="640"/>
      </w:pPr>
      <w:bookmarkStart w:id="7" w:name="_Hlk208334386"/>
      <w:r>
        <w:rPr>
          <w:rFonts w:hint="eastAsia"/>
        </w:rPr>
        <w:t>规划期限为2</w:t>
      </w:r>
      <w:r>
        <w:t>021</w:t>
      </w:r>
      <w:r>
        <w:rPr>
          <w:rFonts w:hint="eastAsia"/>
        </w:rPr>
        <w:t>年至2</w:t>
      </w:r>
      <w:r>
        <w:t>035</w:t>
      </w:r>
      <w:r>
        <w:rPr>
          <w:rFonts w:hint="eastAsia"/>
        </w:rPr>
        <w:t>年。</w:t>
      </w:r>
    </w:p>
    <w:p>
      <w:pPr>
        <w:spacing w:before="65"/>
        <w:ind w:firstLine="640"/>
      </w:pPr>
      <w:r>
        <w:rPr>
          <w:rFonts w:hint="eastAsia"/>
        </w:rPr>
        <w:t>基期年为2</w:t>
      </w:r>
      <w:r>
        <w:t>020</w:t>
      </w:r>
      <w:r>
        <w:rPr>
          <w:rFonts w:hint="eastAsia"/>
        </w:rPr>
        <w:t>年，近期至2</w:t>
      </w:r>
      <w:r>
        <w:t>025</w:t>
      </w:r>
      <w:r>
        <w:rPr>
          <w:rFonts w:hint="eastAsia"/>
        </w:rPr>
        <w:t>年，</w:t>
      </w:r>
      <w:r>
        <w:t>远期至2035年，</w:t>
      </w:r>
      <w:r>
        <w:rPr>
          <w:rFonts w:hint="eastAsia"/>
        </w:rPr>
        <w:t>远景展望至2</w:t>
      </w:r>
      <w:r>
        <w:t>050</w:t>
      </w:r>
      <w:r>
        <w:rPr>
          <w:rFonts w:hint="eastAsia"/>
        </w:rPr>
        <w:t>年</w:t>
      </w:r>
      <w:bookmarkEnd w:id="7"/>
      <w:r>
        <w:rPr>
          <w:rFonts w:hint="eastAsia"/>
        </w:rPr>
        <w:t>。</w:t>
      </w:r>
    </w:p>
    <w:p>
      <w:pPr>
        <w:pStyle w:val="4"/>
      </w:pPr>
      <w:r>
        <w:rPr>
          <w:rFonts w:hint="eastAsia"/>
        </w:rPr>
        <w:t>规划成果</w:t>
      </w:r>
    </w:p>
    <w:p>
      <w:pPr>
        <w:spacing w:before="65"/>
        <w:ind w:firstLine="640"/>
      </w:pPr>
      <w:r>
        <w:rPr>
          <w:rFonts w:hint="eastAsia"/>
        </w:rPr>
        <w:t>规划成果包括规划文本、图集、数据库和附件。</w:t>
      </w:r>
    </w:p>
    <w:p>
      <w:pPr>
        <w:pStyle w:val="4"/>
      </w:pPr>
      <w:r>
        <w:rPr>
          <w:rFonts w:hint="eastAsia"/>
        </w:rPr>
        <w:t>强制性内容</w:t>
      </w:r>
    </w:p>
    <w:p>
      <w:pPr>
        <w:ind w:firstLine="640"/>
      </w:pPr>
      <w:r>
        <w:rPr>
          <w:rFonts w:hint="eastAsia"/>
        </w:rPr>
        <w:t>文本条款中下划线部分为强制性内容，应严格遵守落实。规划实施管理不得违背强制性内容，调整强制性内容必须按照相关法定程序执行。</w:t>
      </w:r>
    </w:p>
    <w:p>
      <w:pPr>
        <w:spacing w:before="65"/>
        <w:ind w:firstLine="640"/>
      </w:pPr>
      <w:r>
        <w:br w:type="page"/>
      </w:r>
    </w:p>
    <w:p>
      <w:pPr>
        <w:spacing w:before="65"/>
        <w:ind w:firstLine="640"/>
      </w:pPr>
    </w:p>
    <w:p>
      <w:pPr>
        <w:pStyle w:val="2"/>
      </w:pPr>
      <w:bookmarkStart w:id="8" w:name="_Toc209773040"/>
      <w:bookmarkStart w:id="9" w:name="_Toc185606037"/>
      <w:r>
        <w:rPr>
          <w:rFonts w:hint="eastAsia"/>
        </w:rPr>
        <w:t>现状分析</w:t>
      </w:r>
      <w:bookmarkEnd w:id="8"/>
      <w:bookmarkEnd w:id="9"/>
    </w:p>
    <w:p>
      <w:pPr>
        <w:pStyle w:val="3"/>
        <w:spacing w:before="326" w:beforeLines="100" w:after="326" w:afterLines="100"/>
      </w:pPr>
      <w:bookmarkStart w:id="10" w:name="_Toc185606038"/>
      <w:r>
        <w:rPr>
          <w:rFonts w:hint="eastAsia"/>
        </w:rPr>
        <w:t>自然地理格局和资源禀赋</w:t>
      </w:r>
      <w:bookmarkEnd w:id="10"/>
    </w:p>
    <w:p>
      <w:pPr>
        <w:pStyle w:val="4"/>
      </w:pPr>
      <w:bookmarkStart w:id="11" w:name="_Hlk150173612"/>
      <w:r>
        <w:rPr>
          <w:rFonts w:hint="eastAsia"/>
        </w:rPr>
        <w:t>自然地理格局</w:t>
      </w:r>
    </w:p>
    <w:bookmarkEnd w:id="11"/>
    <w:p>
      <w:pPr>
        <w:spacing w:before="65"/>
        <w:ind w:firstLine="640"/>
      </w:pPr>
      <w:r>
        <w:rPr>
          <w:rFonts w:hint="eastAsia"/>
        </w:rPr>
        <w:t>东北高西南低，山川、丘陵、平原并存。七里坪乡地处北部深山区，东北高西南低；整个地势轮廓，好似一条鳄鱼摆尾，昂首逆流而上，山峰重峦，河流纵横，土质肥沃，系冲积平原，本乡地貌为“八山一水一分田”，境内最高峰海拔1795.1米。境内山川、丘陵、平原共存，有湍河、七潭河、黄沙河三条河流流过；阳坡占比较大，适宜植物生长</w:t>
      </w:r>
      <w:r>
        <w:t>。</w:t>
      </w:r>
    </w:p>
    <w:p>
      <w:pPr>
        <w:spacing w:before="65"/>
        <w:ind w:firstLine="640"/>
      </w:pPr>
      <w:r>
        <w:t>水土条件较好，气候温和，四季分明</w:t>
      </w:r>
      <w:r>
        <w:rPr>
          <w:rFonts w:hint="eastAsia"/>
        </w:rPr>
        <w:t>。七里坪乡地处亚热带北部边缘地带，属大陆性季风气候，其特点是春季冷暖多变；夏季炎热，雨量集中，酷热天气不多；秋季气凉阴雨较多；冬季天冷雨雪少，多年平均气温15℃，年平均降水量为780毫米。</w:t>
      </w:r>
    </w:p>
    <w:p>
      <w:pPr>
        <w:spacing w:before="65"/>
        <w:ind w:firstLine="640"/>
      </w:pPr>
      <w:r>
        <w:rPr>
          <w:rFonts w:hint="eastAsia"/>
        </w:rPr>
        <w:t>七里坪乡境内河流属唐白河水系，湍河是主流，由夏馆湍源入境，于七里坪乡大龙村后迁回曲折，流经本乡大龙至寺坪等八个行政村，境内长75千米，乡内七潭河、野獐河、黄沙河、御花园河、三道河、高皇河、马尾河、新河、青山河、蚌峪河、流峪河等均系湍河支流，总长92.5千米</w:t>
      </w:r>
      <w:r>
        <w:t>。</w:t>
      </w:r>
    </w:p>
    <w:p>
      <w:pPr>
        <w:pStyle w:val="4"/>
      </w:pPr>
      <w:bookmarkStart w:id="12" w:name="_Hlk150173613"/>
      <w:r>
        <w:rPr>
          <w:rFonts w:hint="eastAsia"/>
        </w:rPr>
        <w:t>自然资源禀赋</w:t>
      </w:r>
    </w:p>
    <w:bookmarkEnd w:id="12"/>
    <w:p>
      <w:pPr>
        <w:ind w:firstLine="640"/>
      </w:pPr>
      <w:r>
        <w:rPr>
          <w:rFonts w:hint="eastAsia"/>
        </w:rPr>
        <w:t>地表水资源丰富，地下水储量较高，水质较好。地下水储量为200万立方米，地下水埋深为25米；湍河流经境内长度为4.8千米。</w:t>
      </w:r>
    </w:p>
    <w:p>
      <w:pPr>
        <w:ind w:firstLine="640"/>
      </w:pPr>
      <w:r>
        <w:rPr>
          <w:rFonts w:hint="eastAsia"/>
        </w:rPr>
        <w:t>森林资源丰富，公益林占比较大，生态功能极为重要。七里坪乡林地面积为30391.88公顷，占七里坪乡国土面积的92%；在林业调查数据中，地方公益林面积为19012.94公顷。</w:t>
      </w:r>
    </w:p>
    <w:p>
      <w:pPr>
        <w:ind w:firstLine="640"/>
      </w:pPr>
      <w:r>
        <w:rPr>
          <w:rFonts w:hint="eastAsia"/>
        </w:rPr>
        <w:t>矿产类型多样，分布较广。七里坪乡境内已探明地下矿藏有海泡石、花岗岩、石墨、矽线石金分布广，贮藏量大，海泡石是河南省海泡石主产地，花岗岩是内乡县石材基地的主要原料地，另有金矿石、钾长石、大理石、石灰石、水晶石、铁矿石、石英石、恐龙蛋化石等地下资源。</w:t>
      </w:r>
    </w:p>
    <w:p>
      <w:pPr>
        <w:ind w:firstLine="640"/>
      </w:pPr>
      <w:r>
        <w:rPr>
          <w:rFonts w:hint="eastAsia"/>
        </w:rPr>
        <w:t>历史悠久，文化底蕴深厚。七里坪乡有县级文保恐龙蛋化石点和青山水库遗址。</w:t>
      </w:r>
    </w:p>
    <w:p>
      <w:pPr>
        <w:ind w:firstLine="640"/>
      </w:pPr>
      <w:r>
        <w:rPr>
          <w:rFonts w:hint="eastAsia"/>
        </w:rPr>
        <w:t>旅游资源丰富，全域旅游体系基本形成。七里坪乡目前形成了宝天曼峡谷漂流、七星潭、天心洞重点景区为点、乡村旅游为线、旅游聚散接待为面的全域化旅游产业体系，集度假、餐饮、洗浴、娱乐、野营、攀岩、探险为一体。</w:t>
      </w:r>
    </w:p>
    <w:p>
      <w:pPr>
        <w:pStyle w:val="4"/>
      </w:pPr>
      <w:bookmarkStart w:id="13" w:name="_Hlk150173614"/>
      <w:r>
        <w:rPr>
          <w:rFonts w:hint="eastAsia"/>
        </w:rPr>
        <w:t>国土空间用地现状</w:t>
      </w:r>
      <w:bookmarkEnd w:id="13"/>
    </w:p>
    <w:p>
      <w:pPr>
        <w:spacing w:before="65"/>
        <w:ind w:firstLine="640"/>
      </w:pPr>
      <w:r>
        <w:rPr>
          <w:rFonts w:hint="eastAsia"/>
        </w:rPr>
        <w:t>根据2</w:t>
      </w:r>
      <w:r>
        <w:t>020</w:t>
      </w:r>
      <w:r>
        <w:rPr>
          <w:rFonts w:hint="eastAsia"/>
        </w:rPr>
        <w:t>年国土变更调查数据，七里坪乡乡域总用地面积为33095.01公顷；其中，耕地610.88公顷，占比1.85%，园地476.03公顷，占比1.44%，林地30391.88公顷，占比91.83%，草地137.39公顷，占比0.42%，湿地36.89公顷，占比0.11%，乡村道路用地99.74公顷，占比0.30%，设施农用地51.59公顷，占比0.16%，城镇用地0.03公顷，村庄用地439.33公顷，占比1.33%，区域基础设施用地68.61公顷，占比0.21%，其他建设用地124.82公顷，占比0.38%，陆地水域554.58公顷，占比1.68%，其他土地103.25公顷，占比0.31%。</w:t>
      </w:r>
    </w:p>
    <w:p>
      <w:pPr>
        <w:pStyle w:val="3"/>
      </w:pPr>
      <w:bookmarkStart w:id="14" w:name="_Toc185606040"/>
      <w:r>
        <w:rPr>
          <w:rFonts w:hint="eastAsia"/>
        </w:rPr>
        <w:t>发展现状与发展成效</w:t>
      </w:r>
      <w:bookmarkEnd w:id="14"/>
    </w:p>
    <w:p>
      <w:pPr>
        <w:pStyle w:val="4"/>
      </w:pPr>
      <w:r>
        <w:rPr>
          <w:rFonts w:hint="eastAsia"/>
        </w:rPr>
        <w:t>发展现状与成效</w:t>
      </w:r>
    </w:p>
    <w:p>
      <w:pPr>
        <w:spacing w:before="65"/>
        <w:ind w:firstLine="640"/>
      </w:pPr>
      <w:r>
        <w:rPr>
          <w:rFonts w:hint="eastAsia"/>
        </w:rPr>
        <w:t>河南省省级卫生乡镇、河南省绿化模范乡镇、河南省特色生态旅游示范镇、南阳市文明乡镇、南阳市首届美丽山水乡镇。七里坪乡秉承“生态、宜居、宜业、宜游”的新型城镇化发展理念，以内乡创建5A景区为发展契机，深耕特色亮点，彰显个性风貌，完善配套设施，提升公共服务，使一幅山水相融、宜居宜业宜游的美丽小镇雏形初现。被授予省级卫生乡镇、河南省绿化模范乡镇、河南省特色生态旅游示范镇、南阳市文明乡镇、南阳市首届美丽山水乡镇等荣誉称号。</w:t>
      </w:r>
    </w:p>
    <w:p>
      <w:pPr>
        <w:spacing w:before="65"/>
        <w:ind w:firstLine="640"/>
      </w:pPr>
      <w:r>
        <w:rPr>
          <w:rFonts w:hint="eastAsia"/>
        </w:rPr>
        <w:t>特色农业发展方面，突出产品、产业和发展主体三个重点，着力扶持新主体、打造新业态、完善新体系，逐步形成了袋料香菇、月季花卉、名优林果、生态旅游四大支柱产业，年种植袋料香菇超过1400万袋，以树桩月季为主，发展花卉近2000亩，林果面积突破6000亩。</w:t>
      </w:r>
    </w:p>
    <w:p>
      <w:pPr>
        <w:spacing w:before="65"/>
        <w:ind w:firstLine="640"/>
      </w:pPr>
      <w:r>
        <w:rPr>
          <w:rFonts w:hint="eastAsia"/>
        </w:rPr>
        <w:t>工业发展方面，工业分为石材开采加工、建材加工、日用品加工、食品加工四类，矿业为支柱产业。</w:t>
      </w:r>
    </w:p>
    <w:p>
      <w:pPr>
        <w:spacing w:before="65"/>
        <w:ind w:firstLine="640"/>
      </w:pPr>
      <w:r>
        <w:rPr>
          <w:rFonts w:hint="eastAsia"/>
        </w:rPr>
        <w:t>生态旅游方面，依托得天独厚的自然生态资源，深入挖掘本土底蕴，倾尽全力延伸产业链条，形成了宝天曼峡谷漂流、七星潭、天心洞重点景区为点、乡村旅游为线、旅游聚散接待为面的全域化旅游产业体系。</w:t>
      </w:r>
    </w:p>
    <w:p>
      <w:pPr>
        <w:spacing w:before="65"/>
        <w:ind w:firstLine="640"/>
      </w:pPr>
      <w:r>
        <w:rPr>
          <w:rFonts w:hint="eastAsia"/>
        </w:rPr>
        <w:t>经济高增长发展，综合实力不断提升。2020年，全年完成国民生成总值9.5亿元，增长7.2%，社会固定资产投资7.9亿元，增长5%，其中规模以上工业增加值同比增加6%，规模以上服务业企业营业收入增加8%，限额以上消费品零售额增加15%，一般公共财政预算收入完成560万元。</w:t>
      </w:r>
    </w:p>
    <w:p>
      <w:pPr>
        <w:pStyle w:val="3"/>
      </w:pPr>
      <w:bookmarkStart w:id="15" w:name="_Toc185606041"/>
      <w:r>
        <w:rPr>
          <w:rFonts w:hint="eastAsia"/>
        </w:rPr>
        <w:t>主要问题和风险挑战</w:t>
      </w:r>
      <w:bookmarkEnd w:id="15"/>
    </w:p>
    <w:p>
      <w:pPr>
        <w:pStyle w:val="4"/>
      </w:pPr>
      <w:r>
        <w:rPr>
          <w:rFonts w:hint="eastAsia"/>
        </w:rPr>
        <w:t>主要问题</w:t>
      </w:r>
    </w:p>
    <w:p>
      <w:pPr>
        <w:spacing w:before="65"/>
        <w:ind w:firstLine="640"/>
      </w:pPr>
      <w:r>
        <w:rPr>
          <w:rFonts w:hint="eastAsia"/>
        </w:rPr>
        <w:t>乡域公共服务设施和基础设施建设有待加强。全乡公共服务设施配置尚可，但缺少养老、体育、公园绿地等。基础设施不够完善，排污、污水处理、农业基础设施等方面存在不足，基础设施建设有待进一步加强。</w:t>
      </w:r>
    </w:p>
    <w:p>
      <w:pPr>
        <w:spacing w:before="65"/>
        <w:ind w:firstLine="640"/>
      </w:pPr>
      <w:r>
        <w:rPr>
          <w:rFonts w:hint="eastAsia"/>
        </w:rPr>
        <w:t>资源丰富，旅游发展空间不足。七里坪乡拥有丰富的生态旅游资源，发展潜力巨大，目前旅游发展以观光为主，旅游配套设施缺乏，一二三产现状融合发展较弱，旅游发展需从观光为主转向体验为主。</w:t>
      </w:r>
    </w:p>
    <w:p>
      <w:pPr>
        <w:spacing w:before="65"/>
        <w:ind w:firstLine="640"/>
      </w:pPr>
      <w:r>
        <w:rPr>
          <w:rFonts w:hint="eastAsia"/>
        </w:rPr>
        <w:t>乡域人居环境有待进一步提升。近年来七里坪乡积极开展镇域人居环境整治，实现农村垃圾社会化运行、全面推行厕所革命等，村庄人居环境得到有效提升，但仍存在污水胡乱排放、部分道路未硬化等方面的问题，需进一步加强人居环境整治，从而提升乡村风貌。</w:t>
      </w:r>
    </w:p>
    <w:p>
      <w:pPr>
        <w:pStyle w:val="4"/>
      </w:pPr>
      <w:r>
        <w:rPr>
          <w:rFonts w:hint="eastAsia"/>
        </w:rPr>
        <w:t>风险挑战</w:t>
      </w:r>
    </w:p>
    <w:p>
      <w:pPr>
        <w:spacing w:before="65"/>
        <w:ind w:firstLine="640"/>
      </w:pPr>
      <w:bookmarkStart w:id="16" w:name="_Hlk208593787"/>
      <w:r>
        <w:rPr>
          <w:rFonts w:hint="eastAsia"/>
        </w:rPr>
        <w:t>七里坪乡三道河村、青山村、靳河村存在滑坡风险，乡域南部村庄（花园村、三道河村、高皇村、后坪村、马尾村、靳河村、张洼村、青山村、后会村、蚌峪村、流峪村、寺坪村）位于地质灾害高风险区。</w:t>
      </w:r>
    </w:p>
    <w:p>
      <w:pPr>
        <w:spacing w:before="65"/>
        <w:ind w:firstLine="640"/>
      </w:pPr>
      <w:r>
        <w:rPr>
          <w:rFonts w:hint="eastAsia"/>
        </w:rPr>
        <w:t>人口外流及人口老龄化风险。随着社会经济发展，区域要素流动将更加频繁，人口外流、人口老龄化对七里坪乡未来城镇化率和产业发展将产生重大影响，七里坪乡社会福利体系构建也存在一定压力</w:t>
      </w:r>
      <w:bookmarkEnd w:id="16"/>
      <w:r>
        <w:rPr>
          <w:rFonts w:hint="eastAsia"/>
        </w:rPr>
        <w:t>。</w:t>
      </w:r>
    </w:p>
    <w:p>
      <w:pPr>
        <w:spacing w:before="65"/>
        <w:ind w:firstLine="640"/>
      </w:pPr>
      <w:r>
        <w:rPr>
          <w:rFonts w:hint="eastAsia"/>
        </w:rPr>
        <w:t>生态保护与旅游发展风险。七里坪乡北部区域位于生态保护极重要和重要区内，生态保护极为重要，该区域发展旅游需要在保护生态的前提下适度发展。</w:t>
      </w:r>
    </w:p>
    <w:p>
      <w:pPr>
        <w:spacing w:before="65"/>
        <w:ind w:firstLine="643"/>
        <w:rPr>
          <w:b/>
          <w:bCs/>
        </w:rPr>
      </w:pPr>
      <w:r>
        <w:rPr>
          <w:b/>
          <w:bCs/>
        </w:rPr>
        <w:br w:type="page"/>
      </w:r>
    </w:p>
    <w:p>
      <w:pPr>
        <w:spacing w:before="65"/>
        <w:ind w:firstLine="643"/>
        <w:rPr>
          <w:b/>
          <w:bCs/>
        </w:rPr>
      </w:pPr>
    </w:p>
    <w:p>
      <w:pPr>
        <w:pStyle w:val="2"/>
      </w:pPr>
      <w:bookmarkStart w:id="17" w:name="_Toc209773041"/>
      <w:bookmarkStart w:id="18" w:name="_Toc185606043"/>
      <w:r>
        <w:rPr>
          <w:rFonts w:hint="eastAsia"/>
        </w:rPr>
        <w:t>发展定位与目标</w:t>
      </w:r>
      <w:bookmarkEnd w:id="17"/>
      <w:bookmarkEnd w:id="18"/>
    </w:p>
    <w:p>
      <w:pPr>
        <w:pStyle w:val="3"/>
      </w:pPr>
      <w:bookmarkStart w:id="19" w:name="_Toc185606044"/>
      <w:r>
        <w:rPr>
          <w:rFonts w:hint="eastAsia"/>
        </w:rPr>
        <w:t>发展定位</w:t>
      </w:r>
      <w:bookmarkEnd w:id="19"/>
    </w:p>
    <w:p>
      <w:pPr>
        <w:pStyle w:val="4"/>
      </w:pPr>
      <w:r>
        <w:rPr>
          <w:rFonts w:hint="eastAsia"/>
        </w:rPr>
        <w:t>落实乡镇主体功能</w:t>
      </w:r>
    </w:p>
    <w:p>
      <w:pPr>
        <w:spacing w:before="65"/>
        <w:ind w:firstLine="640"/>
      </w:pPr>
      <w:r>
        <w:rPr>
          <w:rFonts w:hint="eastAsia"/>
          <w:u w:val="single"/>
          <w:lang w:bidi="ar"/>
        </w:rPr>
        <w:t>七里坪乡为重点生态功能区。</w:t>
      </w:r>
    </w:p>
    <w:p>
      <w:pPr>
        <w:pStyle w:val="4"/>
      </w:pPr>
      <w:r>
        <w:rPr>
          <w:rFonts w:hint="eastAsia"/>
        </w:rPr>
        <w:t>发展定位</w:t>
      </w:r>
    </w:p>
    <w:p>
      <w:pPr>
        <w:spacing w:before="65"/>
        <w:ind w:firstLine="640"/>
      </w:pPr>
      <w:bookmarkStart w:id="20" w:name="_Hlk208588017"/>
      <w:r>
        <w:rPr>
          <w:rFonts w:hint="eastAsia"/>
        </w:rPr>
        <w:t>农贸旅型</w:t>
      </w:r>
      <w:bookmarkEnd w:id="20"/>
      <w:r>
        <w:rPr>
          <w:rFonts w:hint="eastAsia"/>
        </w:rPr>
        <w:t>乡镇，内乡县北部山区特色生态镇，生态康养旅游度假基地。</w:t>
      </w:r>
    </w:p>
    <w:p>
      <w:pPr>
        <w:pStyle w:val="3"/>
      </w:pPr>
      <w:bookmarkStart w:id="21" w:name="_Toc185606045"/>
      <w:r>
        <w:rPr>
          <w:rFonts w:hint="eastAsia"/>
        </w:rPr>
        <w:t>发展目标</w:t>
      </w:r>
      <w:bookmarkEnd w:id="21"/>
    </w:p>
    <w:p>
      <w:pPr>
        <w:pStyle w:val="4"/>
      </w:pPr>
      <w:r>
        <w:rPr>
          <w:rFonts w:hint="eastAsia"/>
        </w:rPr>
        <w:t>发展目标</w:t>
      </w:r>
    </w:p>
    <w:p>
      <w:pPr>
        <w:ind w:firstLine="640"/>
      </w:pPr>
      <w:r>
        <w:t>1.</w:t>
      </w:r>
      <w:r>
        <w:rPr>
          <w:rFonts w:hint="eastAsia"/>
        </w:rPr>
        <w:t>总体目标</w:t>
      </w:r>
    </w:p>
    <w:p>
      <w:pPr>
        <w:ind w:firstLine="640"/>
      </w:pPr>
      <w:r>
        <w:rPr>
          <w:rFonts w:hint="eastAsia"/>
        </w:rPr>
        <w:t>以建设“内乡县北部山区特色生态镇，山珍农业发展区，生态康养旅游基地”为目标愿景，优化全域国土空间格局，强化底线管控，科学高效配置国土空间资源，提升国土空间品质，构建绿色永续、集约高效、协调统筹、宜居共享和安全韧性的国土空间。以创新引领实现三产联动的高质量发展，推进新型城镇化建设，创建高品质人居环境，推动国土空间治理现代化。</w:t>
      </w:r>
    </w:p>
    <w:p>
      <w:pPr>
        <w:ind w:firstLine="640"/>
      </w:pPr>
    </w:p>
    <w:p>
      <w:pPr>
        <w:ind w:firstLine="640"/>
      </w:pPr>
    </w:p>
    <w:p>
      <w:pPr>
        <w:ind w:firstLine="640"/>
      </w:pPr>
      <w:r>
        <w:rPr>
          <w:rFonts w:hint="eastAsia"/>
        </w:rPr>
        <w:t>2.分阶段目标</w:t>
      </w:r>
    </w:p>
    <w:p>
      <w:pPr>
        <w:ind w:firstLine="640"/>
      </w:pPr>
      <w:r>
        <w:rPr>
          <w:rFonts w:hint="eastAsia"/>
        </w:rPr>
        <w:t>近期目标（</w:t>
      </w:r>
      <w:r>
        <w:t>2025</w:t>
      </w:r>
      <w:r>
        <w:rPr>
          <w:rFonts w:hint="eastAsia"/>
        </w:rPr>
        <w:t>年）：严守国土空间安全底线，生态保护红线、永久基本农田保护红线得到严格落实，耕地保有量不低于608.85公顷，永久基本农田保护目标不低于422.39公顷；城乡空间布局进一步优化，乡域常住人口约1.12万人，集镇常住人口规模约0.35万人，城镇化率约31%，城镇化水平进一步提升，人口进一步集聚；特色农业种植规模进一步扩大，实现稳步发展，农产品加工产业初具规模；旅游发展经济效益呈上升趋势。</w:t>
      </w:r>
    </w:p>
    <w:p>
      <w:pPr>
        <w:ind w:firstLine="640"/>
      </w:pPr>
      <w:r>
        <w:rPr>
          <w:rFonts w:hint="eastAsia"/>
        </w:rPr>
        <w:t>远期目标（2035年）：国土空间治理体系和治理能力现代化基本实现，城镇总体发展格局全面稳固，现代高效农业建设完成，工业转型升级成功，生态保护和环境建设取得明显成效，生态旅游经济实现高质量发展；形成功能互补、分工明确的乡域村镇体系和辐射带动能力强的集镇区，全乡基础设施配套完善，人居环境品质优良，人民生活水平和质量显著提高，逐步实现农村城乡一体化；城乡空间布局更加优化，乡域常住人口约0.87万人，集镇常住人口规模约0.39万人，城镇化率约45%，城镇化水平大幅提升，人口更加集聚；基本实现三产融合发展，基本建设成为环境优美、功能完善、宜居宜业的内乡县农贸旅型乡镇。</w:t>
      </w:r>
    </w:p>
    <w:p>
      <w:pPr>
        <w:pStyle w:val="4"/>
      </w:pPr>
      <w:r>
        <w:rPr>
          <w:rFonts w:hint="eastAsia"/>
        </w:rPr>
        <w:t>规划指标体系</w:t>
      </w:r>
    </w:p>
    <w:p>
      <w:pPr>
        <w:ind w:firstLine="640"/>
      </w:pPr>
      <w:r>
        <w:rPr>
          <w:rFonts w:hint="eastAsia"/>
        </w:rPr>
        <w:t>七里坪乡国土空间开发保护指标要落实衔接内乡县级国土空间规划指标，国土空间资源保护优先，提质增效，效率优先，保障国土安全，加强整治修复的原则。根据七里坪乡的实际情况，指标类型分为约束性指标、预期性指标和引导性指标三类。</w:t>
      </w:r>
    </w:p>
    <w:p>
      <w:pPr>
        <w:pStyle w:val="3"/>
      </w:pPr>
      <w:r>
        <w:rPr>
          <w:rFonts w:hint="eastAsia"/>
        </w:rPr>
        <w:t>国土空间开发保护策略</w:t>
      </w:r>
    </w:p>
    <w:p>
      <w:pPr>
        <w:pStyle w:val="4"/>
      </w:pPr>
      <w:bookmarkStart w:id="22" w:name="_Hlk200561688"/>
      <w:bookmarkStart w:id="23" w:name="_Hlk200529460"/>
      <w:r>
        <w:rPr>
          <w:rFonts w:hint="eastAsia"/>
        </w:rPr>
        <w:t>国土空间开发保护策略</w:t>
      </w:r>
    </w:p>
    <w:bookmarkEnd w:id="22"/>
    <w:p>
      <w:pPr>
        <w:spacing w:before="65"/>
        <w:ind w:firstLine="640"/>
      </w:pPr>
      <w:bookmarkStart w:id="24" w:name="_Hlk200561701"/>
      <w:r>
        <w:rPr>
          <w:rFonts w:hint="eastAsia"/>
        </w:rPr>
        <w:t>落实底线约束，保证三条控制线落地。落实最严格的耕地保护制度、生态保护制度和节约用地制度。科学避让地质灾害风险，构建安全韧性国土空间，维护粮食安全、生态安全。</w:t>
      </w:r>
    </w:p>
    <w:p>
      <w:pPr>
        <w:spacing w:before="65"/>
        <w:ind w:firstLine="640"/>
      </w:pPr>
      <w:r>
        <w:rPr>
          <w:rFonts w:hint="eastAsia"/>
        </w:rPr>
        <w:t>筑牢生态安全屏障。严格保护生态红线内水源涵养区与生物多样性区域，强化林长制、河长制实施，推进山区林地保育与流域综合治理。协同推进矿山生态修复与人居环境整治，依托特色资源，探索生态产品价值实现路径，推动生态优势转化为发展优势，实现生态保护与乡域高质量发展的有机统一。</w:t>
      </w:r>
    </w:p>
    <w:p>
      <w:pPr>
        <w:spacing w:before="65"/>
        <w:ind w:firstLine="640"/>
      </w:pPr>
      <w:r>
        <w:rPr>
          <w:rFonts w:hint="eastAsia"/>
        </w:rPr>
        <w:t>优化空间格局，构建高效、协调、可持续的国土空间结构，统一协调生产空间、生活空间、生态空间布局。推动产业转型升级，发展特色优势产业和绿色低碳产业，引导产业用地向集镇区集中。严控高耗能、高污染项目用地。优化居住用地布局，完善教育、医疗、养老、社区服务、绿地等配套设施，推进集镇区保障性住房建设。引导农民适度集中居住，改善人居环境。</w:t>
      </w:r>
    </w:p>
    <w:p>
      <w:pPr>
        <w:spacing w:before="65"/>
        <w:ind w:firstLine="640"/>
      </w:pPr>
      <w:r>
        <w:rPr>
          <w:rFonts w:hint="eastAsia"/>
        </w:rPr>
        <w:t>强化基础设施和公共服务支撑。构建便捷高效的内外交通网络，完善市政道路、停车场。提升供水、排水（雨污分流）、供电、供气、供热、通信、垃圾处理（分类）、污水处理等设施能力和智慧化水平。加强防洪排涝、抗震、消防、地质灾害防治等设施建设和应急能力。按标准配置教育、医疗卫生、文化体育、社会福利等设施，提升服务能级和覆盖范围。</w:t>
      </w:r>
    </w:p>
    <w:p>
      <w:pPr>
        <w:spacing w:before="65"/>
        <w:ind w:firstLine="640"/>
      </w:pPr>
      <w:r>
        <w:rPr>
          <w:rFonts w:hint="eastAsia"/>
        </w:rPr>
        <w:t>保护七里坪乡历史文化遗产。将地方文化元素融入城市设计和建设。控制建筑高度、体量、色彩和风格，形成与自然环境、地域文化相协调的城乡风貌。打造具有识别性的公共空间节点。推动公园绿地与城乡空间有机融合，提升蓝绿空间（水系、绿地）的连通性和亲民性。</w:t>
      </w:r>
    </w:p>
    <w:bookmarkEnd w:id="23"/>
    <w:bookmarkEnd w:id="24"/>
    <w:p>
      <w:pPr>
        <w:spacing w:before="65"/>
        <w:ind w:firstLine="640"/>
      </w:pPr>
      <w:r>
        <w:br w:type="page"/>
      </w:r>
    </w:p>
    <w:p>
      <w:pPr>
        <w:spacing w:before="65"/>
        <w:ind w:firstLine="640"/>
      </w:pPr>
    </w:p>
    <w:p>
      <w:pPr>
        <w:pStyle w:val="2"/>
      </w:pPr>
      <w:bookmarkStart w:id="25" w:name="_Toc209773042"/>
      <w:bookmarkStart w:id="26" w:name="_Hlk150329632"/>
      <w:r>
        <w:rPr>
          <w:rFonts w:hint="eastAsia"/>
        </w:rPr>
        <w:t>底线约束</w:t>
      </w:r>
      <w:bookmarkEnd w:id="25"/>
    </w:p>
    <w:bookmarkEnd w:id="26"/>
    <w:p>
      <w:pPr>
        <w:pStyle w:val="3"/>
      </w:pPr>
      <w:bookmarkStart w:id="27" w:name="_Toc185606049"/>
      <w:bookmarkStart w:id="28" w:name="_Hlk142658448"/>
      <w:r>
        <w:rPr>
          <w:rFonts w:hint="eastAsia"/>
        </w:rPr>
        <w:t>严格落实“三区三线”</w:t>
      </w:r>
      <w:bookmarkEnd w:id="27"/>
    </w:p>
    <w:bookmarkEnd w:id="28"/>
    <w:p>
      <w:pPr>
        <w:pStyle w:val="4"/>
      </w:pPr>
      <w:r>
        <w:rPr>
          <w:rFonts w:hint="eastAsia"/>
        </w:rPr>
        <w:t>严格落实</w:t>
      </w:r>
      <w:r>
        <w:t>耕地和</w:t>
      </w:r>
      <w:r>
        <w:rPr>
          <w:rFonts w:hint="eastAsia"/>
        </w:rPr>
        <w:t>永久基本农田</w:t>
      </w:r>
    </w:p>
    <w:p>
      <w:pPr>
        <w:ind w:firstLine="640"/>
        <w:rPr>
          <w:u w:val="single"/>
        </w:rPr>
      </w:pPr>
      <w:r>
        <w:rPr>
          <w:rFonts w:hint="eastAsia"/>
          <w:u w:val="single"/>
        </w:rPr>
        <w:t>根据上位规划传导,全乡共划定耕地保护目标608.85公顷，</w:t>
      </w:r>
      <w:r>
        <w:rPr>
          <w:rFonts w:hint="eastAsia"/>
        </w:rPr>
        <w:t>占全乡面积的1.84%。</w:t>
      </w:r>
      <w:r>
        <w:rPr>
          <w:rFonts w:hint="eastAsia"/>
          <w:u w:val="single"/>
        </w:rPr>
        <w:t>根据上位规划，永久基本农田保护面积不低于422.39公顷，根据永久基本农田核实处置成果，实际落实永久基本农田保护红线面积427.70公顷。</w:t>
      </w:r>
    </w:p>
    <w:p>
      <w:pPr>
        <w:pStyle w:val="4"/>
      </w:pPr>
      <w:r>
        <w:rPr>
          <w:rFonts w:hint="eastAsia"/>
        </w:rPr>
        <w:t>严格落实生态保护红线</w:t>
      </w:r>
    </w:p>
    <w:p>
      <w:pPr>
        <w:ind w:firstLine="640"/>
      </w:pPr>
      <w:r>
        <w:rPr>
          <w:rFonts w:hint="eastAsia"/>
        </w:rPr>
        <w:t>1</w:t>
      </w:r>
      <w:r>
        <w:t>.</w:t>
      </w:r>
      <w:r>
        <w:rPr>
          <w:rFonts w:hint="eastAsia"/>
        </w:rPr>
        <w:t>生态保护红线划定</w:t>
      </w:r>
    </w:p>
    <w:p>
      <w:pPr>
        <w:spacing w:before="65" w:after="120"/>
        <w:ind w:firstLine="640"/>
      </w:pPr>
      <w:bookmarkStart w:id="29" w:name="_Hlk150442329"/>
      <w:r>
        <w:rPr>
          <w:rFonts w:hint="eastAsia"/>
          <w:u w:val="single"/>
        </w:rPr>
        <w:t>根据上位规划传导，全乡共划定生态保护红线16032.34公顷。</w:t>
      </w:r>
      <w:r>
        <w:rPr>
          <w:rFonts w:hint="eastAsia"/>
        </w:rPr>
        <w:t>生态保护红线的功能类型为生物多样性维护，其中包含河南宝天曼国家级自然保护区、河南伏牛山国家级自然保护区、河南南阳恐龙蛋化石群国家级自然保护区、河南内乡宝天曼国家地质公园、河南内乡湍河湿地省级自然保护区。</w:t>
      </w:r>
    </w:p>
    <w:bookmarkEnd w:id="29"/>
    <w:p>
      <w:pPr>
        <w:pStyle w:val="4"/>
      </w:pPr>
      <w:bookmarkStart w:id="30" w:name="_Toc185606050"/>
      <w:bookmarkStart w:id="31" w:name="_Hlk142575005"/>
      <w:r>
        <w:rPr>
          <w:rFonts w:hint="eastAsia"/>
        </w:rPr>
        <w:t>城镇开发边界</w:t>
      </w:r>
    </w:p>
    <w:p>
      <w:pPr>
        <w:pStyle w:val="5"/>
        <w:numPr>
          <w:ilvl w:val="3"/>
          <w:numId w:val="3"/>
        </w:numPr>
        <w:ind w:left="0" w:firstLine="640"/>
      </w:pPr>
      <w:r>
        <w:t>城镇开发边界划定</w:t>
      </w:r>
    </w:p>
    <w:p>
      <w:pPr>
        <w:ind w:firstLine="640"/>
      </w:pPr>
      <w:r>
        <w:rPr>
          <w:rFonts w:hint="eastAsia"/>
        </w:rPr>
        <w:t>根据上位规划传导，全乡无城镇开发边界。</w:t>
      </w:r>
    </w:p>
    <w:p>
      <w:pPr>
        <w:pStyle w:val="3"/>
      </w:pPr>
      <w:r>
        <w:rPr>
          <w:rFonts w:hint="eastAsia"/>
        </w:rPr>
        <w:t>核准落实其他控制线</w:t>
      </w:r>
      <w:bookmarkEnd w:id="30"/>
    </w:p>
    <w:p>
      <w:pPr>
        <w:pStyle w:val="4"/>
      </w:pPr>
      <w:r>
        <w:rPr>
          <w:rFonts w:hint="eastAsia"/>
        </w:rPr>
        <w:t>历史文化保护线</w:t>
      </w:r>
    </w:p>
    <w:p>
      <w:pPr>
        <w:spacing w:before="65" w:after="156"/>
        <w:ind w:firstLine="640"/>
        <w:rPr>
          <w:u w:val="single"/>
        </w:rPr>
      </w:pPr>
      <w:bookmarkStart w:id="32" w:name="_Hlk152257056"/>
      <w:r>
        <w:rPr>
          <w:rFonts w:hint="eastAsia"/>
          <w:u w:val="single"/>
        </w:rPr>
        <w:t>根据上位规划传导，全乡历史文化保护线2处，为县级文物保护单位（青山水库大坝遗址、七里坪靳河恐龙蛋化石点）的文物保护范围，七里坪乡历史文化保护线结合乡域历史文化遗产保护范围和建设控制地带的划定情况，及时落实动态补划，纳入国土空间规划“一张图”进行管控。</w:t>
      </w:r>
    </w:p>
    <w:bookmarkEnd w:id="32"/>
    <w:p>
      <w:pPr>
        <w:pStyle w:val="4"/>
      </w:pPr>
      <w:r>
        <w:rPr>
          <w:rFonts w:hint="eastAsia"/>
        </w:rPr>
        <w:t>洪涝风险控制线</w:t>
      </w:r>
    </w:p>
    <w:p>
      <w:pPr>
        <w:spacing w:before="65" w:after="156"/>
        <w:ind w:firstLine="640"/>
      </w:pPr>
      <w:bookmarkStart w:id="33" w:name="_Hlk152257166"/>
      <w:r>
        <w:rPr>
          <w:rFonts w:hint="eastAsia"/>
        </w:rPr>
        <w:t>按照上位规划传导，落实洪涝风险控制线，主要为湍河、黄沙河、七潭河的洪涝风险控制线。洪涝风险控制线内禁止新增城乡建设用地，确需新增的，需经得水利部门的意见后落实</w:t>
      </w:r>
      <w:r>
        <w:t>。</w:t>
      </w:r>
    </w:p>
    <w:bookmarkEnd w:id="33"/>
    <w:p>
      <w:pPr>
        <w:pStyle w:val="4"/>
      </w:pPr>
      <w:r>
        <w:rPr>
          <w:rFonts w:hint="eastAsia"/>
        </w:rPr>
        <w:t>矿产资源开采保护线</w:t>
      </w:r>
    </w:p>
    <w:p>
      <w:pPr>
        <w:spacing w:before="65"/>
        <w:ind w:firstLine="640"/>
      </w:pPr>
      <w:bookmarkStart w:id="34" w:name="_Hlk152257181"/>
      <w:r>
        <w:rPr>
          <w:rFonts w:hint="eastAsia"/>
        </w:rPr>
        <w:t>全乡划定矿产资源开采保护线11处，分别为河南省内乡县板厂一带铜多金属矿详查、河南省内乡县七里坪李沟矽线石普查、河南省内乡县野獐银硐金多金属矿普查、河南省内乡县叶坪—七里坪矿区石墨矿详查、河南省西峡县竹园沟-内乡县韭菜沟一带金多金属矿详查、内乡黑龙庙矿区金矿普查、内乡七里坪重点开采区、内乡县板场乡独垛寨石墨矿普查、内乡县七里坪乡韭菜山饰面花岗岩矿、内乡县七里坪乡张洼石墨普查、西峡米坪重点开采区，涉及规模5068.40公顷</w:t>
      </w:r>
      <w:r>
        <w:t>。</w:t>
      </w:r>
    </w:p>
    <w:bookmarkEnd w:id="34"/>
    <w:p>
      <w:pPr>
        <w:pStyle w:val="4"/>
      </w:pPr>
      <w:r>
        <w:rPr>
          <w:rFonts w:hint="eastAsia"/>
        </w:rPr>
        <w:t>交通廊道控制线</w:t>
      </w:r>
    </w:p>
    <w:p>
      <w:pPr>
        <w:spacing w:before="65"/>
        <w:ind w:firstLine="640"/>
      </w:pPr>
      <w:bookmarkStart w:id="35" w:name="_Hlk207810742"/>
      <w:bookmarkStart w:id="36" w:name="_Hlk152257192"/>
      <w:r>
        <w:t>根据《公路安全保护条例》，</w:t>
      </w:r>
      <w:r>
        <w:rPr>
          <w:rFonts w:hint="eastAsia"/>
        </w:rPr>
        <w:t>全乡嵩内高速等高速公路的公路建筑控制区的范围从公路用地外缘起向外的距离标准不少于30米，G312</w:t>
      </w:r>
      <w:r>
        <w:t>不少于20米</w:t>
      </w:r>
      <w:r>
        <w:rPr>
          <w:rFonts w:hint="eastAsia"/>
        </w:rPr>
        <w:t>，</w:t>
      </w:r>
      <w:r>
        <w:t>省道</w:t>
      </w:r>
      <w:r>
        <w:rPr>
          <w:rFonts w:hint="eastAsia"/>
        </w:rPr>
        <w:t>S328</w:t>
      </w:r>
      <w:r>
        <w:t>、S</w:t>
      </w:r>
      <w:r>
        <w:rPr>
          <w:rFonts w:hint="eastAsia"/>
        </w:rPr>
        <w:t>243、</w:t>
      </w:r>
      <w:r>
        <w:t>S24</w:t>
      </w:r>
      <w:r>
        <w:rPr>
          <w:rFonts w:hint="eastAsia"/>
        </w:rPr>
        <w:t>9</w:t>
      </w:r>
      <w:r>
        <w:t>不少于15米</w:t>
      </w:r>
      <w:bookmarkEnd w:id="35"/>
      <w:bookmarkStart w:id="37" w:name="_Hlk209620823"/>
      <w:r>
        <w:rPr>
          <w:rFonts w:hint="eastAsia"/>
        </w:rPr>
        <w:t>，县道不少于10米</w:t>
      </w:r>
      <w:bookmarkEnd w:id="37"/>
      <w:r>
        <w:rPr>
          <w:rFonts w:hint="eastAsia"/>
        </w:rPr>
        <w:t>。</w:t>
      </w:r>
    </w:p>
    <w:bookmarkEnd w:id="36"/>
    <w:p>
      <w:pPr>
        <w:pStyle w:val="4"/>
      </w:pPr>
      <w:r>
        <w:rPr>
          <w:rFonts w:hint="eastAsia"/>
        </w:rPr>
        <w:t>高压电力线路廊道控制线</w:t>
      </w:r>
    </w:p>
    <w:p>
      <w:pPr>
        <w:ind w:firstLine="640"/>
      </w:pPr>
      <w:bookmarkStart w:id="38" w:name="_Hlk208392460"/>
      <w:r>
        <w:rPr>
          <w:rFonts w:hint="eastAsia"/>
        </w:rPr>
        <w:t>七里坪乡乡域内高压电力线路廊道以110kV电力线为主</w:t>
      </w:r>
      <w:bookmarkEnd w:id="38"/>
      <w:r>
        <w:rPr>
          <w:rFonts w:hint="eastAsia"/>
        </w:rPr>
        <w:t>。根据《城市电力规划规范》（GB/T50293-2014）及《电力设施保护条例》的要求，本次规划110kV高压电力线路廊道控制线宽度15-25米。</w:t>
      </w:r>
    </w:p>
    <w:p>
      <w:pPr>
        <w:pStyle w:val="3"/>
      </w:pPr>
      <w:bookmarkStart w:id="39" w:name="_Toc185606051"/>
      <w:r>
        <w:rPr>
          <w:rFonts w:hint="eastAsia"/>
        </w:rPr>
        <w:t>划定村庄建设边界</w:t>
      </w:r>
      <w:bookmarkEnd w:id="39"/>
    </w:p>
    <w:p>
      <w:pPr>
        <w:pStyle w:val="4"/>
      </w:pPr>
      <w:r>
        <w:rPr>
          <w:rFonts w:hint="eastAsia"/>
        </w:rPr>
        <w:t>村庄建设边界</w:t>
      </w:r>
      <w:r>
        <w:t>划定</w:t>
      </w:r>
    </w:p>
    <w:p>
      <w:pPr>
        <w:spacing w:before="65"/>
        <w:ind w:firstLine="640"/>
      </w:pPr>
      <w:bookmarkStart w:id="40" w:name="_Hlk175646380"/>
      <w:r>
        <w:rPr>
          <w:rFonts w:hint="eastAsia"/>
        </w:rPr>
        <w:t>全乡划定村庄建设边界438.94公顷，其中，机动指标3.02公顷</w:t>
      </w:r>
      <w:r>
        <w:t>。</w:t>
      </w:r>
    </w:p>
    <w:p>
      <w:pPr>
        <w:ind w:firstLine="640"/>
      </w:pPr>
      <w:r>
        <w:rPr>
          <w:rFonts w:hint="eastAsia"/>
        </w:rPr>
        <w:br w:type="page"/>
      </w:r>
    </w:p>
    <w:p>
      <w:pPr>
        <w:ind w:firstLine="640"/>
      </w:pPr>
    </w:p>
    <w:p>
      <w:pPr>
        <w:pStyle w:val="2"/>
      </w:pPr>
      <w:bookmarkStart w:id="41" w:name="_Toc209773043"/>
      <w:r>
        <w:rPr>
          <w:rFonts w:hint="eastAsia"/>
        </w:rPr>
        <w:t>规划分区</w:t>
      </w:r>
      <w:bookmarkEnd w:id="41"/>
    </w:p>
    <w:bookmarkEnd w:id="40"/>
    <w:p>
      <w:pPr>
        <w:pStyle w:val="3"/>
      </w:pPr>
      <w:bookmarkStart w:id="42" w:name="_Toc185606052"/>
      <w:r>
        <w:rPr>
          <w:rFonts w:hint="eastAsia"/>
        </w:rPr>
        <w:t>国土空间开发保护总体格局</w:t>
      </w:r>
      <w:bookmarkEnd w:id="42"/>
    </w:p>
    <w:p>
      <w:pPr>
        <w:pStyle w:val="4"/>
      </w:pPr>
      <w:r>
        <w:rPr>
          <w:rFonts w:hint="eastAsia"/>
        </w:rPr>
        <w:t>国土空间开发保护总体格局</w:t>
      </w:r>
    </w:p>
    <w:p>
      <w:pPr>
        <w:spacing w:before="65"/>
        <w:ind w:firstLine="640"/>
      </w:pPr>
      <w:r>
        <w:rPr>
          <w:rFonts w:hint="eastAsia"/>
        </w:rPr>
        <w:t>融合三生空间，兼顾保护与发展，构建“三轴一心三区”的生态化集约化的国土空间开发保护总体格局。</w:t>
      </w:r>
    </w:p>
    <w:p>
      <w:pPr>
        <w:spacing w:before="65"/>
        <w:ind w:firstLine="640"/>
      </w:pPr>
      <w:r>
        <w:rPr>
          <w:rFonts w:hint="eastAsia"/>
        </w:rPr>
        <w:t>三轴：G241-S243、G241-S243-S328和S243城乡发展轴。</w:t>
      </w:r>
    </w:p>
    <w:p>
      <w:pPr>
        <w:spacing w:before="65"/>
        <w:ind w:firstLine="640"/>
      </w:pPr>
      <w:r>
        <w:rPr>
          <w:rFonts w:hint="eastAsia"/>
        </w:rPr>
        <w:t>一心：集镇区为基础的集镇建设聚集中心。</w:t>
      </w:r>
    </w:p>
    <w:p>
      <w:pPr>
        <w:spacing w:before="65"/>
        <w:ind w:firstLine="640"/>
      </w:pPr>
      <w:r>
        <w:rPr>
          <w:rFonts w:hint="eastAsia"/>
        </w:rPr>
        <w:t>三区：分别是七里坪乡北部、南部以生态保护红线为核心的</w:t>
      </w:r>
      <w:bookmarkStart w:id="43" w:name="_Hlk208392803"/>
      <w:r>
        <w:rPr>
          <w:rFonts w:hint="eastAsia"/>
        </w:rPr>
        <w:t>生态涵养区</w:t>
      </w:r>
      <w:bookmarkEnd w:id="43"/>
      <w:r>
        <w:rPr>
          <w:rFonts w:hint="eastAsia"/>
        </w:rPr>
        <w:t>；中部以农业种植为核心的农业种植区。</w:t>
      </w:r>
    </w:p>
    <w:p>
      <w:pPr>
        <w:pStyle w:val="3"/>
      </w:pPr>
      <w:bookmarkStart w:id="44" w:name="_Toc185606053"/>
      <w:r>
        <w:rPr>
          <w:rFonts w:hint="eastAsia"/>
        </w:rPr>
        <w:t>规划分区与用途管制</w:t>
      </w:r>
      <w:bookmarkEnd w:id="44"/>
    </w:p>
    <w:p>
      <w:pPr>
        <w:pStyle w:val="4"/>
      </w:pPr>
      <w:r>
        <w:rPr>
          <w:rFonts w:hint="eastAsia"/>
        </w:rPr>
        <w:t>生态保护区</w:t>
      </w:r>
    </w:p>
    <w:p>
      <w:pPr>
        <w:ind w:firstLine="640"/>
      </w:pPr>
      <w:r>
        <w:rPr>
          <w:rFonts w:hint="eastAsia"/>
        </w:rPr>
        <w:t>1</w:t>
      </w:r>
      <w:r>
        <w:t>.生态保护区划定</w:t>
      </w:r>
    </w:p>
    <w:p>
      <w:pPr>
        <w:spacing w:before="65"/>
        <w:ind w:firstLine="640"/>
      </w:pPr>
      <w:r>
        <w:rPr>
          <w:rFonts w:hint="eastAsia"/>
          <w:lang w:bidi="ar"/>
        </w:rPr>
        <w:t>落实上位规划传导，全乡划定生态保护区面积16032.34</w:t>
      </w:r>
      <w:r>
        <w:rPr>
          <w:lang w:bidi="ar"/>
        </w:rPr>
        <w:t>公顷，占全域面积的</w:t>
      </w:r>
      <w:r>
        <w:rPr>
          <w:rFonts w:hint="eastAsia"/>
          <w:lang w:bidi="ar"/>
        </w:rPr>
        <w:t>48.44</w:t>
      </w:r>
      <w:r>
        <w:rPr>
          <w:lang w:bidi="ar"/>
        </w:rPr>
        <w:t>%。生态保护区主要包括生态保护红线内限制开发建设的区域。七里坪乡域范围内主要为天然林等</w:t>
      </w:r>
      <w:r>
        <w:rPr>
          <w:rFonts w:hint="eastAsia"/>
        </w:rPr>
        <w:t>。</w:t>
      </w:r>
    </w:p>
    <w:p>
      <w:pPr>
        <w:ind w:firstLine="640"/>
      </w:pPr>
      <w:r>
        <w:rPr>
          <w:rFonts w:hint="eastAsia"/>
        </w:rPr>
        <w:t>2</w:t>
      </w:r>
      <w:r>
        <w:t>.管控规则</w:t>
      </w:r>
    </w:p>
    <w:p>
      <w:pPr>
        <w:spacing w:before="65"/>
        <w:ind w:firstLine="640"/>
      </w:pPr>
      <w:r>
        <w:rPr>
          <w:rFonts w:hint="eastAsia"/>
        </w:rPr>
        <w:t>生态保护区内国土空间用途准入、退出按照《中共中央办公厅国务院办公厅关于划定并严守生态保护红线的若干意见》、《自然资源部生态环境部 国家林业和草原局关于加强生态保护红线管理的通知（试行）》、《河南省生态保护红线管理办法》、《河南省生态保护红线实施细则》以及生态保护红线相关法律法规进行管控。</w:t>
      </w:r>
    </w:p>
    <w:p>
      <w:pPr>
        <w:spacing w:before="65"/>
        <w:ind w:firstLine="640"/>
      </w:pPr>
      <w:r>
        <w:rPr>
          <w:rFonts w:hint="eastAsia"/>
        </w:rPr>
        <w:t>生态保护红线内，自然保护地核心保护区原则上禁止人为活动，其他区域严格禁止不符合主体功能定位的开发性、生产性建设活动。生态保护红线内各类自然保护地，饮用水水源地保护区等禁止开发区域的管理，同时执行相关法律法规规定。</w:t>
      </w:r>
    </w:p>
    <w:p>
      <w:pPr>
        <w:pStyle w:val="4"/>
      </w:pPr>
      <w:r>
        <w:rPr>
          <w:rFonts w:hint="eastAsia"/>
        </w:rPr>
        <w:t>生态控制区</w:t>
      </w:r>
    </w:p>
    <w:p>
      <w:pPr>
        <w:ind w:firstLine="640"/>
      </w:pPr>
      <w:r>
        <w:rPr>
          <w:rFonts w:hint="eastAsia"/>
        </w:rPr>
        <w:t>1</w:t>
      </w:r>
      <w:r>
        <w:t>.生态控制区划定</w:t>
      </w:r>
    </w:p>
    <w:p>
      <w:pPr>
        <w:spacing w:before="65"/>
        <w:ind w:firstLine="640"/>
      </w:pPr>
      <w:r>
        <w:rPr>
          <w:rFonts w:hint="eastAsia"/>
          <w:lang w:bidi="ar"/>
        </w:rPr>
        <w:t>依据上位规划传导，并结合七里坪乡实际情况，局部进行优化，全乡划定生态控制区面积13132.74</w:t>
      </w:r>
      <w:r>
        <w:rPr>
          <w:lang w:bidi="ar"/>
        </w:rPr>
        <w:t>公顷，占全域面积的</w:t>
      </w:r>
      <w:r>
        <w:rPr>
          <w:rFonts w:hint="eastAsia"/>
          <w:lang w:bidi="ar"/>
        </w:rPr>
        <w:t>39.68</w:t>
      </w:r>
      <w:r>
        <w:rPr>
          <w:lang w:bidi="ar"/>
        </w:rPr>
        <w:t>%</w:t>
      </w:r>
      <w:r>
        <w:rPr>
          <w:rFonts w:hint="eastAsia"/>
          <w:lang w:bidi="ar"/>
        </w:rPr>
        <w:t>。</w:t>
      </w:r>
      <w:bookmarkStart w:id="45" w:name="_Hlk152319665"/>
    </w:p>
    <w:bookmarkEnd w:id="45"/>
    <w:p>
      <w:pPr>
        <w:ind w:firstLine="640"/>
      </w:pPr>
      <w:r>
        <w:rPr>
          <w:rFonts w:hint="eastAsia"/>
        </w:rPr>
        <w:t>2</w:t>
      </w:r>
      <w:r>
        <w:t>.管控规则</w:t>
      </w:r>
    </w:p>
    <w:p>
      <w:pPr>
        <w:spacing w:before="65"/>
        <w:ind w:firstLine="640"/>
      </w:pPr>
      <w:r>
        <w:rPr>
          <w:rFonts w:hint="eastAsia"/>
          <w:lang w:bidi="ar"/>
        </w:rPr>
        <w:t>（1）用途准入</w:t>
      </w:r>
    </w:p>
    <w:p>
      <w:pPr>
        <w:spacing w:before="65"/>
        <w:ind w:firstLine="640"/>
      </w:pPr>
      <w:r>
        <w:rPr>
          <w:rFonts w:hint="eastAsia"/>
          <w:lang w:bidi="ar"/>
        </w:rPr>
        <w:t>鼓励依据国土空间规划及其他相关规划，按照自然恢复为主、人工修复为辅的原则，实施生态修复工程，提升生态功能。严格限制农业开发占用生态控制区，在不涉及</w:t>
      </w:r>
      <w:r>
        <w:rPr>
          <w:lang w:bidi="ar"/>
        </w:rPr>
        <w:t>天然林、公益林</w:t>
      </w:r>
      <w:r>
        <w:rPr>
          <w:rFonts w:hint="eastAsia"/>
          <w:lang w:bidi="ar"/>
        </w:rPr>
        <w:t>、水域的前提下，经评估有利于提升生态功能的，可依据国土空间规划或其他相关规划开展土地整治新增耕地。</w:t>
      </w:r>
    </w:p>
    <w:p>
      <w:pPr>
        <w:spacing w:before="65"/>
        <w:ind w:firstLine="640"/>
      </w:pPr>
      <w:r>
        <w:rPr>
          <w:rFonts w:hint="eastAsia"/>
          <w:lang w:bidi="ar"/>
        </w:rPr>
        <w:t>严控新增建设占用生态控制区，建设用途准入应符合国土空间规划和其他相关规划。各类风景名胜区等必要的配套设施建设、符合区域功能定位的旅游服务设施、道路交通基础设施、水利市政基础设施、公益性设施以及其他必要的特殊设施建设必须占用的，需做好选址论证，严格控制建筑规模与开发强度。</w:t>
      </w:r>
    </w:p>
    <w:p>
      <w:pPr>
        <w:spacing w:before="65"/>
        <w:ind w:firstLine="640"/>
      </w:pPr>
      <w:r>
        <w:rPr>
          <w:rFonts w:hint="eastAsia"/>
          <w:lang w:bidi="ar"/>
        </w:rPr>
        <w:t>（2）用途退出</w:t>
      </w:r>
    </w:p>
    <w:p>
      <w:pPr>
        <w:spacing w:before="65"/>
        <w:ind w:firstLine="640"/>
      </w:pPr>
      <w:r>
        <w:rPr>
          <w:rFonts w:hint="eastAsia"/>
          <w:lang w:bidi="ar"/>
        </w:rPr>
        <w:t>生态控制区内原有的各种不符合生态保护要求、防洪安全的生产、开发活动应当逐步退出，并进行生态修复，退出不应对生态环境造成重大影响；对区内主要保护对象及其栖息地环境造成的负面影响轻微或可控制；符合国土空间规划和其他相关规划。对国有林场和坡度25度以上已经开垦种植的林地要逐步还林。对于现状建设，应当进行评估后制定分类处置方案：对于违法建设和经评估对生态保护存在不利影响的，应当逐步退出；对于历史形成的合法现状建设用地，经评估对生态环境无影响的，可予以保留，但不得随意改变用途或进行改扩建。</w:t>
      </w:r>
    </w:p>
    <w:p>
      <w:pPr>
        <w:pStyle w:val="4"/>
      </w:pPr>
      <w:r>
        <w:rPr>
          <w:rFonts w:hint="eastAsia"/>
        </w:rPr>
        <w:t>农田保护区</w:t>
      </w:r>
    </w:p>
    <w:p>
      <w:pPr>
        <w:ind w:firstLine="640"/>
      </w:pPr>
      <w:r>
        <w:rPr>
          <w:rFonts w:hint="eastAsia"/>
        </w:rPr>
        <w:t>1</w:t>
      </w:r>
      <w:r>
        <w:t>.农田保护区划定</w:t>
      </w:r>
    </w:p>
    <w:p>
      <w:pPr>
        <w:spacing w:before="65"/>
        <w:ind w:firstLine="640"/>
        <w:rPr>
          <w:lang w:bidi="ar"/>
        </w:rPr>
      </w:pPr>
      <w:bookmarkStart w:id="46" w:name="_Hlk152319961"/>
      <w:r>
        <w:rPr>
          <w:rFonts w:hint="eastAsia"/>
          <w:lang w:bidi="ar"/>
        </w:rPr>
        <w:t>全乡划定农田保护区面积427.70</w:t>
      </w:r>
      <w:r>
        <w:rPr>
          <w:lang w:bidi="ar"/>
        </w:rPr>
        <w:t>公顷，占全域面积的</w:t>
      </w:r>
      <w:r>
        <w:rPr>
          <w:rFonts w:hint="eastAsia"/>
          <w:lang w:bidi="ar"/>
        </w:rPr>
        <w:t>1.29</w:t>
      </w:r>
      <w:r>
        <w:rPr>
          <w:lang w:bidi="ar"/>
        </w:rPr>
        <w:t>%</w:t>
      </w:r>
      <w:r>
        <w:rPr>
          <w:rFonts w:hint="eastAsia"/>
          <w:lang w:bidi="ar"/>
        </w:rPr>
        <w:t>。</w:t>
      </w:r>
    </w:p>
    <w:p>
      <w:pPr>
        <w:spacing w:before="65"/>
        <w:ind w:firstLine="640"/>
      </w:pPr>
    </w:p>
    <w:bookmarkEnd w:id="46"/>
    <w:p>
      <w:pPr>
        <w:ind w:firstLine="640"/>
      </w:pPr>
      <w:r>
        <w:rPr>
          <w:rFonts w:hint="eastAsia"/>
        </w:rPr>
        <w:t>2</w:t>
      </w:r>
      <w:r>
        <w:t>.管控规则</w:t>
      </w:r>
    </w:p>
    <w:p>
      <w:pPr>
        <w:spacing w:before="65"/>
        <w:ind w:firstLine="640"/>
      </w:pPr>
      <w:r>
        <w:rPr>
          <w:rFonts w:hint="eastAsia"/>
          <w:lang w:bidi="ar"/>
        </w:rPr>
        <w:t>（1）用途准入</w:t>
      </w:r>
    </w:p>
    <w:p>
      <w:pPr>
        <w:spacing w:before="65"/>
        <w:ind w:firstLine="640"/>
      </w:pPr>
      <w:r>
        <w:rPr>
          <w:rFonts w:hint="eastAsia"/>
        </w:rPr>
        <w:t>农田保护区应重点用于粮食生产，按照《自然资源部 农业农村部关于加强和改进永久基本农田保护工作的通知》第（六）款的规定严格规范永久基本农田上的农业生产活动。</w:t>
      </w:r>
    </w:p>
    <w:p>
      <w:pPr>
        <w:spacing w:before="65"/>
        <w:ind w:firstLine="640"/>
      </w:pPr>
      <w:r>
        <w:rPr>
          <w:rFonts w:hint="eastAsia"/>
        </w:rPr>
        <w:t>农田保护区内鼓励依据国土空间规划、土地整治规划等相关规划开展高标准农田建设、永久基本农田集中连片整治、即可恢复属性地类耕地功能恢复等整治活动，提高永久基本农田质量，引导区内废弃建设用地、其他农用地整治为耕地，区内符合条件的一般耕地应优先划入永久基本农田储备区。</w:t>
      </w:r>
    </w:p>
    <w:p>
      <w:pPr>
        <w:spacing w:before="65"/>
        <w:ind w:firstLine="640"/>
      </w:pPr>
      <w:r>
        <w:rPr>
          <w:rFonts w:hint="eastAsia"/>
        </w:rPr>
        <w:t>农田保护区内限制准入农业设施建设用地，农业设施建设用地不再使用的，必须恢复原用途。</w:t>
      </w:r>
    </w:p>
    <w:p>
      <w:pPr>
        <w:spacing w:before="65"/>
        <w:ind w:firstLine="640"/>
      </w:pPr>
      <w:r>
        <w:rPr>
          <w:rFonts w:hint="eastAsia"/>
        </w:rPr>
        <w:t>农田保护区限制转变为林地、湿地、水域等用途，按照《自然资源部 农业农村部关于加强和改进永久基本农田保护工作的通知》第（九）款的规定协调安排生态建设项目。</w:t>
      </w:r>
    </w:p>
    <w:p>
      <w:pPr>
        <w:spacing w:before="65"/>
        <w:ind w:firstLine="640"/>
      </w:pPr>
      <w:r>
        <w:rPr>
          <w:rFonts w:hint="eastAsia"/>
        </w:rPr>
        <w:t>农田保护区内的永久基本农田实行正面清单准入，在符合国土空间规划和其他相关规划的前提下，允许占用永久基本农田的重大项目、临时用地和矿业权按照《自然资源部关于做好占用永久基本农田重大建设项目用地预审的通知》第一款以及《自然资源部 农业农村部关于加强和改进永久基本农田保护工作的通知》第（七）款、第（八）款执行。</w:t>
      </w:r>
    </w:p>
    <w:p>
      <w:pPr>
        <w:spacing w:before="65"/>
        <w:ind w:firstLine="640"/>
        <w:rPr>
          <w:lang w:bidi="ar"/>
        </w:rPr>
      </w:pPr>
    </w:p>
    <w:p>
      <w:pPr>
        <w:spacing w:before="65"/>
        <w:ind w:firstLine="640"/>
      </w:pPr>
      <w:r>
        <w:rPr>
          <w:rFonts w:hint="eastAsia"/>
          <w:lang w:bidi="ar"/>
        </w:rPr>
        <w:t>（2）用途退出</w:t>
      </w:r>
    </w:p>
    <w:p>
      <w:pPr>
        <w:spacing w:before="65"/>
        <w:ind w:firstLine="640"/>
      </w:pPr>
      <w:r>
        <w:rPr>
          <w:rFonts w:hint="eastAsia"/>
          <w:lang w:bidi="ar"/>
        </w:rPr>
        <w:t>不符合农田保护区准入规则、违法违规占用永久基本农田的用途，应按照国土空间规划、土地整治规划等相关规划有序退出，并限期恢复种植条件，规划期间确实不能恢复种植条件的，经多部门联合论证，允许保留现状用途，但不得扩大面积，并补划相同数量、相当质量的永久基本农田。</w:t>
      </w:r>
    </w:p>
    <w:p>
      <w:pPr>
        <w:pStyle w:val="4"/>
      </w:pPr>
      <w:r>
        <w:rPr>
          <w:rFonts w:hint="eastAsia"/>
        </w:rPr>
        <w:t>乡村发展区</w:t>
      </w:r>
    </w:p>
    <w:p>
      <w:pPr>
        <w:spacing w:before="65"/>
        <w:ind w:firstLine="640"/>
      </w:pPr>
      <w:bookmarkStart w:id="47" w:name="_Hlk152837370"/>
      <w:r>
        <w:rPr>
          <w:rFonts w:hint="eastAsia"/>
          <w:lang w:bidi="ar"/>
        </w:rPr>
        <w:t>全乡划定乡村发展区面积1913.82</w:t>
      </w:r>
      <w:r>
        <w:rPr>
          <w:lang w:bidi="ar"/>
        </w:rPr>
        <w:t>公顷，占全域面积的</w:t>
      </w:r>
      <w:r>
        <w:rPr>
          <w:rFonts w:hint="eastAsia"/>
          <w:lang w:bidi="ar"/>
        </w:rPr>
        <w:t>5.78</w:t>
      </w:r>
      <w:r>
        <w:rPr>
          <w:lang w:bidi="ar"/>
        </w:rPr>
        <w:t>%</w:t>
      </w:r>
      <w:r>
        <w:rPr>
          <w:rFonts w:hint="eastAsia"/>
          <w:lang w:bidi="ar"/>
        </w:rPr>
        <w:t>。乡村发展区包含村庄建设区、一般农业区等二级规划分区。</w:t>
      </w:r>
    </w:p>
    <w:bookmarkEnd w:id="47"/>
    <w:p>
      <w:pPr>
        <w:ind w:firstLine="640"/>
      </w:pPr>
      <w:bookmarkStart w:id="48" w:name="_Hlk200561984"/>
      <w:r>
        <w:rPr>
          <w:rFonts w:hint="eastAsia"/>
        </w:rPr>
        <w:t>1</w:t>
      </w:r>
      <w:r>
        <w:t>.</w:t>
      </w:r>
      <w:r>
        <w:rPr>
          <w:rFonts w:hint="eastAsia"/>
        </w:rPr>
        <w:t>村庄建设区</w:t>
      </w:r>
    </w:p>
    <w:p>
      <w:pPr>
        <w:spacing w:before="65"/>
        <w:ind w:firstLine="640"/>
      </w:pPr>
      <w:r>
        <w:rPr>
          <w:rFonts w:hint="eastAsia"/>
        </w:rPr>
        <w:t>全</w:t>
      </w:r>
      <w:r>
        <w:rPr>
          <w:rFonts w:hint="eastAsia"/>
          <w:lang w:bidi="ar"/>
        </w:rPr>
        <w:t>乡</w:t>
      </w:r>
      <w:r>
        <w:rPr>
          <w:rFonts w:hint="eastAsia"/>
        </w:rPr>
        <w:t>划定村庄建设区面积438.94</w:t>
      </w:r>
      <w:r>
        <w:t>公顷，占全域</w:t>
      </w:r>
      <w:r>
        <w:rPr>
          <w:rFonts w:hint="eastAsia"/>
        </w:rPr>
        <w:t>乡村发展区</w:t>
      </w:r>
      <w:r>
        <w:t>面积的</w:t>
      </w:r>
      <w:r>
        <w:rPr>
          <w:rFonts w:hint="eastAsia"/>
        </w:rPr>
        <w:t>22.94</w:t>
      </w:r>
      <w:r>
        <w:t>%。</w:t>
      </w:r>
    </w:p>
    <w:bookmarkEnd w:id="48"/>
    <w:p>
      <w:pPr>
        <w:spacing w:before="65"/>
        <w:ind w:firstLine="640"/>
      </w:pPr>
      <w:r>
        <w:rPr>
          <w:lang w:bidi="ar"/>
        </w:rPr>
        <w:t>（</w:t>
      </w:r>
      <w:r>
        <w:rPr>
          <w:rFonts w:hint="eastAsia"/>
          <w:lang w:bidi="ar"/>
        </w:rPr>
        <w:t>1）用途准入</w:t>
      </w:r>
    </w:p>
    <w:p>
      <w:pPr>
        <w:spacing w:before="65"/>
        <w:ind w:firstLine="640"/>
      </w:pPr>
      <w:r>
        <w:rPr>
          <w:rFonts w:hint="eastAsia"/>
          <w:lang w:bidi="ar"/>
        </w:rPr>
        <w:t>村庄建设区的准入应符合国土空间规划和其他相关规划。在符合国土空间规划和其他相关规划的前提下，村庄建设区准入宅基地、农村公共服务设施、交通市政基础设施、农产品加工仓储、农家乐、民宿、创意办公、休闲农业、乡村旅游配套设施等农村生产、生活相关的用途。</w:t>
      </w:r>
    </w:p>
    <w:p>
      <w:pPr>
        <w:spacing w:before="65"/>
        <w:ind w:firstLine="640"/>
      </w:pPr>
      <w:r>
        <w:rPr>
          <w:rFonts w:hint="eastAsia"/>
          <w:lang w:bidi="ar"/>
        </w:rPr>
        <w:t>已批准村庄规划覆盖的区域，村庄建设区的准入应符合村庄规划的要求，优先保障农村宅基地和公共服务设施用地的建设需求，宅基地建设应依法落实“一户一宅”要求，遵守地方宅基地建设标准；公共服务设施应严格按照国土空间规划明确的公共服务设施建设标准和布局要求进行建设。</w:t>
      </w:r>
    </w:p>
    <w:p>
      <w:pPr>
        <w:spacing w:before="65"/>
        <w:ind w:firstLine="640"/>
      </w:pPr>
      <w:r>
        <w:rPr>
          <w:lang w:bidi="ar"/>
        </w:rPr>
        <w:t>（</w:t>
      </w:r>
      <w:r>
        <w:rPr>
          <w:rFonts w:hint="eastAsia"/>
          <w:lang w:bidi="ar"/>
        </w:rPr>
        <w:t>2）用途退出</w:t>
      </w:r>
    </w:p>
    <w:p>
      <w:pPr>
        <w:spacing w:before="65"/>
        <w:ind w:firstLine="640"/>
      </w:pPr>
      <w:r>
        <w:rPr>
          <w:rFonts w:hint="eastAsia"/>
          <w:lang w:bidi="ar"/>
        </w:rPr>
        <w:t>对村民生产、生活有负面影响的生产、开发活动应当通过国土空间规划的编制和实施逐步退出。</w:t>
      </w:r>
    </w:p>
    <w:p>
      <w:pPr>
        <w:ind w:firstLine="640"/>
      </w:pPr>
      <w:bookmarkStart w:id="49" w:name="_Hlk200561993"/>
      <w:r>
        <w:rPr>
          <w:rFonts w:hint="eastAsia"/>
        </w:rPr>
        <w:t>2</w:t>
      </w:r>
      <w:r>
        <w:t>.</w:t>
      </w:r>
      <w:r>
        <w:rPr>
          <w:rFonts w:hint="eastAsia"/>
        </w:rPr>
        <w:t>一般农业区</w:t>
      </w:r>
    </w:p>
    <w:p>
      <w:pPr>
        <w:spacing w:before="65"/>
        <w:ind w:firstLine="640"/>
      </w:pPr>
      <w:r>
        <w:rPr>
          <w:rFonts w:hint="eastAsia"/>
          <w:lang w:bidi="ar"/>
        </w:rPr>
        <w:t>全乡划定一般农业区面积1474.88</w:t>
      </w:r>
      <w:r>
        <w:rPr>
          <w:lang w:bidi="ar"/>
        </w:rPr>
        <w:t>公顷，占全域乡村发展区面积的</w:t>
      </w:r>
      <w:r>
        <w:rPr>
          <w:rFonts w:hint="eastAsia"/>
          <w:lang w:bidi="ar"/>
        </w:rPr>
        <w:t>77.06</w:t>
      </w:r>
      <w:r>
        <w:rPr>
          <w:lang w:bidi="ar"/>
        </w:rPr>
        <w:t>%。</w:t>
      </w:r>
    </w:p>
    <w:bookmarkEnd w:id="49"/>
    <w:p>
      <w:pPr>
        <w:spacing w:before="65"/>
        <w:ind w:firstLine="640"/>
      </w:pPr>
      <w:r>
        <w:rPr>
          <w:lang w:bidi="ar"/>
        </w:rPr>
        <w:t>（</w:t>
      </w:r>
      <w:r>
        <w:rPr>
          <w:rFonts w:hint="eastAsia"/>
          <w:lang w:bidi="ar"/>
        </w:rPr>
        <w:t>1）用途准入</w:t>
      </w:r>
    </w:p>
    <w:p>
      <w:pPr>
        <w:spacing w:before="65"/>
        <w:ind w:firstLine="640"/>
        <w:rPr>
          <w:lang w:bidi="ar"/>
        </w:rPr>
      </w:pPr>
      <w:r>
        <w:rPr>
          <w:rFonts w:hint="eastAsia"/>
          <w:lang w:bidi="ar"/>
        </w:rPr>
        <w:t>一般农业区中的耕地按照《土地管理法》、《土地管理法实施条例》、《关于坚决制止耕地“非农化”防止耕地“非粮化”稳定发展粮食生产的意见》等法律法规、文件的要求进行管控。</w:t>
      </w:r>
    </w:p>
    <w:p>
      <w:pPr>
        <w:spacing w:before="65"/>
        <w:ind w:firstLine="640"/>
        <w:rPr>
          <w:lang w:bidi="ar"/>
        </w:rPr>
      </w:pPr>
      <w:r>
        <w:rPr>
          <w:rFonts w:hint="eastAsia"/>
          <w:lang w:bidi="ar"/>
        </w:rPr>
        <w:t>一般农业区内的耕地优先用于粮食和棉、油、糖、蔬菜等农产品生产。一般农业区内鼓励依据国土空间规划、全域土地综合整治规划等相关规划开展土地整治，提升耕地质量，促进区内建设用地、其他农用地整治为耕地。</w:t>
      </w:r>
    </w:p>
    <w:p>
      <w:pPr>
        <w:spacing w:before="65"/>
        <w:ind w:firstLine="640"/>
        <w:rPr>
          <w:lang w:bidi="ar"/>
        </w:rPr>
      </w:pPr>
      <w:r>
        <w:rPr>
          <w:rFonts w:hint="eastAsia"/>
          <w:lang w:bidi="ar"/>
        </w:rPr>
        <w:t>在符合国土空间规划和其他相关规划的前提下，一般农业区允许农业设施建设用地准入，使用后必须恢复原用途。严格控制农业设施建设用地转化为非农建设用地。</w:t>
      </w:r>
    </w:p>
    <w:p>
      <w:pPr>
        <w:spacing w:before="65"/>
        <w:ind w:firstLine="640"/>
      </w:pPr>
      <w:r>
        <w:rPr>
          <w:rFonts w:hint="eastAsia"/>
          <w:lang w:bidi="ar"/>
        </w:rPr>
        <w:t>一般农业区中的永久基本农田储备耕地在补划为永久基本农田前，按照一般耕地管理和使用，并及时进行补充更新。重大建设项目或整改补划永久基本农田的，可直接在永久基本农田储备耕地中进行补划。</w:t>
      </w:r>
    </w:p>
    <w:p>
      <w:pPr>
        <w:spacing w:before="65"/>
        <w:ind w:firstLine="640"/>
      </w:pPr>
      <w:r>
        <w:rPr>
          <w:lang w:bidi="ar"/>
        </w:rPr>
        <w:t>（</w:t>
      </w:r>
      <w:r>
        <w:rPr>
          <w:rFonts w:hint="eastAsia"/>
          <w:lang w:bidi="ar"/>
        </w:rPr>
        <w:t>2）用途退出</w:t>
      </w:r>
    </w:p>
    <w:p>
      <w:pPr>
        <w:spacing w:before="65"/>
        <w:ind w:firstLine="640"/>
        <w:rPr>
          <w:lang w:bidi="ar"/>
        </w:rPr>
      </w:pPr>
      <w:r>
        <w:rPr>
          <w:rFonts w:hint="eastAsia"/>
          <w:lang w:bidi="ar"/>
        </w:rPr>
        <w:t>下列用途应通过国土空间规划的编制和实施有序退出，并限期恢复种植条件，规划期间确实不能恢复种植条件的，允许保留现状用途，但不得扩大面积。包括：一般农业区内破坏、污染耕地的开发生产活动；违法违规占用耕地的用途；零星的建设用地等用途。</w:t>
      </w:r>
    </w:p>
    <w:p>
      <w:pPr>
        <w:pStyle w:val="4"/>
      </w:pPr>
      <w:r>
        <w:rPr>
          <w:rFonts w:hint="eastAsia"/>
        </w:rPr>
        <w:t>矿产能源发展区</w:t>
      </w:r>
    </w:p>
    <w:p>
      <w:pPr>
        <w:ind w:firstLine="640"/>
      </w:pPr>
      <w:r>
        <w:rPr>
          <w:rFonts w:hint="eastAsia"/>
        </w:rPr>
        <w:t>1</w:t>
      </w:r>
      <w:r>
        <w:t>.矿产能源发展区划定</w:t>
      </w:r>
    </w:p>
    <w:p>
      <w:pPr>
        <w:spacing w:before="65"/>
        <w:ind w:firstLine="640"/>
      </w:pPr>
      <w:r>
        <w:rPr>
          <w:rFonts w:hint="eastAsia"/>
          <w:lang w:bidi="ar"/>
        </w:rPr>
        <w:t>全乡划定矿产能源发展区面积1588.40</w:t>
      </w:r>
      <w:r>
        <w:rPr>
          <w:lang w:bidi="ar"/>
        </w:rPr>
        <w:t>公顷，占全域面积的</w:t>
      </w:r>
      <w:r>
        <w:rPr>
          <w:rFonts w:hint="eastAsia"/>
          <w:lang w:bidi="ar"/>
        </w:rPr>
        <w:t>4.80</w:t>
      </w:r>
      <w:r>
        <w:rPr>
          <w:lang w:bidi="ar"/>
        </w:rPr>
        <w:t>%</w:t>
      </w:r>
      <w:r>
        <w:rPr>
          <w:rFonts w:hint="eastAsia"/>
          <w:lang w:bidi="ar"/>
        </w:rPr>
        <w:t>。</w:t>
      </w:r>
    </w:p>
    <w:p>
      <w:pPr>
        <w:ind w:firstLine="640"/>
      </w:pPr>
      <w:r>
        <w:rPr>
          <w:rFonts w:hint="eastAsia"/>
        </w:rPr>
        <w:t>2</w:t>
      </w:r>
      <w:r>
        <w:t>.管控规则</w:t>
      </w:r>
    </w:p>
    <w:p>
      <w:pPr>
        <w:spacing w:before="65"/>
        <w:ind w:firstLine="640"/>
      </w:pPr>
      <w:r>
        <w:rPr>
          <w:lang w:bidi="ar"/>
        </w:rPr>
        <w:t>（</w:t>
      </w:r>
      <w:r>
        <w:rPr>
          <w:rFonts w:hint="eastAsia"/>
          <w:lang w:bidi="ar"/>
        </w:rPr>
        <w:t>1）用途准入</w:t>
      </w:r>
    </w:p>
    <w:p>
      <w:pPr>
        <w:spacing w:before="65"/>
        <w:ind w:firstLine="640"/>
      </w:pPr>
      <w:r>
        <w:rPr>
          <w:rFonts w:hint="eastAsia"/>
          <w:lang w:bidi="ar"/>
        </w:rPr>
        <w:t>在符合国土空间规划和其他相关规划的前提下，矿产能源发展区允许矿产资源的勘探、开采、初加工以及相关的配套设施建设，禁止大规模的城镇建设。</w:t>
      </w:r>
    </w:p>
    <w:p>
      <w:pPr>
        <w:spacing w:before="65"/>
        <w:ind w:firstLine="640"/>
        <w:rPr>
          <w:lang w:bidi="ar"/>
        </w:rPr>
      </w:pPr>
      <w:r>
        <w:rPr>
          <w:rFonts w:hint="eastAsia"/>
          <w:lang w:bidi="ar"/>
        </w:rPr>
        <w:t>在符合国土空间规划和其他相关规划的前提下，矿产能源发展区允许开展农用地整理和其他土地整治工程的实施，鼓励生态修复和生态建设工程。</w:t>
      </w:r>
    </w:p>
    <w:p>
      <w:pPr>
        <w:spacing w:before="65"/>
        <w:ind w:firstLine="640"/>
      </w:pPr>
    </w:p>
    <w:p>
      <w:pPr>
        <w:spacing w:before="65"/>
        <w:ind w:firstLine="640"/>
      </w:pPr>
      <w:r>
        <w:rPr>
          <w:lang w:bidi="ar"/>
        </w:rPr>
        <w:t>（</w:t>
      </w:r>
      <w:r>
        <w:rPr>
          <w:rFonts w:hint="eastAsia"/>
          <w:lang w:bidi="ar"/>
        </w:rPr>
        <w:t>2）用途退出</w:t>
      </w:r>
    </w:p>
    <w:p>
      <w:pPr>
        <w:spacing w:before="65"/>
        <w:ind w:firstLine="640"/>
        <w:rPr>
          <w:lang w:bidi="ar"/>
        </w:rPr>
        <w:sectPr>
          <w:headerReference r:id="rId11" w:type="default"/>
          <w:footerReference r:id="rId12" w:type="default"/>
          <w:pgSz w:w="11907" w:h="16839"/>
          <w:pgMar w:top="1440" w:right="1800" w:bottom="1440" w:left="1800" w:header="851" w:footer="680" w:gutter="0"/>
          <w:cols w:space="1135" w:num="1"/>
          <w:docGrid w:type="lines" w:linePitch="326" w:charSpace="0"/>
        </w:sectPr>
      </w:pPr>
      <w:r>
        <w:rPr>
          <w:rFonts w:hint="eastAsia"/>
          <w:lang w:bidi="ar"/>
        </w:rPr>
        <w:t>在符合国土空间规划和其他相关规划的前提下，不符合准入规则、影响矿产能源勘探和开采的用途应有序退出。</w:t>
      </w:r>
    </w:p>
    <w:p>
      <w:pPr>
        <w:spacing w:before="65"/>
        <w:ind w:firstLine="640"/>
        <w:rPr>
          <w:lang w:bidi="ar"/>
        </w:rPr>
      </w:pPr>
    </w:p>
    <w:p>
      <w:pPr>
        <w:pStyle w:val="2"/>
        <w:rPr>
          <w:lang w:bidi="ar"/>
        </w:rPr>
      </w:pPr>
      <w:bookmarkStart w:id="50" w:name="_Toc209773044"/>
      <w:r>
        <w:rPr>
          <w:rFonts w:hint="eastAsia"/>
          <w:lang w:bidi="ar"/>
        </w:rPr>
        <w:t>国土空间功能结构调整</w:t>
      </w:r>
      <w:bookmarkEnd w:id="50"/>
    </w:p>
    <w:p>
      <w:pPr>
        <w:pStyle w:val="3"/>
      </w:pPr>
      <w:bookmarkStart w:id="51" w:name="_Toc185606054"/>
      <w:r>
        <w:rPr>
          <w:rFonts w:hint="eastAsia"/>
        </w:rPr>
        <w:t>国土空间功能结构调整</w:t>
      </w:r>
      <w:bookmarkEnd w:id="51"/>
    </w:p>
    <w:bookmarkEnd w:id="31"/>
    <w:p>
      <w:pPr>
        <w:pStyle w:val="4"/>
      </w:pPr>
      <w:r>
        <w:rPr>
          <w:rFonts w:hint="eastAsia"/>
        </w:rPr>
        <w:t>优化国土空间功能结构调整</w:t>
      </w:r>
    </w:p>
    <w:p>
      <w:pPr>
        <w:widowControl w:val="0"/>
        <w:spacing w:before="65" w:after="163" w:afterLines="50"/>
        <w:ind w:firstLine="640"/>
        <w:rPr>
          <w:lang w:bidi="ar"/>
        </w:rPr>
      </w:pPr>
      <w:r>
        <w:rPr>
          <w:rFonts w:hint="eastAsia" w:ascii="Times New Roman" w:cs="宋体"/>
          <w:lang w:bidi="ar"/>
        </w:rPr>
        <w:t>规划</w:t>
      </w:r>
      <w:r>
        <w:rPr>
          <w:rFonts w:ascii="Times New Roman" w:cs="宋体"/>
          <w:lang w:bidi="ar"/>
        </w:rPr>
        <w:t>期内</w:t>
      </w:r>
      <w:r>
        <w:rPr>
          <w:rFonts w:hint="eastAsia" w:ascii="Times New Roman" w:cs="宋体"/>
          <w:lang w:bidi="ar"/>
        </w:rPr>
        <w:t>，耕地面积不低于608.85公顷（耕地保有量）；</w:t>
      </w:r>
      <w:r>
        <w:rPr>
          <w:rFonts w:ascii="Times New Roman" w:cs="宋体"/>
          <w:lang w:bidi="ar"/>
        </w:rPr>
        <w:t>规划至2035年</w:t>
      </w:r>
      <w:r>
        <w:rPr>
          <w:rFonts w:hint="eastAsia" w:ascii="Times New Roman" w:cs="宋体"/>
          <w:lang w:bidi="ar"/>
        </w:rPr>
        <w:t>园地面积保持稳定；林地面积保持稳定；草地面积适量减少；湿地保持稳定；农业设施建设用地面积适量增加；城镇用地面积小于等于</w:t>
      </w:r>
      <w:r>
        <w:rPr>
          <w:rFonts w:hint="eastAsia"/>
        </w:rPr>
        <w:t>0.03</w:t>
      </w:r>
      <w:r>
        <w:rPr>
          <w:rFonts w:hint="eastAsia" w:ascii="Times New Roman" w:cs="宋体"/>
          <w:lang w:bidi="ar"/>
        </w:rPr>
        <w:t>公顷；村庄用地面积小于等于438.94公顷；区域基础设施用地面积持续增加；其他建设用地面积适量增加；陆地水域</w:t>
      </w:r>
      <w:r>
        <w:rPr>
          <w:rFonts w:hint="eastAsia"/>
          <w:lang w:bidi="ar"/>
        </w:rPr>
        <w:t>保持稳定。</w:t>
      </w:r>
    </w:p>
    <w:p>
      <w:pPr>
        <w:ind w:firstLine="640"/>
      </w:pPr>
      <w:r>
        <w:rPr>
          <w:rFonts w:hint="eastAsia"/>
        </w:rPr>
        <w:t>1</w:t>
      </w:r>
      <w:r>
        <w:t>.加强资源保护利用</w:t>
      </w:r>
    </w:p>
    <w:p>
      <w:pPr>
        <w:widowControl w:val="0"/>
        <w:spacing w:before="65" w:after="163" w:afterLines="50"/>
        <w:ind w:firstLine="640"/>
        <w:rPr>
          <w:lang w:bidi="ar"/>
        </w:rPr>
      </w:pPr>
      <w:r>
        <w:rPr>
          <w:rFonts w:hint="eastAsia"/>
          <w:lang w:bidi="ar"/>
        </w:rPr>
        <w:t>耕地：规划期内全乡耕地面积不低于在“三区三线”划定成果中确定的耕地保护目标</w:t>
      </w:r>
      <w:r>
        <w:rPr>
          <w:rFonts w:hint="eastAsia"/>
        </w:rPr>
        <w:t>608.85</w:t>
      </w:r>
      <w:r>
        <w:rPr>
          <w:rFonts w:hint="eastAsia"/>
          <w:lang w:bidi="ar"/>
        </w:rPr>
        <w:t>公顷。</w:t>
      </w:r>
    </w:p>
    <w:p>
      <w:pPr>
        <w:widowControl w:val="0"/>
        <w:spacing w:before="65" w:after="163" w:afterLines="50"/>
        <w:ind w:firstLine="640"/>
        <w:rPr>
          <w:lang w:bidi="ar"/>
        </w:rPr>
      </w:pPr>
      <w:r>
        <w:rPr>
          <w:rFonts w:hint="eastAsia"/>
          <w:lang w:bidi="ar"/>
        </w:rPr>
        <w:t>园地：规划至2035年，</w:t>
      </w:r>
      <w:bookmarkStart w:id="52" w:name="_Hlk208392925"/>
      <w:bookmarkStart w:id="53" w:name="_Hlk209626224"/>
      <w:r>
        <w:rPr>
          <w:rFonts w:hint="eastAsia"/>
          <w:lang w:bidi="ar"/>
        </w:rPr>
        <w:t>园地面积</w:t>
      </w:r>
      <w:bookmarkEnd w:id="52"/>
      <w:r>
        <w:rPr>
          <w:rFonts w:hint="eastAsia" w:ascii="Times New Roman" w:cs="宋体"/>
          <w:lang w:bidi="ar"/>
        </w:rPr>
        <w:t>保持稳定</w:t>
      </w:r>
      <w:bookmarkEnd w:id="53"/>
      <w:r>
        <w:rPr>
          <w:rFonts w:hint="eastAsia"/>
          <w:lang w:bidi="ar"/>
        </w:rPr>
        <w:t>。</w:t>
      </w:r>
    </w:p>
    <w:p>
      <w:pPr>
        <w:widowControl w:val="0"/>
        <w:spacing w:before="65" w:after="163" w:afterLines="50"/>
        <w:ind w:firstLine="640"/>
        <w:rPr>
          <w:lang w:bidi="ar"/>
        </w:rPr>
      </w:pPr>
      <w:r>
        <w:rPr>
          <w:rFonts w:hint="eastAsia"/>
          <w:lang w:bidi="ar"/>
        </w:rPr>
        <w:t>林地：规划期内，</w:t>
      </w:r>
      <w:bookmarkStart w:id="54" w:name="_Hlk209626230"/>
      <w:r>
        <w:rPr>
          <w:rFonts w:hint="eastAsia"/>
          <w:lang w:bidi="ar"/>
        </w:rPr>
        <w:t>林地面积</w:t>
      </w:r>
      <w:r>
        <w:rPr>
          <w:rFonts w:hint="eastAsia" w:ascii="Times New Roman" w:cs="宋体"/>
          <w:lang w:bidi="ar"/>
        </w:rPr>
        <w:t>保持稳定</w:t>
      </w:r>
      <w:bookmarkEnd w:id="54"/>
      <w:r>
        <w:rPr>
          <w:rFonts w:hint="eastAsia"/>
          <w:lang w:bidi="ar"/>
        </w:rPr>
        <w:t>。</w:t>
      </w:r>
    </w:p>
    <w:p>
      <w:pPr>
        <w:widowControl w:val="0"/>
        <w:spacing w:before="65" w:after="163" w:afterLines="50"/>
        <w:ind w:firstLine="640"/>
        <w:rPr>
          <w:lang w:bidi="ar"/>
        </w:rPr>
      </w:pPr>
      <w:r>
        <w:rPr>
          <w:rFonts w:hint="eastAsia"/>
          <w:lang w:bidi="ar"/>
        </w:rPr>
        <w:t>草地：</w:t>
      </w:r>
      <w:bookmarkStart w:id="55" w:name="_Hlk152851885"/>
      <w:r>
        <w:rPr>
          <w:rFonts w:hint="eastAsia"/>
          <w:lang w:bidi="ar"/>
        </w:rPr>
        <w:t>规划至2035年，</w:t>
      </w:r>
      <w:bookmarkStart w:id="56" w:name="_Hlk200562151"/>
      <w:r>
        <w:rPr>
          <w:rFonts w:hint="eastAsia"/>
          <w:lang w:bidi="ar"/>
        </w:rPr>
        <w:t>草地面积</w:t>
      </w:r>
      <w:bookmarkEnd w:id="56"/>
      <w:r>
        <w:rPr>
          <w:rFonts w:hint="eastAsia"/>
          <w:lang w:bidi="ar"/>
        </w:rPr>
        <w:t>适量减少。</w:t>
      </w:r>
    </w:p>
    <w:bookmarkEnd w:id="55"/>
    <w:p>
      <w:pPr>
        <w:widowControl w:val="0"/>
        <w:spacing w:before="65" w:after="163" w:afterLines="50"/>
        <w:ind w:firstLine="640"/>
        <w:rPr>
          <w:lang w:bidi="ar"/>
        </w:rPr>
      </w:pPr>
      <w:r>
        <w:rPr>
          <w:rFonts w:hint="eastAsia"/>
          <w:lang w:bidi="ar"/>
        </w:rPr>
        <w:t>湿地：规划至</w:t>
      </w:r>
      <w:r>
        <w:rPr>
          <w:lang w:bidi="ar"/>
        </w:rPr>
        <w:t>2035年，</w:t>
      </w:r>
      <w:bookmarkStart w:id="57" w:name="_Hlk208392998"/>
      <w:r>
        <w:rPr>
          <w:rFonts w:hint="eastAsia"/>
          <w:lang w:bidi="ar"/>
        </w:rPr>
        <w:t>湿地</w:t>
      </w:r>
      <w:r>
        <w:rPr>
          <w:lang w:bidi="ar"/>
        </w:rPr>
        <w:t>面积</w:t>
      </w:r>
      <w:r>
        <w:rPr>
          <w:rFonts w:hint="eastAsia"/>
          <w:lang w:bidi="ar"/>
        </w:rPr>
        <w:t>保持稳定</w:t>
      </w:r>
      <w:bookmarkEnd w:id="57"/>
      <w:r>
        <w:rPr>
          <w:rFonts w:hint="eastAsia"/>
          <w:lang w:bidi="ar"/>
        </w:rPr>
        <w:t>。</w:t>
      </w:r>
    </w:p>
    <w:p>
      <w:pPr>
        <w:widowControl w:val="0"/>
        <w:spacing w:before="65" w:after="163" w:afterLines="50"/>
        <w:ind w:firstLine="640"/>
        <w:rPr>
          <w:lang w:bidi="ar"/>
        </w:rPr>
      </w:pPr>
      <w:r>
        <w:rPr>
          <w:rFonts w:hint="eastAsia"/>
          <w:lang w:bidi="ar"/>
        </w:rPr>
        <w:t>农业设施建设用地：根据《河南省人民政府办公厅关于印发河南省因地制宜发展设施种植业促进农民增收三年行动方案（2025—2027年）的通知》，结合每个行政村的实际需求，分批分步安排100亩左右相对集中的一般耕地，保障设施种植业稳步发展。因此农业设施建设用地适量增加。</w:t>
      </w:r>
    </w:p>
    <w:p>
      <w:pPr>
        <w:ind w:firstLine="640"/>
      </w:pPr>
      <w:r>
        <w:rPr>
          <w:rFonts w:hint="eastAsia"/>
        </w:rPr>
        <w:t>2</w:t>
      </w:r>
      <w:r>
        <w:t>.优化</w:t>
      </w:r>
      <w:r>
        <w:rPr>
          <w:rFonts w:hint="eastAsia"/>
        </w:rPr>
        <w:t>建设用地结构</w:t>
      </w:r>
    </w:p>
    <w:p>
      <w:pPr>
        <w:spacing w:before="65"/>
        <w:ind w:firstLine="640"/>
        <w:rPr>
          <w:lang w:bidi="ar"/>
        </w:rPr>
      </w:pPr>
      <w:r>
        <w:rPr>
          <w:rFonts w:hint="eastAsia"/>
          <w:lang w:bidi="ar"/>
        </w:rPr>
        <w:t>城镇用地：</w:t>
      </w:r>
      <w:r>
        <w:rPr>
          <w:lang w:bidi="ar"/>
        </w:rPr>
        <w:t>规划至2035年城镇用地规模不得超过</w:t>
      </w:r>
      <w:r>
        <w:rPr>
          <w:rFonts w:hint="eastAsia"/>
          <w:lang w:bidi="ar"/>
        </w:rPr>
        <w:t>0.03</w:t>
      </w:r>
      <w:r>
        <w:rPr>
          <w:lang w:bidi="ar"/>
        </w:rPr>
        <w:t>公顷</w:t>
      </w:r>
      <w:r>
        <w:rPr>
          <w:rFonts w:hint="eastAsia"/>
          <w:lang w:bidi="ar"/>
        </w:rPr>
        <w:t>。</w:t>
      </w:r>
    </w:p>
    <w:p>
      <w:pPr>
        <w:spacing w:before="65"/>
        <w:ind w:firstLine="640"/>
      </w:pPr>
      <w:r>
        <w:rPr>
          <w:rFonts w:hint="eastAsia"/>
          <w:lang w:bidi="ar"/>
        </w:rPr>
        <w:t>村庄用地：规划至2</w:t>
      </w:r>
      <w:r>
        <w:rPr>
          <w:lang w:bidi="ar"/>
        </w:rPr>
        <w:t>035</w:t>
      </w:r>
      <w:r>
        <w:rPr>
          <w:rFonts w:hint="eastAsia"/>
          <w:lang w:bidi="ar"/>
        </w:rPr>
        <w:t>年村庄用地</w:t>
      </w:r>
      <w:r>
        <w:rPr>
          <w:lang w:bidi="ar"/>
        </w:rPr>
        <w:t>规模不得超过</w:t>
      </w:r>
      <w:r>
        <w:rPr>
          <w:rFonts w:hint="eastAsia"/>
        </w:rPr>
        <w:t>438.94</w:t>
      </w:r>
      <w:r>
        <w:rPr>
          <w:lang w:bidi="ar"/>
        </w:rPr>
        <w:t>公顷</w:t>
      </w:r>
      <w:r>
        <w:rPr>
          <w:rFonts w:hint="eastAsia"/>
          <w:lang w:bidi="ar"/>
        </w:rPr>
        <w:t>。</w:t>
      </w:r>
    </w:p>
    <w:p>
      <w:pPr>
        <w:ind w:firstLine="640"/>
      </w:pPr>
      <w:r>
        <w:rPr>
          <w:rFonts w:hint="eastAsia"/>
        </w:rPr>
        <w:t>区域基础设施用地：规划期内，严格落实国家、省、市级重点项目用地需求，规划期内区域基础设施用地根据实际需求增加。</w:t>
      </w:r>
    </w:p>
    <w:p>
      <w:pPr>
        <w:ind w:firstLine="640"/>
      </w:pPr>
      <w:r>
        <w:rPr>
          <w:rFonts w:hint="eastAsia"/>
        </w:rPr>
        <w:t>其他建设用地：落实部门相关规划，矿产、旅游、民生等用地需求，规划期内其他建设用地</w:t>
      </w:r>
      <w:bookmarkStart w:id="58" w:name="_Hlk208393160"/>
      <w:r>
        <w:rPr>
          <w:rFonts w:hint="eastAsia"/>
        </w:rPr>
        <w:t>适量增加</w:t>
      </w:r>
      <w:bookmarkEnd w:id="58"/>
      <w:r>
        <w:rPr>
          <w:rFonts w:hint="eastAsia"/>
        </w:rPr>
        <w:t>。</w:t>
      </w:r>
    </w:p>
    <w:p>
      <w:pPr>
        <w:ind w:firstLine="640"/>
      </w:pPr>
      <w:r>
        <w:rPr>
          <w:rFonts w:hint="eastAsia"/>
        </w:rPr>
        <w:t>3</w:t>
      </w:r>
      <w:r>
        <w:t>.</w:t>
      </w:r>
      <w:r>
        <w:rPr>
          <w:rFonts w:hint="eastAsia"/>
        </w:rPr>
        <w:t>合理利用其他土地</w:t>
      </w:r>
    </w:p>
    <w:p>
      <w:pPr>
        <w:ind w:firstLine="640"/>
      </w:pPr>
      <w:r>
        <w:rPr>
          <w:rFonts w:hint="eastAsia"/>
        </w:rPr>
        <w:t>严格河湖水域岸线管理保护，积极开展湍河、黄沙河、七潭河以及农村水系沟渠连通治理工程，提高河道防洪能力，规划期末陆地水域面积保持稳定。</w:t>
      </w:r>
    </w:p>
    <w:p>
      <w:pPr>
        <w:pStyle w:val="3"/>
      </w:pPr>
      <w:bookmarkStart w:id="59" w:name="_Toc185606055"/>
      <w:r>
        <w:rPr>
          <w:rFonts w:hint="eastAsia"/>
        </w:rPr>
        <w:t>留白用地</w:t>
      </w:r>
      <w:bookmarkEnd w:id="59"/>
    </w:p>
    <w:p>
      <w:pPr>
        <w:pStyle w:val="4"/>
      </w:pPr>
      <w:r>
        <w:rPr>
          <w:rFonts w:hint="eastAsia"/>
        </w:rPr>
        <w:t>留白用地</w:t>
      </w:r>
    </w:p>
    <w:p>
      <w:pPr>
        <w:spacing w:before="65"/>
        <w:ind w:firstLine="640"/>
      </w:pPr>
      <w:bookmarkStart w:id="60" w:name="_Hlk208393180"/>
      <w:r>
        <w:rPr>
          <w:rFonts w:hint="eastAsia"/>
        </w:rPr>
        <w:t>村庄规划阶段可</w:t>
      </w:r>
      <w:bookmarkEnd w:id="60"/>
      <w:r>
        <w:rPr>
          <w:rFonts w:hint="eastAsia"/>
        </w:rPr>
        <w:t>按照现状村庄建设用地的</w:t>
      </w:r>
      <w:r>
        <w:t>5%作为规划留白，用于暂时无法确定用途或位置的乡乡域内农村公益设施、乡村文旅设施、农村一二三产融合发展用地等。规划留白不得占用永久基本农田、生态保护红线。</w:t>
      </w:r>
    </w:p>
    <w:p>
      <w:pPr>
        <w:spacing w:before="65"/>
        <w:ind w:firstLine="640"/>
      </w:pPr>
      <w:r>
        <w:br w:type="page"/>
      </w:r>
    </w:p>
    <w:p>
      <w:pPr>
        <w:spacing w:before="65"/>
        <w:ind w:firstLine="640"/>
      </w:pPr>
    </w:p>
    <w:p>
      <w:pPr>
        <w:pStyle w:val="2"/>
      </w:pPr>
      <w:bookmarkStart w:id="61" w:name="_Toc185606056"/>
      <w:bookmarkStart w:id="62" w:name="_Toc209773045"/>
      <w:r>
        <w:rPr>
          <w:rFonts w:hint="eastAsia"/>
        </w:rPr>
        <w:t>自然资源保护利用</w:t>
      </w:r>
      <w:bookmarkEnd w:id="61"/>
      <w:bookmarkEnd w:id="62"/>
    </w:p>
    <w:p>
      <w:pPr>
        <w:pStyle w:val="3"/>
        <w:spacing w:before="326" w:beforeLines="100" w:after="326" w:afterLines="100"/>
      </w:pPr>
      <w:bookmarkStart w:id="63" w:name="_Toc185606057"/>
      <w:r>
        <w:rPr>
          <w:rFonts w:hint="eastAsia"/>
        </w:rPr>
        <w:t>耕地资源保护与利用</w:t>
      </w:r>
      <w:bookmarkEnd w:id="63"/>
    </w:p>
    <w:p>
      <w:pPr>
        <w:pStyle w:val="4"/>
      </w:pPr>
      <w:r>
        <w:rPr>
          <w:rFonts w:hint="eastAsia"/>
        </w:rPr>
        <w:t>严格落实耕地保护责任</w:t>
      </w:r>
    </w:p>
    <w:p>
      <w:pPr>
        <w:spacing w:before="65"/>
        <w:ind w:firstLine="640"/>
        <w:rPr>
          <w:lang w:bidi="ar"/>
        </w:rPr>
      </w:pPr>
      <w:r>
        <w:rPr>
          <w:rFonts w:hint="eastAsia"/>
          <w:lang w:bidi="ar"/>
        </w:rPr>
        <w:t>落实“合理利用土地、切实保护耕地”的基本国策，落实耕地保护目标，严守耕地保护红线，保证面积不减少、质量有提升、生态有改善。</w:t>
      </w:r>
      <w:bookmarkStart w:id="64" w:name="_Hlk208393305"/>
      <w:r>
        <w:rPr>
          <w:rFonts w:hint="eastAsia"/>
          <w:u w:val="single"/>
          <w:lang w:bidi="ar"/>
        </w:rPr>
        <w:t>规划至2035年，全乡耕地保有量不低于608.85公顷</w:t>
      </w:r>
      <w:r>
        <w:rPr>
          <w:u w:val="single"/>
          <w:lang w:bidi="ar"/>
        </w:rPr>
        <w:t>，</w:t>
      </w:r>
      <w:r>
        <w:rPr>
          <w:rFonts w:hint="eastAsia"/>
          <w:u w:val="single"/>
          <w:lang w:bidi="ar"/>
        </w:rPr>
        <w:t>根据上位规划，永久基本农田保护面积不低于422.39公顷，根据永久基本农田核实处置成果，实际落实永久基本农田保护红线面积427.70公顷。</w:t>
      </w:r>
      <w:bookmarkEnd w:id="64"/>
      <w:r>
        <w:rPr>
          <w:rFonts w:hint="eastAsia"/>
          <w:lang w:bidi="ar"/>
        </w:rPr>
        <w:t>严格落实划定的耕地保护图斑，足额带位置落实到村庄、到地块，上图入库、建档立卡，守住耕地保护和粮食安全底线。落实“长牙齿”的耕地保护措施，落实耕地保护责任目标考核机制，落实耕地保护党政同责、终生追责。严格落实推进“非农化”问题排查整治，严格控制耕地转为林地、草地、园地等其他农用地。</w:t>
      </w:r>
    </w:p>
    <w:p>
      <w:pPr>
        <w:pStyle w:val="4"/>
      </w:pPr>
      <w:r>
        <w:t>严格落实耕地种植用途管控</w:t>
      </w:r>
    </w:p>
    <w:p>
      <w:pPr>
        <w:spacing w:before="65"/>
        <w:ind w:firstLine="640"/>
        <w:rPr>
          <w:lang w:bidi="ar"/>
        </w:rPr>
      </w:pPr>
      <w:r>
        <w:rPr>
          <w:lang w:bidi="ar"/>
        </w:rPr>
        <w:t>落实耕地种植制度，耕地主要用于粮食和棉、油、糖、蔬菜等农产品生产以及饲草饲料生产，永久基本农田重点用于粮食生产，高标准农田原则上全部用于粮食生产。全面落实田长制，建立多层级网格化管理的耕地保护监督机制，加强耕地执法监督,坚决遏制耕地“非农化”、防止“非粮化”。</w:t>
      </w:r>
    </w:p>
    <w:p>
      <w:pPr>
        <w:pStyle w:val="4"/>
      </w:pPr>
      <w:r>
        <w:rPr>
          <w:rFonts w:hint="eastAsia"/>
        </w:rPr>
        <w:t>严格落实占补平衡</w:t>
      </w:r>
    </w:p>
    <w:p>
      <w:pPr>
        <w:spacing w:before="65"/>
        <w:ind w:firstLine="640"/>
        <w:rPr>
          <w:lang w:bidi="ar"/>
        </w:rPr>
      </w:pPr>
      <w:r>
        <w:rPr>
          <w:rFonts w:hint="eastAsia"/>
          <w:lang w:bidi="ar"/>
        </w:rPr>
        <w:t>严格实行“以补定占”，在实现耕地总量动态平衡前提下，将乡域内稳定利用耕地净增加量作为下年度非农建设允许占用耕地规模上限控制，对违法建设占用耕地相应冻结补充耕地指标。将非农建设、造林种树、种果种茶等各类占用耕地行为统一纳入耕地占补平衡管理；补充耕地坚持以恢复优质耕地为主、新开垦耕地为辅的原则，在符合国土空间规划和生态环境保护要求的前提下，优先将适宜恢复为优质耕地的园地、林地、草地等其他农用地以及低效闲置建设用地统筹作为补充耕地来源。各类实施主体将非耕地垦造、恢复为耕地的，符合规定的可作为补充耕地。</w:t>
      </w:r>
    </w:p>
    <w:p>
      <w:pPr>
        <w:spacing w:before="65"/>
        <w:ind w:firstLine="640"/>
        <w:rPr>
          <w:lang w:bidi="ar"/>
        </w:rPr>
      </w:pPr>
      <w:r>
        <w:rPr>
          <w:rFonts w:hint="eastAsia"/>
          <w:lang w:bidi="ar"/>
        </w:rPr>
        <w:t>拓宽补充耕地来源，规划期内积极稳妥有序开展农村建设用地整治，重点推进镇域内“空心村”、闲置宅基地整治，</w:t>
      </w:r>
      <w:bookmarkStart w:id="65" w:name="_Hlk208393334"/>
      <w:r>
        <w:rPr>
          <w:rFonts w:hint="eastAsia"/>
          <w:lang w:bidi="ar"/>
        </w:rPr>
        <w:t>规划期内通过农村建设用地整治补充耕地62.25公顷。规划期内通过农用地整治可补充耕地79.64公顷，后备资源开发补充耕地任务11.79公顷。</w:t>
      </w:r>
    </w:p>
    <w:bookmarkEnd w:id="65"/>
    <w:p>
      <w:pPr>
        <w:pStyle w:val="4"/>
      </w:pPr>
      <w:r>
        <w:rPr>
          <w:rFonts w:hint="eastAsia"/>
        </w:rPr>
        <w:t>加强耕地质量建设</w:t>
      </w:r>
    </w:p>
    <w:p>
      <w:pPr>
        <w:spacing w:before="65"/>
        <w:ind w:firstLine="640"/>
      </w:pPr>
      <w:r>
        <w:rPr>
          <w:rFonts w:hint="eastAsia"/>
        </w:rPr>
        <w:t>积极开展土地整治项目，推进耕地质量保护与提升，落实“藏粮于地、藏粮于技”战略，加快农业生产配套田网、渠网、路网、电网等建设，提高农田抗灾减灾能力、农田排灌能力和农机作业能力，大力推进高标准农田建设，通过实施土地平整、土壤改良、地力培肥等措施，逐步把永久基本农田全部建成高标准农田。规划期内，确保集中连片的永久基本农田全部建成为高标准农田。</w:t>
      </w:r>
    </w:p>
    <w:p>
      <w:pPr>
        <w:pStyle w:val="4"/>
      </w:pPr>
      <w:bookmarkStart w:id="66" w:name="_Hlk142899495"/>
      <w:bookmarkStart w:id="67" w:name="_Hlk142899869"/>
      <w:r>
        <w:rPr>
          <w:rFonts w:hint="eastAsia"/>
        </w:rPr>
        <w:t>强化耕地生态保护</w:t>
      </w:r>
    </w:p>
    <w:p>
      <w:pPr>
        <w:ind w:firstLine="640"/>
      </w:pPr>
      <w:r>
        <w:rPr>
          <w:rFonts w:hint="eastAsia"/>
        </w:rPr>
        <w:t>合理利用水土资源，持续改善耕地生态环境，实现耕地数量、质量、生态的协调统一。大力发展绿色农业，持续推进测土配方施肥，实现化肥农药减量增效，促进农村地区畜禽粪污、地膜和农作物秸秆资源化利用，防治土壤退化。</w:t>
      </w:r>
    </w:p>
    <w:p>
      <w:pPr>
        <w:ind w:firstLine="640"/>
      </w:pPr>
      <w:r>
        <w:rPr>
          <w:rFonts w:hint="eastAsia"/>
        </w:rPr>
        <w:t>加大农业节水力度，扩大低耗水、高耐旱作物种植比例，开展大中型灌区高效节水灌溉配套建设，提高灌溉水利用效率。加强农田水利基础设施建设，提高耕地防灾减灾能力，及时整治复垦灾毁耕地，保障农业生产秩序。强化耕地与周边生态系统协同保护，修复完善农田防护林网和耕地生态功能，恢复田间生物群落和生态链，建设健康稳定田园生态系统。</w:t>
      </w:r>
    </w:p>
    <w:bookmarkEnd w:id="66"/>
    <w:bookmarkEnd w:id="67"/>
    <w:p>
      <w:pPr>
        <w:pStyle w:val="3"/>
      </w:pPr>
      <w:bookmarkStart w:id="68" w:name="_Toc185606058"/>
      <w:r>
        <w:rPr>
          <w:rFonts w:hint="eastAsia"/>
        </w:rPr>
        <w:t>森林资源保护与利用</w:t>
      </w:r>
      <w:bookmarkEnd w:id="68"/>
    </w:p>
    <w:p>
      <w:pPr>
        <w:pStyle w:val="4"/>
      </w:pPr>
      <w:r>
        <w:rPr>
          <w:rFonts w:hint="eastAsia"/>
        </w:rPr>
        <w:t>落实</w:t>
      </w:r>
      <w:r>
        <w:t>森林资源</w:t>
      </w:r>
      <w:r>
        <w:rPr>
          <w:rFonts w:hint="eastAsia"/>
        </w:rPr>
        <w:t>保护任务</w:t>
      </w:r>
    </w:p>
    <w:p>
      <w:pPr>
        <w:spacing w:before="65"/>
        <w:ind w:firstLine="640"/>
      </w:pPr>
      <w:r>
        <w:rPr>
          <w:rFonts w:hint="eastAsia"/>
        </w:rPr>
        <w:t>加强乡域森林资源的保护，全面建立实施林长制，压实森林管理与保护责任，稳定林地保有量，提高森林覆盖率。重点完善嵩内高速沿线生态防护林带，湍河和道路两侧防护林带及农田林网等重要的森林源地建设，促使七里坪乡生态系统质量和稳定性进一步提升。</w:t>
      </w:r>
    </w:p>
    <w:p>
      <w:pPr>
        <w:spacing w:before="65"/>
        <w:ind w:firstLine="640"/>
      </w:pPr>
      <w:r>
        <w:rPr>
          <w:rFonts w:hint="eastAsia"/>
        </w:rPr>
        <w:t>优化</w:t>
      </w:r>
      <w:r>
        <w:t>林业生产</w:t>
      </w:r>
      <w:r>
        <w:rPr>
          <w:rFonts w:hint="eastAsia"/>
        </w:rPr>
        <w:t>布局</w:t>
      </w:r>
      <w:r>
        <w:t>，针对</w:t>
      </w:r>
      <w:r>
        <w:rPr>
          <w:rFonts w:hint="eastAsia"/>
        </w:rPr>
        <w:t>乡域</w:t>
      </w:r>
      <w:bookmarkStart w:id="69" w:name="_Hlk207360131"/>
      <w:r>
        <w:rPr>
          <w:rFonts w:hint="eastAsia"/>
        </w:rPr>
        <w:t>南部湍河</w:t>
      </w:r>
      <w:bookmarkEnd w:id="69"/>
      <w:r>
        <w:rPr>
          <w:rFonts w:hint="eastAsia"/>
        </w:rPr>
        <w:t>沿岸等</w:t>
      </w:r>
      <w:r>
        <w:t>重点区域</w:t>
      </w:r>
      <w:r>
        <w:rPr>
          <w:rFonts w:hint="eastAsia"/>
        </w:rPr>
        <w:t>，</w:t>
      </w:r>
      <w:r>
        <w:t>精准落实绿化空间、科学开展国土绿化</w:t>
      </w:r>
      <w:r>
        <w:rPr>
          <w:rFonts w:hint="eastAsia"/>
        </w:rPr>
        <w:t>。</w:t>
      </w:r>
      <w:bookmarkStart w:id="70" w:name="_Hlk200635027"/>
      <w:r>
        <w:t>至</w:t>
      </w:r>
      <w:r>
        <w:rPr>
          <w:rFonts w:hint="eastAsia"/>
        </w:rPr>
        <w:t>2035年</w:t>
      </w:r>
      <w:r>
        <w:t>，落实造林绿化空间</w:t>
      </w:r>
      <w:r>
        <w:rPr>
          <w:rFonts w:hint="eastAsia"/>
        </w:rPr>
        <w:t>212.57公顷</w:t>
      </w:r>
      <w:r>
        <w:t>。</w:t>
      </w:r>
      <w:bookmarkEnd w:id="70"/>
    </w:p>
    <w:p>
      <w:pPr>
        <w:pStyle w:val="4"/>
      </w:pPr>
      <w:r>
        <w:rPr>
          <w:rFonts w:hint="eastAsia"/>
        </w:rPr>
        <w:t>落实完善</w:t>
      </w:r>
      <w:r>
        <w:t>林地分类保护</w:t>
      </w:r>
      <w:r>
        <w:rPr>
          <w:rFonts w:hint="eastAsia"/>
        </w:rPr>
        <w:t>机制</w:t>
      </w:r>
    </w:p>
    <w:p>
      <w:pPr>
        <w:spacing w:before="65"/>
        <w:ind w:firstLine="640"/>
      </w:pPr>
      <w:bookmarkStart w:id="71" w:name="_Hlk208393497"/>
      <w:r>
        <w:rPr>
          <w:rFonts w:hint="eastAsia"/>
        </w:rPr>
        <w:t>全乡天然林面积29621.84</w:t>
      </w:r>
      <w:r>
        <w:t>公顷，占乡域面积的</w:t>
      </w:r>
      <w:r>
        <w:rPr>
          <w:rFonts w:hint="eastAsia"/>
        </w:rPr>
        <w:t>89.51</w:t>
      </w:r>
      <w:r>
        <w:t>%，主要分布于</w:t>
      </w:r>
      <w:bookmarkStart w:id="72" w:name="_Hlk207360272"/>
      <w:r>
        <w:t>北部</w:t>
      </w:r>
      <w:r>
        <w:rPr>
          <w:rFonts w:hint="eastAsia"/>
        </w:rPr>
        <w:t>和南部</w:t>
      </w:r>
      <w:r>
        <w:t>山区</w:t>
      </w:r>
      <w:bookmarkEnd w:id="72"/>
      <w:r>
        <w:rPr>
          <w:rFonts w:hint="eastAsia"/>
        </w:rPr>
        <w:t>。</w:t>
      </w:r>
      <w:r>
        <w:t>全</w:t>
      </w:r>
      <w:r>
        <w:rPr>
          <w:rFonts w:hint="eastAsia"/>
        </w:rPr>
        <w:t>乡</w:t>
      </w:r>
      <w:r>
        <w:t>生态公益林面积</w:t>
      </w:r>
      <w:r>
        <w:rPr>
          <w:rFonts w:hint="eastAsia"/>
        </w:rPr>
        <w:t>19012.94</w:t>
      </w:r>
      <w:r>
        <w:t>公顷，占</w:t>
      </w:r>
      <w:r>
        <w:rPr>
          <w:rFonts w:hint="eastAsia"/>
        </w:rPr>
        <w:t>乡</w:t>
      </w:r>
      <w:r>
        <w:t>域面积的</w:t>
      </w:r>
      <w:r>
        <w:rPr>
          <w:rFonts w:hint="eastAsia"/>
        </w:rPr>
        <w:t>57.45</w:t>
      </w:r>
      <w:r>
        <w:t>%，</w:t>
      </w:r>
      <w:r>
        <w:rPr>
          <w:rFonts w:hint="eastAsia"/>
        </w:rPr>
        <w:t>广泛分布于七潭村、野獐坪村、黄沙河村、大龙村、花园村、三道河村、高皇村等北部山区区域；全部位于后坪村、后会村、流峪村、寺坪村4个村庄范围内。</w:t>
      </w:r>
    </w:p>
    <w:bookmarkEnd w:id="71"/>
    <w:p>
      <w:pPr>
        <w:spacing w:before="65"/>
        <w:ind w:firstLine="640"/>
      </w:pPr>
      <w:r>
        <w:rPr>
          <w:rFonts w:hint="eastAsia"/>
        </w:rPr>
        <w:t>科学合理进行森林经营，严格遵守限额采伐和凭证采伐的管理制度，全面停止天然林商业性采伐，不得将天然林改造为人工林，不得擅自将公益林改为商品林。巩固提升生态系统碳汇能力，加强重大林业有害生物防治，保护古树名木及其自然环境，助推内乡县森林城市建设。</w:t>
      </w:r>
    </w:p>
    <w:p>
      <w:pPr>
        <w:pStyle w:val="4"/>
      </w:pPr>
      <w:r>
        <w:rPr>
          <w:rFonts w:hint="eastAsia"/>
        </w:rPr>
        <w:t>促进</w:t>
      </w:r>
      <w:r>
        <w:t>森林资源生态产品价值实现</w:t>
      </w:r>
    </w:p>
    <w:p>
      <w:pPr>
        <w:spacing w:before="65"/>
        <w:ind w:firstLine="640"/>
      </w:pPr>
      <w:r>
        <w:rPr>
          <w:rFonts w:hint="eastAsia"/>
        </w:rPr>
        <w:t>依托七里坪乡丰富的森林资源，重点</w:t>
      </w:r>
      <w:r>
        <w:t>在乡域北部</w:t>
      </w:r>
      <w:r>
        <w:rPr>
          <w:rFonts w:hint="eastAsia"/>
        </w:rPr>
        <w:t>推进特色经济林、林下经济、森林旅游等产业化集群建设。以七里坪乡传统</w:t>
      </w:r>
      <w:r>
        <w:t>林果</w:t>
      </w:r>
      <w:r>
        <w:rPr>
          <w:rFonts w:hint="eastAsia"/>
        </w:rPr>
        <w:t>特色产业为</w:t>
      </w:r>
      <w:r>
        <w:t>依托</w:t>
      </w:r>
      <w:r>
        <w:rPr>
          <w:rFonts w:hint="eastAsia"/>
        </w:rPr>
        <w:t>，推动传统产业优化升级，高标准打造野獐坪村、三道河村</w:t>
      </w:r>
      <w:r>
        <w:t>等</w:t>
      </w:r>
      <w:r>
        <w:rPr>
          <w:rFonts w:hint="eastAsia"/>
        </w:rPr>
        <w:t>森林生产基地。努力推进布局区域化、经营规模化、生产标准化、发展产业化，整合优势资源，以基地建设为载体，围绕“绿色、有机”特色，发展中药材、食用菌、禽类养殖等林下经济。构建以七星潭为主体的森林旅游体系，重点打造</w:t>
      </w:r>
      <w:r>
        <w:t>观光</w:t>
      </w:r>
      <w:r>
        <w:rPr>
          <w:rFonts w:hint="eastAsia"/>
        </w:rPr>
        <w:t>旅游体验，建设和完善接待、餐饮、消防、环卫等设施，提高服务保障能力，加快森林旅游产业发展。推进林业一二三产业融合发展，加快林业产业绿色化、优质化、特色化、品牌化建设。</w:t>
      </w:r>
    </w:p>
    <w:p>
      <w:pPr>
        <w:pStyle w:val="3"/>
      </w:pPr>
      <w:bookmarkStart w:id="73" w:name="_Toc200550527"/>
      <w:bookmarkStart w:id="74" w:name="_Hlk200562617"/>
      <w:r>
        <w:rPr>
          <w:rFonts w:hint="eastAsia"/>
        </w:rPr>
        <w:t>落实自然保护地体系</w:t>
      </w:r>
      <w:bookmarkEnd w:id="73"/>
    </w:p>
    <w:p>
      <w:pPr>
        <w:pStyle w:val="4"/>
      </w:pPr>
      <w:r>
        <w:rPr>
          <w:rFonts w:hint="eastAsia"/>
        </w:rPr>
        <w:t>落实自然保护地体系</w:t>
      </w:r>
    </w:p>
    <w:p>
      <w:pPr>
        <w:spacing w:before="65"/>
        <w:ind w:firstLine="640"/>
      </w:pPr>
      <w:r>
        <w:rPr>
          <w:rFonts w:hint="eastAsia"/>
        </w:rPr>
        <w:t>落实分类科学、布局合理、保护有力、管理有效的以国家公园为主体的自然保护地体系，确保重要自然生态系统、自然遗迹、自然景观和生物多样性及其演化过程得到系统性保护，提升生态产品供给能力。充分发挥自然保护地在生态文明建设中的重大作用，推进自然保护地体系构建工作。</w:t>
      </w:r>
    </w:p>
    <w:p>
      <w:pPr>
        <w:spacing w:before="65"/>
        <w:ind w:firstLine="640"/>
      </w:pPr>
      <w:r>
        <w:rPr>
          <w:rFonts w:hint="eastAsia"/>
        </w:rPr>
        <w:t>落实上位规划，七里坪乡自然保护地共五处，总面积17564.36公顷。其中，河南宝天曼国家级自然保护区面积2826.53公顷，分布于万沟林场、大龙村；河南伏牛山国家级自然保护区面积1220.13公顷，分布于万沟林场、黄沙河村；河南南阳恐龙蛋化石群国家级自然保护区面积1935.90公顷，分布于后坪村、马尾村、靳河村；河南内乡宝天曼国家地质公园面积9738.18，分布于大龙村、高皇村、黄沙河村、野獐坪村、花园村、三道河村、七潭村、万沟林场；河南内乡湍河湿地省级自然保护区面积1843.62，分布于后会村、流峪村、寺坪村、青山村、后坪村、高皇村、马尾村、三道河村</w:t>
      </w:r>
      <w:r>
        <w:t>。</w:t>
      </w:r>
    </w:p>
    <w:p>
      <w:pPr>
        <w:pStyle w:val="4"/>
      </w:pPr>
      <w:r>
        <w:t>加强自然保护地管控</w:t>
      </w:r>
    </w:p>
    <w:p>
      <w:pPr>
        <w:spacing w:before="65"/>
        <w:ind w:firstLine="640"/>
      </w:pPr>
      <w:r>
        <w:rPr>
          <w:rFonts w:hint="eastAsia"/>
        </w:rPr>
        <w:t>以加强自然生态系统原真性、完整性、系统性保护为原则，有序化解自然保护地各类矛盾冲突，大力推进山水林田湖草沙一体化保护和系统治理，强化水源涵养和生物多样性保护，维护自然生态系统健康稳定。以自然恢复为主，分区分类开展受损自然生态系统修复。基于各类自然保护地功能分区，制定建设项目负面清单与人为活动的限制要求，对自然保护地核心保护区和一般控制区实行差别化管控。</w:t>
      </w:r>
    </w:p>
    <w:p>
      <w:pPr>
        <w:spacing w:before="65"/>
        <w:ind w:firstLine="640"/>
      </w:pPr>
      <w:r>
        <w:rPr>
          <w:rFonts w:hint="eastAsia"/>
        </w:rPr>
        <w:t>位于河南宝天曼国家级自然保护区、河南伏牛山国家级自然保护区、河南南阳恐龙蛋化石群国家级自然保护区等自然保护区内的人类活动，在自然保护地整合优化方案批复前，须严格执行《自然保护区条例》规定，符合自然保护区管理的相关要求。</w:t>
      </w:r>
    </w:p>
    <w:bookmarkEnd w:id="74"/>
    <w:p>
      <w:pPr>
        <w:pStyle w:val="3"/>
      </w:pPr>
      <w:bookmarkStart w:id="75" w:name="_Toc185606059"/>
      <w:r>
        <w:rPr>
          <w:rFonts w:hint="eastAsia"/>
        </w:rPr>
        <w:t>湿地资源保护与利用</w:t>
      </w:r>
      <w:bookmarkEnd w:id="75"/>
    </w:p>
    <w:p>
      <w:pPr>
        <w:pStyle w:val="4"/>
      </w:pPr>
      <w:r>
        <w:rPr>
          <w:rFonts w:hint="eastAsia"/>
        </w:rPr>
        <w:t>落实湿地资源保护责任</w:t>
      </w:r>
    </w:p>
    <w:p>
      <w:pPr>
        <w:spacing w:before="65"/>
        <w:ind w:firstLine="640"/>
      </w:pPr>
      <w:r>
        <w:t>加强</w:t>
      </w:r>
      <w:r>
        <w:rPr>
          <w:rFonts w:hint="eastAsia"/>
        </w:rPr>
        <w:t>乡域</w:t>
      </w:r>
      <w:r>
        <w:t>湿地资源保护</w:t>
      </w:r>
      <w:r>
        <w:rPr>
          <w:rFonts w:hint="eastAsia"/>
        </w:rPr>
        <w:t>，严格保障湿地生态空间，落实</w:t>
      </w:r>
      <w:r>
        <w:t>湿地资源</w:t>
      </w:r>
      <w:r>
        <w:rPr>
          <w:rFonts w:hint="eastAsia"/>
        </w:rPr>
        <w:t>保护</w:t>
      </w:r>
      <w:r>
        <w:t>责任。</w:t>
      </w:r>
      <w:r>
        <w:rPr>
          <w:rFonts w:hint="eastAsia"/>
        </w:rPr>
        <w:t>全乡</w:t>
      </w:r>
      <w:r>
        <w:t>湿地面积36.</w:t>
      </w:r>
      <w:r>
        <w:rPr>
          <w:rFonts w:hint="eastAsia"/>
        </w:rPr>
        <w:t>89公顷</w:t>
      </w:r>
      <w:bookmarkStart w:id="76" w:name="_Hlk208393556"/>
      <w:r>
        <w:rPr>
          <w:rFonts w:hint="eastAsia"/>
        </w:rPr>
        <w:t>，</w:t>
      </w:r>
      <w:r>
        <w:t>主要</w:t>
      </w:r>
      <w:r>
        <w:rPr>
          <w:rFonts w:hint="eastAsia"/>
        </w:rPr>
        <w:t>分布于</w:t>
      </w:r>
      <w:r>
        <w:rPr>
          <w:rFonts w:hint="eastAsia" w:cs="宋体"/>
        </w:rPr>
        <w:t>湍河等</w:t>
      </w:r>
      <w:r>
        <w:rPr>
          <w:rFonts w:cs="宋体"/>
        </w:rPr>
        <w:t>河</w:t>
      </w:r>
      <w:r>
        <w:rPr>
          <w:rFonts w:hint="eastAsia" w:cs="宋体"/>
        </w:rPr>
        <w:t>流</w:t>
      </w:r>
      <w:r>
        <w:rPr>
          <w:rFonts w:cs="宋体"/>
        </w:rPr>
        <w:t>周边</w:t>
      </w:r>
      <w:bookmarkEnd w:id="76"/>
      <w:r>
        <w:rPr>
          <w:rFonts w:cs="宋体"/>
        </w:rPr>
        <w:t>。</w:t>
      </w:r>
    </w:p>
    <w:p>
      <w:pPr>
        <w:pStyle w:val="4"/>
      </w:pPr>
      <w:r>
        <w:rPr>
          <w:rFonts w:hint="eastAsia"/>
        </w:rPr>
        <w:t>加强湿地保护</w:t>
      </w:r>
      <w:r>
        <w:t>管理</w:t>
      </w:r>
    </w:p>
    <w:p>
      <w:pPr>
        <w:spacing w:before="65"/>
        <w:ind w:firstLine="640"/>
      </w:pPr>
      <w:r>
        <w:rPr>
          <w:rFonts w:hint="eastAsia" w:cs="宋体"/>
        </w:rPr>
        <w:t>加强</w:t>
      </w:r>
      <w:r>
        <w:rPr>
          <w:rFonts w:cs="宋体"/>
        </w:rPr>
        <w:t>湿地管理、</w:t>
      </w:r>
      <w:r>
        <w:rPr>
          <w:rFonts w:hint="eastAsia" w:cs="宋体"/>
        </w:rPr>
        <w:t>监测和</w:t>
      </w:r>
      <w:r>
        <w:rPr>
          <w:rFonts w:cs="宋体"/>
        </w:rPr>
        <w:t>科普宣教</w:t>
      </w:r>
      <w:r>
        <w:rPr>
          <w:rFonts w:hint="eastAsia" w:cs="宋体"/>
        </w:rPr>
        <w:t>，着力</w:t>
      </w:r>
      <w:r>
        <w:rPr>
          <w:rFonts w:cs="宋体"/>
        </w:rPr>
        <w:t>保护与恢复，提升湿地生态系统多样性、稳定性、持续性，层层落实湿地管理保护责任。严格控制</w:t>
      </w:r>
      <w:r>
        <w:rPr>
          <w:rFonts w:hint="eastAsia" w:cs="宋体"/>
        </w:rPr>
        <w:t>湍河</w:t>
      </w:r>
      <w:r>
        <w:rPr>
          <w:rFonts w:cs="宋体"/>
        </w:rPr>
        <w:t>等河</w:t>
      </w:r>
      <w:r>
        <w:rPr>
          <w:rFonts w:hint="eastAsia" w:cs="宋体"/>
        </w:rPr>
        <w:t>流周边</w:t>
      </w:r>
      <w:r>
        <w:rPr>
          <w:rFonts w:cs="宋体"/>
        </w:rPr>
        <w:t>农业面源</w:t>
      </w:r>
      <w:r>
        <w:rPr>
          <w:rFonts w:hint="eastAsia" w:cs="宋体"/>
        </w:rPr>
        <w:t>污染</w:t>
      </w:r>
      <w:r>
        <w:rPr>
          <w:rFonts w:cs="宋体"/>
        </w:rPr>
        <w:t>、工业污染和城</w:t>
      </w:r>
      <w:r>
        <w:rPr>
          <w:rFonts w:hint="eastAsia" w:cs="宋体"/>
        </w:rPr>
        <w:t>乡</w:t>
      </w:r>
      <w:r>
        <w:rPr>
          <w:rFonts w:cs="宋体"/>
        </w:rPr>
        <w:t>生活生产污染，定期对湿地周边区域的废弃物进行清理和集中处理，合理有序开展湿地资源生态化利用，全面保护湿地资源和实现可持续发展。</w:t>
      </w:r>
    </w:p>
    <w:p>
      <w:pPr>
        <w:pStyle w:val="3"/>
        <w:spacing w:before="326" w:beforeLines="100" w:after="326" w:afterLines="100"/>
      </w:pPr>
      <w:bookmarkStart w:id="77" w:name="_Toc185606060"/>
      <w:r>
        <w:t>建设用地节约集约利用</w:t>
      </w:r>
      <w:bookmarkEnd w:id="77"/>
    </w:p>
    <w:p>
      <w:pPr>
        <w:pStyle w:val="4"/>
      </w:pPr>
      <w:r>
        <w:rPr>
          <w:rFonts w:hint="eastAsia"/>
        </w:rPr>
        <w:t>实行总量控制，保障建设用地需求</w:t>
      </w:r>
    </w:p>
    <w:p>
      <w:pPr>
        <w:ind w:firstLine="640"/>
      </w:pPr>
      <w:r>
        <w:rPr>
          <w:rFonts w:hint="eastAsia"/>
        </w:rPr>
        <w:t>严控新增城乡用地规模。规划期末，城镇建设用地规模不超过0.03公顷，村庄建设用地不超过439.33公顷。有序引导、稳妥推进村庄建设用地节约集约利用，完善鼓励机制，鼓励农村闲置宅基地有偿退出和村庄低效建设用地再利用。鼓励对依法登记的村庄建设用地进行复合利用，发展乡村振兴产业，提高经济收益。</w:t>
      </w:r>
    </w:p>
    <w:p>
      <w:pPr>
        <w:ind w:firstLine="640"/>
      </w:pPr>
      <w:r>
        <w:rPr>
          <w:rFonts w:hint="eastAsia"/>
        </w:rPr>
        <w:t>保障区域基础设施用地和其他建设用地需求。强化保障交通、水利、能源等基础设施用地需求，全力提升自然资源要素保障能力；加强殡葬用地保障力度，乡域范围内预留不少于3.33公顷（50亩）的公益性公墓用地，鼓励与其他乡镇联合建立公墓。</w:t>
      </w:r>
    </w:p>
    <w:p>
      <w:pPr>
        <w:pStyle w:val="4"/>
      </w:pPr>
      <w:r>
        <w:rPr>
          <w:rFonts w:hint="eastAsia"/>
        </w:rPr>
        <w:t>优配增量，精准新增建设用地</w:t>
      </w:r>
    </w:p>
    <w:p>
      <w:pPr>
        <w:ind w:firstLine="640"/>
      </w:pPr>
      <w:bookmarkStart w:id="78" w:name="_Hlk208393660"/>
      <w:r>
        <w:rPr>
          <w:rFonts w:hint="eastAsia"/>
        </w:rPr>
        <w:t>在村庄建设边界划定中，</w:t>
      </w:r>
      <w:bookmarkStart w:id="79" w:name="OLE_LINK3"/>
      <w:r>
        <w:rPr>
          <w:rFonts w:hint="eastAsia"/>
        </w:rPr>
        <w:t>七里坪乡</w:t>
      </w:r>
      <w:bookmarkEnd w:id="79"/>
      <w:r>
        <w:rPr>
          <w:rFonts w:hint="eastAsia"/>
        </w:rPr>
        <w:t>调入的村庄建设边界指标主要用于满足乡村振兴的产业用地需求和合理的宅基地需求，在乡域调入的40.51公顷村庄建设边界指标中，产业用地面积为23.41公顷，宅基地面积为11.17公顷，基础设施、公共服务设施和未明确用途的用地面积为5.93公顷。在空间位置分布上，七里坪乡调入的村庄建设边界指标重点向集镇区附近的后坪村、张洼村和青山村等区域集聚。</w:t>
      </w:r>
    </w:p>
    <w:p>
      <w:pPr>
        <w:ind w:firstLine="640"/>
      </w:pPr>
      <w:r>
        <w:rPr>
          <w:rFonts w:hint="eastAsia"/>
        </w:rPr>
        <w:t>七里坪乡村庄建设边界预留机动指标3.02公顷，暂不上图落位，通过台账进行管理，用于保障暂时无法确定位置的村民居住、农村公共公益设施以及零星分散的农（矿）产品初加工、乡村文旅设施、农村新产业新业态等一二三产业融合发展用地需求。在不占用永久基本农田和生态保护红线、不破坏历史风貌和影响自然环境安全的前提下使用机动指标，可暂不做规划调整，待办理农用地转用时明确规划用地性质、规模和布局，农用地转用批准后更新国土空间规划“一张图”。</w:t>
      </w:r>
    </w:p>
    <w:bookmarkEnd w:id="78"/>
    <w:p>
      <w:pPr>
        <w:pStyle w:val="4"/>
      </w:pPr>
      <w:r>
        <w:rPr>
          <w:rFonts w:hint="eastAsia"/>
        </w:rPr>
        <w:t>盘活建设用地存量</w:t>
      </w:r>
    </w:p>
    <w:p>
      <w:pPr>
        <w:ind w:firstLine="640"/>
      </w:pPr>
      <w:r>
        <w:rPr>
          <w:rFonts w:hint="eastAsia"/>
        </w:rPr>
        <w:t>推进闲置地、废弃地等存量建设用地盘活利用，遏制村庄用地“沿路跑”和“空心化”现象，鼓励村民在旧房屋原址上新建房屋。分类施策，实施存量建设用地功能转换，对闲置宅基地和住宅进行整理，因地制宜盘活利用。闲置宅基地可建成游园、文化广场，闲置住宅可建成村史馆、图书室、活动室等村民活动场所，对有利用价值的闲置住宅倡导发展文化旅游和开展农事体验活动等。对低效城乡用地进行用地调整，满足商业服务、公共服务设施、住宅等用地需求，提高存量建设用地使用效率。</w:t>
      </w:r>
    </w:p>
    <w:p>
      <w:pPr>
        <w:pStyle w:val="4"/>
      </w:pPr>
      <w:r>
        <w:rPr>
          <w:rFonts w:hint="eastAsia"/>
        </w:rPr>
        <w:t>提升建设用地节约集约利用水平</w:t>
      </w:r>
    </w:p>
    <w:p>
      <w:pPr>
        <w:ind w:firstLine="640"/>
      </w:pPr>
      <w:r>
        <w:rPr>
          <w:rFonts w:hint="eastAsia"/>
        </w:rPr>
        <w:t>落实农村宅基地“一户一宅”规定，新增宅基地应优先利用原有宅基地和村内空闲地，建立健全闲置宅基地退出机制和再利用机制。对于农村新建、改建、扩建、翻建住房的，按照《内乡县农村宅基地管理办法（试行）》、《内乡县村民自建住房管理办法（试行）》(内政〔2022〕7号)规定执行。村民自建住房原则上以不超过三层的低层住宅为主。城填郊区和人均耕地少于667平方米的平原地区，每户宅基地面积不得超过134平方米；人均耕地667平方米以上的平原地区，每户宅基地面积不得超过167平方米；山区、丘陵地区每户宅基地面积不得超过200平方米。按照村庄规划引导农民依法建房，优化农村居民点布局，提高土地利用效益。严格执行建设项目用地标准控制制度，合理提高建设用地开发强度，创新节地模式，推广节地技术。</w:t>
      </w:r>
    </w:p>
    <w:p>
      <w:pPr>
        <w:pStyle w:val="3"/>
      </w:pPr>
      <w:bookmarkStart w:id="80" w:name="_Toc185606061"/>
      <w:r>
        <w:rPr>
          <w:rFonts w:hint="eastAsia"/>
        </w:rPr>
        <w:t>水资源保护与利用</w:t>
      </w:r>
      <w:bookmarkEnd w:id="80"/>
    </w:p>
    <w:p>
      <w:pPr>
        <w:pStyle w:val="4"/>
      </w:pPr>
      <w:r>
        <w:rPr>
          <w:rFonts w:hint="eastAsia"/>
        </w:rPr>
        <w:t>落实水资源保护范围</w:t>
      </w:r>
    </w:p>
    <w:p>
      <w:pPr>
        <w:spacing w:before="65"/>
        <w:ind w:firstLine="640"/>
      </w:pPr>
      <w:bookmarkStart w:id="81" w:name="_Hlk209626388"/>
      <w:r>
        <w:rPr>
          <w:rFonts w:hint="eastAsia"/>
        </w:rPr>
        <w:t>落实七里坪乡地下水井水源保护区范围24.00公顷，为一级保护区，位于七里坪乡后坪村</w:t>
      </w:r>
      <w:bookmarkEnd w:id="81"/>
      <w:r>
        <w:t>。</w:t>
      </w:r>
    </w:p>
    <w:p>
      <w:pPr>
        <w:pStyle w:val="4"/>
      </w:pPr>
      <w:r>
        <w:rPr>
          <w:rFonts w:hint="eastAsia"/>
        </w:rPr>
        <w:t>加强河湖水域岸线空间管控及水生态治理</w:t>
      </w:r>
    </w:p>
    <w:p>
      <w:pPr>
        <w:ind w:firstLine="640"/>
      </w:pPr>
      <w:r>
        <w:rPr>
          <w:rFonts w:hint="eastAsia"/>
        </w:rPr>
        <w:t>落实湍河、黄沙河等河道管理范围线，严格河湖水域岸线用途管制，强化涉河建设项目管理，规范各类涉水行为，限制或禁止各种损害生态系统水源涵养功能的经济社会活动和生产方式。开展妨碍河道行洪突出问题排查整治，全面落实采砂管理责任，规范河道砂石利用管理，开展河道非法采砂专项整治。加快水生态修复，开展内乡县湍河水环境综合治理项目等生态修复工作，全面推进河湖水域岸线生态修复，保障河流生态水量，建设沿岸生态廊道。</w:t>
      </w:r>
    </w:p>
    <w:p>
      <w:pPr>
        <w:pStyle w:val="4"/>
      </w:pPr>
      <w:r>
        <w:rPr>
          <w:rFonts w:hint="eastAsia"/>
        </w:rPr>
        <w:t>加强水资源节约利用</w:t>
      </w:r>
    </w:p>
    <w:p>
      <w:pPr>
        <w:spacing w:before="65"/>
        <w:ind w:firstLine="640"/>
      </w:pPr>
      <w:r>
        <w:rPr>
          <w:rFonts w:hint="eastAsia"/>
        </w:rPr>
        <w:t>优先保障城乡居民生活用水，合理安排工业和农业用水，建立多种水源联合调配机制，优先利地表水，在保证乡镇生活用水的前提下，严格控制地下水开采程度，加大再生水和雨水资源化利用。加快城乡供水管网节水改造，减低供水管网漏损率。全面开展节水型单位、居民小区创建活动，持续推广普及生活节水器具，加强学校、医院、宾馆、餐饮、洗浴等重点行业节水技术改造。</w:t>
      </w:r>
    </w:p>
    <w:p>
      <w:pPr>
        <w:spacing w:before="65"/>
        <w:ind w:firstLine="640"/>
      </w:pPr>
      <w:r>
        <w:rPr>
          <w:rFonts w:hint="eastAsia"/>
        </w:rPr>
        <w:t>坚持节水优先，推进节水型社会建设。优化调整产业结构与布局，按照清洁生产和循环经济的标准，凡是生产规模、工艺不符合国家产业政策要求的企业，应坚决予以关停。加强农业节水建设，大力发展高效节水灌溉农业。加强供水管网维护管理，大力推广普及节水器具和产品，提高水资源利用效率。重点做好灌区提升工程、生态水系工程等重点项目，创建一批节水型示范企业。加快灌溉工程的配套、挖潜与改造，推广管道输水灌溉、喷灌、微灌等高效节水灌溉技术。</w:t>
      </w:r>
    </w:p>
    <w:p>
      <w:pPr>
        <w:pStyle w:val="4"/>
      </w:pPr>
      <w:r>
        <w:rPr>
          <w:rFonts w:hint="eastAsia"/>
        </w:rPr>
        <w:t>加强水污染防治</w:t>
      </w:r>
    </w:p>
    <w:p>
      <w:pPr>
        <w:spacing w:before="65"/>
        <w:ind w:firstLine="640"/>
      </w:pPr>
      <w:r>
        <w:rPr>
          <w:rFonts w:hint="eastAsia"/>
        </w:rPr>
        <w:t>强化水污染治理</w:t>
      </w:r>
      <w:r>
        <w:t>。推进农村生活污水处理设施和管网建设。持续推进化肥、农药的减量化，积极开展试点地块实施化肥农药利用率测算。严控涉水工业项目，加强企业监管。</w:t>
      </w:r>
    </w:p>
    <w:p>
      <w:pPr>
        <w:spacing w:before="65"/>
        <w:ind w:firstLine="640"/>
      </w:pPr>
      <w:r>
        <w:rPr>
          <w:rFonts w:hint="eastAsia"/>
        </w:rPr>
        <w:t>保障饮用水水源水质安全。强化饮用水水源风险防控，完善饮用水水源污染事故应急预案，确保乡集中式饮用水源地取水、供水厂、用水水龙头水质达标率</w:t>
      </w:r>
      <w:r>
        <w:t>100%，集中式饮用水源地水质优良比例100%，农村饮用水达标人口覆盖率100%。</w:t>
      </w:r>
    </w:p>
    <w:p>
      <w:pPr>
        <w:spacing w:before="65"/>
        <w:ind w:firstLine="640"/>
      </w:pPr>
      <w:r>
        <w:rPr>
          <w:rFonts w:hint="eastAsia"/>
        </w:rPr>
        <w:t>控制工业水污染物排放。切实执行排污许可证制度。强化工业企业水污染深度治理和工艺技术改造力度，配合完善先进制造业开发区污水处理管网，大力开展污水深度处理。</w:t>
      </w:r>
    </w:p>
    <w:p>
      <w:pPr>
        <w:spacing w:before="65"/>
        <w:ind w:firstLine="640"/>
      </w:pPr>
      <w:r>
        <w:rPr>
          <w:rFonts w:hint="eastAsia"/>
        </w:rPr>
        <w:t>强化河流综合整治力度。以“河长制”落实“河常治”，对于纳入河长制管理范围的</w:t>
      </w:r>
      <w:r>
        <w:t>河流、水库，保持巡河力度，强化日常监管。持续开展河湖库塘清淤，加强淤泥检测、清理、排放、运输、处置的全过程管理，探索建立清淤轮疏长效机制。</w:t>
      </w:r>
    </w:p>
    <w:p>
      <w:pPr>
        <w:spacing w:before="65"/>
        <w:ind w:firstLine="640"/>
      </w:pPr>
      <w:r>
        <w:rPr>
          <w:rFonts w:hint="eastAsia"/>
        </w:rPr>
        <w:t>开展农村黑臭水体排查与整治。积极开展农村黑臭水体综合整治专项行动，对乡域内黑臭水体进行梳理盘点、实地勘查，通过集体研究、分类施策。切实加强对黑臭水体的日常管理和巡查管控，严管向黑臭水体倾倒垃圾、污水、废弃物等不文明行为，并通过村级公示栏、村民微信群进行曝光，增强群众爱护环境的思想意识和行为自觉，确保黑臭水体有人清、有人管，实现水环境的长期干净、整洁。到</w:t>
      </w:r>
      <w:r>
        <w:t>2025年，实现</w:t>
      </w:r>
      <w:r>
        <w:rPr>
          <w:rFonts w:hint="eastAsia"/>
        </w:rPr>
        <w:t>全乡</w:t>
      </w:r>
      <w:r>
        <w:t>农村黑臭水体得到治理；规划期，确保农村黑臭水体动态清零。</w:t>
      </w:r>
    </w:p>
    <w:p>
      <w:pPr>
        <w:spacing w:before="65"/>
        <w:ind w:firstLine="640"/>
      </w:pPr>
      <w:r>
        <w:rPr>
          <w:rFonts w:hint="eastAsia"/>
        </w:rPr>
        <w:t>提高农村无害化厕所普及率。科学选择改厕技术模式，积极引进适合本地实际的改厕技术和产品。持续开展农村厕所革命“回头看”，改造提升未按标准规范建设的卫生厕所。加强粪污处理利用，鼓励联村、联户、村镇一体处理；鼓励因户制宜推进农户黑灰水就地处理利用。推进农村厕所粪污资源化利用。加强集中污水处理设施及厕所粪后段集中处理设施建设，委托第三方进行后期管护，增设公益岗位，持续完成上级目标任务。</w:t>
      </w:r>
    </w:p>
    <w:p>
      <w:pPr>
        <w:spacing w:before="65"/>
        <w:ind w:firstLine="640"/>
      </w:pPr>
      <w:r>
        <w:rPr>
          <w:rFonts w:hint="eastAsia"/>
        </w:rPr>
        <w:t>加强水生态建设，维护水系健康。加强河湖水域岸线管理，对河道、水库、湖泊等水域空间及其防护空间进行重点保护，严格建设管控。开展滨水带、重点湖库及小流域水土流失综合治理，保护水生态安全。落实矿产资源</w:t>
      </w:r>
      <w:r>
        <w:t>保护利用</w:t>
      </w:r>
      <w:r>
        <w:rPr>
          <w:rFonts w:hint="eastAsia"/>
        </w:rPr>
        <w:t>布局</w:t>
      </w:r>
    </w:p>
    <w:p>
      <w:pPr>
        <w:pStyle w:val="3"/>
      </w:pPr>
      <w:bookmarkStart w:id="82" w:name="_Toc200524219"/>
      <w:bookmarkStart w:id="83" w:name="_Toc200550531"/>
      <w:r>
        <w:rPr>
          <w:rFonts w:hint="eastAsia"/>
        </w:rPr>
        <w:t>矿产资源保护和利用</w:t>
      </w:r>
      <w:bookmarkEnd w:id="82"/>
      <w:bookmarkEnd w:id="83"/>
    </w:p>
    <w:p>
      <w:pPr>
        <w:pStyle w:val="4"/>
      </w:pPr>
      <w:r>
        <w:t>保护与利用目标</w:t>
      </w:r>
    </w:p>
    <w:p>
      <w:pPr>
        <w:ind w:firstLine="640"/>
      </w:pPr>
      <w:r>
        <w:rPr>
          <w:rFonts w:hint="eastAsia"/>
        </w:rPr>
        <w:t>统筹协调矿产资源开发与保护的关系，严格控制矿产资源开发强度，优化矿产资源勘查和开发利用布局，提高矿产资源综合利用效率，推进矿山地质环境恢复治理体系建设。</w:t>
      </w:r>
    </w:p>
    <w:p>
      <w:pPr>
        <w:ind w:firstLine="640"/>
      </w:pPr>
      <w:r>
        <w:rPr>
          <w:rFonts w:hint="eastAsia"/>
        </w:rPr>
        <w:t>确定矿产资源开发的主要区域。划定内乡县七里坪乡韭菜山饰面花岗岩矿、西峡米坪为煤炭重点开采区，在重点开采区内加强统筹部署，优先出让采矿权，积极引导各类要素向重点开采区集聚。</w:t>
      </w:r>
    </w:p>
    <w:p>
      <w:pPr>
        <w:ind w:firstLine="640"/>
      </w:pPr>
      <w:r>
        <w:rPr>
          <w:rFonts w:hint="eastAsia"/>
        </w:rPr>
        <w:t>明确矿产开发的“三率”指标。大力推动主要矿种生产矿产采用先进的采选技术和设备，矿产资源利用指标不得低于国家规定、行业标准和自然资源部门制定的最低“三率”指标要求。煤炭回采率不低于</w:t>
      </w:r>
      <w:r>
        <w:t>80%，煤矸石综合利用率不低</w:t>
      </w:r>
      <w:r>
        <w:rPr>
          <w:rFonts w:hint="eastAsia"/>
        </w:rPr>
        <w:t>于</w:t>
      </w:r>
      <w:r>
        <w:t>75%。到2035年，矿产资源保障程度进一步提升，资源</w:t>
      </w:r>
      <w:r>
        <w:rPr>
          <w:rFonts w:hint="eastAsia"/>
        </w:rPr>
        <w:t>供应能力持续稳定，矿区生态环境实现根本好转，矿业实现全面转型升级和绿色发展，生态保护和矿业高质量发展相协调的发展格局全面形成。</w:t>
      </w:r>
    </w:p>
    <w:p>
      <w:pPr>
        <w:pStyle w:val="4"/>
      </w:pPr>
      <w:r>
        <w:t>加快推进绿色矿区建设</w:t>
      </w:r>
    </w:p>
    <w:p>
      <w:pPr>
        <w:ind w:firstLine="640"/>
      </w:pPr>
      <w:r>
        <w:rPr>
          <w:rFonts w:hint="eastAsia"/>
        </w:rPr>
        <w:t>以矿产开发综合利用、生态环境保护和促进矿地和谐为主要目标，督促和支持企业统筹矿产开采与环境保护、企业发展与社区建设的关系，通过创建绿色矿业示范单位，带动和推进绿色矿区、和谐矿区建设。规划期内，建立完善的绿色矿区建设和管理制度，研究形成配套绿色矿区建设的激励政策。</w:t>
      </w:r>
    </w:p>
    <w:p>
      <w:pPr>
        <w:pStyle w:val="4"/>
      </w:pPr>
      <w:r>
        <w:t>提高矿产资源开发利用水平</w:t>
      </w:r>
    </w:p>
    <w:p>
      <w:pPr>
        <w:ind w:firstLine="640"/>
      </w:pPr>
      <w:r>
        <w:rPr>
          <w:rFonts w:hint="eastAsia"/>
        </w:rPr>
        <w:t>合理处置</w:t>
      </w:r>
      <w:r>
        <w:rPr>
          <w:rFonts w:hint="eastAsia" w:ascii="仿宋_GB2312" w:hAnsi="仿宋_GB2312" w:cs="仿宋_GB2312"/>
        </w:rPr>
        <w:t>现状矿业权，促进产业转型升级，提高资源集</w:t>
      </w:r>
      <w:r>
        <w:rPr>
          <w:rFonts w:hint="eastAsia"/>
        </w:rPr>
        <w:t>中度，规模会、集约化开发利用矿产资源。强化资源高效利用技术、废石尾矿资源化利用技术及节能环保关键技术的应用，向无尾矿、无废弃物矿产发展。加强共生矿、伴生矿等各类资源综合利用情况调查与可利用评价，支撑矿产资源综合利用、梯次利用、循环利用。</w:t>
      </w:r>
    </w:p>
    <w:p>
      <w:pPr>
        <w:spacing w:before="65"/>
        <w:ind w:firstLine="640"/>
      </w:pPr>
      <w:r>
        <w:br w:type="page"/>
      </w:r>
    </w:p>
    <w:p>
      <w:pPr>
        <w:spacing w:before="65"/>
        <w:ind w:firstLine="640"/>
      </w:pPr>
    </w:p>
    <w:p>
      <w:pPr>
        <w:pStyle w:val="2"/>
      </w:pPr>
      <w:bookmarkStart w:id="84" w:name="_Toc209773046"/>
      <w:bookmarkStart w:id="85" w:name="_Toc185606062"/>
      <w:r>
        <w:rPr>
          <w:rFonts w:hint="eastAsia"/>
        </w:rPr>
        <w:t>产业规划</w:t>
      </w:r>
      <w:bookmarkEnd w:id="84"/>
      <w:bookmarkEnd w:id="85"/>
    </w:p>
    <w:p>
      <w:pPr>
        <w:pStyle w:val="3"/>
        <w:spacing w:before="326" w:beforeLines="100" w:after="326" w:afterLines="100"/>
      </w:pPr>
      <w:bookmarkStart w:id="86" w:name="_Toc185606063"/>
      <w:r>
        <w:rPr>
          <w:rFonts w:hint="eastAsia"/>
        </w:rPr>
        <w:t>产业规划</w:t>
      </w:r>
      <w:bookmarkEnd w:id="86"/>
    </w:p>
    <w:p>
      <w:pPr>
        <w:pStyle w:val="4"/>
      </w:pPr>
      <w:r>
        <w:rPr>
          <w:rFonts w:hint="eastAsia"/>
        </w:rPr>
        <w:t>产业发展策略</w:t>
      </w:r>
    </w:p>
    <w:p>
      <w:pPr>
        <w:spacing w:before="65"/>
        <w:ind w:firstLine="640"/>
      </w:pPr>
      <w:r>
        <w:t>优化第一产业</w:t>
      </w:r>
      <w:r>
        <w:rPr>
          <w:rFonts w:hint="eastAsia"/>
        </w:rPr>
        <w:t>，优化种植结构，建食用菌、林果、花卉等生产基地，实现农业生产的专业化、现代化；与二三产结合，发展农产品加工及深加工、农业观光体验等，提高农产品附加值，形成特色化、多元化的产业发展模式。</w:t>
      </w:r>
    </w:p>
    <w:p>
      <w:pPr>
        <w:spacing w:before="65"/>
        <w:ind w:firstLine="640"/>
      </w:pPr>
      <w:r>
        <w:t>发展壮大第二产业</w:t>
      </w:r>
      <w:r>
        <w:rPr>
          <w:rFonts w:hint="eastAsia"/>
        </w:rPr>
        <w:t>，依托现状石材开采加工、建材加工、日用品加工、食品加工产业，继续发展壮大第二产业；大力发展农副产品加工，规划在集镇区北部形成工业发展区等。</w:t>
      </w:r>
    </w:p>
    <w:p>
      <w:pPr>
        <w:spacing w:before="65"/>
        <w:ind w:firstLine="640"/>
      </w:pPr>
      <w:r>
        <w:t>强化第三产业</w:t>
      </w:r>
      <w:r>
        <w:rPr>
          <w:rFonts w:hint="eastAsia"/>
        </w:rPr>
        <w:t>，整合现状的天心洞、七星潭景区等自然资源，积极拓展周围旅游观光空间和价值，发展旅游业；规划在集镇区西北侧形成旅游服务中心，完善相关配套设施建设，逐步提高游客接待能力，带动周边商业和服务业的发展</w:t>
      </w:r>
      <w:r>
        <w:t>。</w:t>
      </w:r>
    </w:p>
    <w:p>
      <w:pPr>
        <w:spacing w:before="65"/>
        <w:ind w:firstLine="640"/>
      </w:pPr>
      <w:r>
        <w:rPr>
          <w:rFonts w:hint="eastAsia"/>
        </w:rPr>
        <w:t>依托特色农业的建设和文化资源，以民俗体验、农业观光带动乡村农旅发展，构建全域农业景观，大力发展休闲农业等旅游业，推动一产的“接二连三”，实现全域产业的循环发展，构建产城融合的全产业链和循环经济模式，形成以“文旅+生态”为主导的旅游产业生态系统</w:t>
      </w:r>
      <w:r>
        <w:t>。</w:t>
      </w:r>
    </w:p>
    <w:p>
      <w:pPr>
        <w:spacing w:before="65"/>
        <w:ind w:firstLine="640"/>
      </w:pPr>
      <w:r>
        <w:rPr>
          <w:rFonts w:hint="eastAsia"/>
        </w:rPr>
        <w:t>完善七里坪乡集镇区各项公共服务职能，加快推进旅游服务的相关配套设施建设，提升集镇区综合服务水平，为七里坪乡产业发展提供强有力的支撑。</w:t>
      </w:r>
    </w:p>
    <w:p>
      <w:pPr>
        <w:pStyle w:val="4"/>
      </w:pPr>
      <w:bookmarkStart w:id="87" w:name="_Hlk200635407"/>
      <w:r>
        <w:rPr>
          <w:rFonts w:hint="eastAsia"/>
        </w:rPr>
        <w:t>主导产业</w:t>
      </w:r>
    </w:p>
    <w:p>
      <w:pPr>
        <w:spacing w:before="65"/>
        <w:ind w:firstLine="640"/>
      </w:pPr>
      <w:r>
        <w:rPr>
          <w:rFonts w:hint="eastAsia"/>
        </w:rPr>
        <w:t>七里坪乡产业发展规划为以巩固农业基础地位为根本，大力发展特色农产品；加大工业投入力度，提升食用菌、林果、花卉等特色农产品产出，形成产业链；以生态旅游、康养度假为基础，加快第三产业的发展。</w:t>
      </w:r>
    </w:p>
    <w:p>
      <w:pPr>
        <w:spacing w:before="65"/>
        <w:ind w:firstLine="640"/>
      </w:pPr>
      <w:r>
        <w:rPr>
          <w:rFonts w:hint="eastAsia"/>
        </w:rPr>
        <w:t>结合上位规划和现有发展条件及优势，</w:t>
      </w:r>
      <w:bookmarkStart w:id="88" w:name="_Hlk208394751"/>
      <w:r>
        <w:rPr>
          <w:rFonts w:hint="eastAsia"/>
        </w:rPr>
        <w:t>明确七里坪乡主导产业为</w:t>
      </w:r>
      <w:bookmarkStart w:id="89" w:name="_Hlk200557598"/>
      <w:r>
        <w:rPr>
          <w:rFonts w:hint="eastAsia"/>
        </w:rPr>
        <w:t>生态旅游、康养度假、特色农业种植、特色农副产品（中草药、烟叶等）生产加工</w:t>
      </w:r>
      <w:bookmarkEnd w:id="89"/>
      <w:r>
        <w:rPr>
          <w:rFonts w:hint="eastAsia"/>
        </w:rPr>
        <w:t>。</w:t>
      </w:r>
    </w:p>
    <w:bookmarkEnd w:id="87"/>
    <w:bookmarkEnd w:id="88"/>
    <w:p>
      <w:pPr>
        <w:pStyle w:val="4"/>
      </w:pPr>
      <w:r>
        <w:rPr>
          <w:rFonts w:hint="eastAsia"/>
        </w:rPr>
        <w:t>优化产业布局</w:t>
      </w:r>
    </w:p>
    <w:p>
      <w:pPr>
        <w:spacing w:before="65"/>
        <w:ind w:firstLine="640"/>
      </w:pPr>
      <w:r>
        <w:rPr>
          <w:rFonts w:hint="eastAsia"/>
        </w:rPr>
        <w:t>统筹产业发展方向及产业用地布局，规划形成“一心、两轴、三区、多基地”的产业布局。</w:t>
      </w:r>
    </w:p>
    <w:p>
      <w:pPr>
        <w:spacing w:before="65"/>
        <w:ind w:firstLine="640"/>
      </w:pPr>
      <w:r>
        <w:rPr>
          <w:rFonts w:hint="eastAsia"/>
        </w:rPr>
        <w:t>一心：主要结合集镇区旅游服务设施和商贸服务设施形成的游客服务中心。</w:t>
      </w:r>
    </w:p>
    <w:p>
      <w:pPr>
        <w:spacing w:before="65"/>
        <w:ind w:firstLine="640"/>
      </w:pPr>
      <w:r>
        <w:rPr>
          <w:rFonts w:hint="eastAsia"/>
        </w:rPr>
        <w:t>两轴：沿G241、S243形成的“十字型”产业发展轴，串联乡镇内村庄及发展节点。</w:t>
      </w:r>
    </w:p>
    <w:p>
      <w:pPr>
        <w:spacing w:before="65"/>
        <w:ind w:firstLine="640"/>
      </w:pPr>
      <w:r>
        <w:rPr>
          <w:rFonts w:hint="eastAsia"/>
        </w:rPr>
        <w:t>三区：北部主要为生态保育区；中部特色种植区以花卉种植为主；南部特色种植区以林果、食用菌种植为主。</w:t>
      </w:r>
    </w:p>
    <w:p>
      <w:pPr>
        <w:spacing w:before="65"/>
        <w:ind w:firstLine="640"/>
      </w:pPr>
      <w:r>
        <w:rPr>
          <w:rFonts w:hint="eastAsia"/>
        </w:rPr>
        <w:t>多基地：主要发挥特色优势农业，打造林果、花卉、食用菌、中药材、生态旅游等多个特色基地。</w:t>
      </w:r>
    </w:p>
    <w:p>
      <w:pPr>
        <w:pStyle w:val="3"/>
      </w:pPr>
      <w:bookmarkStart w:id="90" w:name="_Toc200524222"/>
      <w:bookmarkStart w:id="91" w:name="_Toc200550534"/>
      <w:bookmarkStart w:id="92" w:name="_Hlk200635653"/>
      <w:bookmarkStart w:id="93" w:name="_Hlk200563381"/>
      <w:r>
        <w:rPr>
          <w:rFonts w:hint="eastAsia"/>
        </w:rPr>
        <w:t>产业用地保障</w:t>
      </w:r>
      <w:bookmarkEnd w:id="90"/>
      <w:bookmarkEnd w:id="91"/>
    </w:p>
    <w:p>
      <w:pPr>
        <w:pStyle w:val="4"/>
      </w:pPr>
      <w:r>
        <w:rPr>
          <w:rFonts w:hint="eastAsia"/>
        </w:rPr>
        <w:t>产业用地规划</w:t>
      </w:r>
    </w:p>
    <w:p>
      <w:pPr>
        <w:ind w:firstLine="640"/>
      </w:pPr>
      <w:r>
        <w:rPr>
          <w:rFonts w:hint="eastAsia"/>
        </w:rPr>
        <w:t>本次规划产业用地主要包括工业用地、仓储用地、商业服务业用地，原则上，新规划产业用地均位于村庄建设边界内。</w:t>
      </w:r>
    </w:p>
    <w:p>
      <w:pPr>
        <w:ind w:firstLine="640"/>
      </w:pPr>
      <w:r>
        <w:rPr>
          <w:rFonts w:hint="eastAsia"/>
        </w:rPr>
        <w:t>集镇区范围内规划新增工业用地9.65公顷，用于发展特色农产品加工；规划新增仓储用地1.60公顷，用于发展粮食收储、果蔬冷链储存等产业需求；规划新增商业服务业用地为11.46公顷，用于满足商业商贸需求。</w:t>
      </w:r>
    </w:p>
    <w:p>
      <w:pPr>
        <w:ind w:firstLine="640"/>
      </w:pPr>
      <w:r>
        <w:rPr>
          <w:rFonts w:hint="eastAsia"/>
        </w:rPr>
        <w:t>村庄建设边界内新增产业用地为23.41公顷，主要发展农产品加工、仓储保鲜冷链、乡村旅游旅游等一二三产融合发展项目。</w:t>
      </w:r>
    </w:p>
    <w:p>
      <w:pPr>
        <w:pStyle w:val="4"/>
      </w:pPr>
      <w:r>
        <w:rPr>
          <w:rFonts w:hint="eastAsia"/>
        </w:rPr>
        <w:t>产业准入清单</w:t>
      </w:r>
    </w:p>
    <w:p>
      <w:pPr>
        <w:spacing w:before="65"/>
        <w:ind w:firstLine="640"/>
      </w:pPr>
      <w:bookmarkStart w:id="94" w:name="_Hlk200523775"/>
      <w:bookmarkStart w:id="95" w:name="_Hlk200523747"/>
      <w:r>
        <w:rPr>
          <w:rFonts w:hint="eastAsia"/>
        </w:rPr>
        <w:t>在村庄建设边界外，主要布局农、林、牧、渔业。</w:t>
      </w:r>
    </w:p>
    <w:p>
      <w:pPr>
        <w:spacing w:before="65"/>
        <w:ind w:firstLine="640"/>
      </w:pPr>
      <w:r>
        <w:rPr>
          <w:rFonts w:hint="eastAsia"/>
        </w:rPr>
        <w:t>在村庄建设边界内，主要布局一直接服务种植养殖业的农产品加工、电子商务、仓储保鲜冷链、产地低温直销配送等一二三产融合发展项目，不得布局对居民生活产生较大影响和污染严重的产业。</w:t>
      </w:r>
    </w:p>
    <w:p>
      <w:pPr>
        <w:spacing w:before="65"/>
        <w:ind w:firstLine="640"/>
      </w:pPr>
      <w:r>
        <w:rPr>
          <w:rFonts w:hint="eastAsia"/>
        </w:rPr>
        <w:t>在乡镇范围内，原则上不得布局三类工业、危化品生产存储以及其他污染严重的产业，确需布局的，应征得七里坪乡人民政府或内乡县自然资源局以及相关主管部门的同意</w:t>
      </w:r>
      <w:bookmarkEnd w:id="94"/>
      <w:r>
        <w:rPr>
          <w:rFonts w:hint="eastAsia"/>
        </w:rPr>
        <w:t>。</w:t>
      </w:r>
    </w:p>
    <w:bookmarkEnd w:id="92"/>
    <w:p>
      <w:pPr>
        <w:pStyle w:val="4"/>
      </w:pPr>
      <w:r>
        <w:rPr>
          <w:rFonts w:hint="eastAsia"/>
        </w:rPr>
        <w:t>产业负面清单</w:t>
      </w:r>
    </w:p>
    <w:p>
      <w:pPr>
        <w:ind w:firstLine="640"/>
      </w:pPr>
      <w:r>
        <w:rPr>
          <w:rFonts w:hint="eastAsia"/>
        </w:rPr>
        <w:t>乡村产业发展应与财政、金融、人才、土地等相关政策相衔接，根据乡村资源特色及区域优势，选择适合本地发展的产业类型。要严控乡村产业准入，严格遵守《产业结构调整指导目录》文件的相关要求，将限制类、淘汰类产业列入产业负面清单，禁止发展该类产业。对于列入国家禁止类产业目录的、污染环境的项目，不得进入乡村。</w:t>
      </w:r>
    </w:p>
    <w:p>
      <w:pPr>
        <w:ind w:firstLine="640"/>
      </w:pPr>
      <w:r>
        <w:rPr>
          <w:rFonts w:hint="eastAsia"/>
        </w:rPr>
        <w:t>农村产业融合发展用地禁止用于商品住宅、别墅、酒店、公寓等房地产开发，禁止擅自改变用途或分割转让转租。禁止擅自将农业设施建设用地改变用途用于产业项目建设。</w:t>
      </w:r>
    </w:p>
    <w:p>
      <w:pPr>
        <w:pStyle w:val="4"/>
      </w:pPr>
      <w:r>
        <w:rPr>
          <w:rFonts w:hint="eastAsia"/>
        </w:rPr>
        <w:t>产业用地管控</w:t>
      </w:r>
    </w:p>
    <w:p>
      <w:pPr>
        <w:spacing w:before="65"/>
        <w:ind w:firstLine="640"/>
      </w:pPr>
      <w:bookmarkStart w:id="96" w:name="_Hlk208394929"/>
      <w:bookmarkStart w:id="97" w:name="_Hlk200524039"/>
      <w:r>
        <w:rPr>
          <w:rFonts w:hint="eastAsia"/>
        </w:rPr>
        <w:t>乡镇级国土空间规划应安排不少于10%的建设用地指标，重点保障乡村产业发展用地。根据产业发展规律，在城乡之间合理安排产业用地布局。工业企业要向产业集聚区、专业园区集聚；具有一定规模的农产品加工要向中心城区或乡镇城镇开发边界内集聚；对直接服务种植养殖业的农产品加工、电子商务、仓储保鲜冷链、产地低温直销配送等产业，应优先利用村内空闲地和闲置宅基地，原则上集中在村庄建设边界内；对利用农村本地资源开展农产品分拣、初加工、发展休闲观光旅游而必须的配套设施建设，在不侵占永久基本农田和生态保护红线、不突破国土空间规划建设用地指标等约束条件、不破坏自然环境和历史风貌的条件下，可在村庄建设边界外安排少量建设用地。在符合国土空间规划前提下，鼓励对依法登记的宅基地等农村建设用地进行复合利用，发展乡村民宿、农产品初加工、电子商务等农村产业。农业生产中直接用于作物种植和畜禽水产养殖的设施用地，按照自然资源部相关要求使用</w:t>
      </w:r>
      <w:bookmarkEnd w:id="96"/>
      <w:r>
        <w:rPr>
          <w:rFonts w:hint="eastAsia"/>
        </w:rPr>
        <w:t>。</w:t>
      </w:r>
    </w:p>
    <w:bookmarkEnd w:id="93"/>
    <w:bookmarkEnd w:id="95"/>
    <w:bookmarkEnd w:id="97"/>
    <w:p>
      <w:pPr>
        <w:spacing w:before="65"/>
        <w:ind w:firstLine="640"/>
      </w:pPr>
      <w:r>
        <w:br w:type="page"/>
      </w:r>
    </w:p>
    <w:p>
      <w:pPr>
        <w:spacing w:before="65"/>
        <w:ind w:firstLine="640"/>
      </w:pPr>
    </w:p>
    <w:p>
      <w:pPr>
        <w:pStyle w:val="2"/>
      </w:pPr>
      <w:bookmarkStart w:id="98" w:name="_Toc185606064"/>
      <w:bookmarkStart w:id="99" w:name="_Toc209773047"/>
      <w:r>
        <w:rPr>
          <w:rFonts w:hint="eastAsia"/>
        </w:rPr>
        <w:t>村庄布局</w:t>
      </w:r>
      <w:bookmarkEnd w:id="98"/>
      <w:bookmarkEnd w:id="99"/>
    </w:p>
    <w:p>
      <w:pPr>
        <w:pStyle w:val="3"/>
        <w:spacing w:before="326" w:beforeLines="100" w:after="326" w:afterLines="100"/>
      </w:pPr>
      <w:bookmarkStart w:id="100" w:name="_Toc185606065"/>
      <w:r>
        <w:rPr>
          <w:rFonts w:hint="eastAsia"/>
        </w:rPr>
        <w:t>人口与城镇化水平预测</w:t>
      </w:r>
      <w:bookmarkEnd w:id="100"/>
    </w:p>
    <w:p>
      <w:pPr>
        <w:pStyle w:val="4"/>
        <w:rPr>
          <w:lang w:val="zh-CN"/>
        </w:rPr>
      </w:pPr>
      <w:r>
        <w:rPr>
          <w:rFonts w:hint="eastAsia"/>
          <w:lang w:val="zh-CN"/>
        </w:rPr>
        <w:t>人口规模预测</w:t>
      </w:r>
    </w:p>
    <w:p>
      <w:pPr>
        <w:ind w:firstLine="640"/>
        <w:rPr>
          <w:rFonts w:ascii="Times New Roman" w:hAnsi="Times New Roman"/>
        </w:rPr>
      </w:pPr>
      <w:r>
        <w:rPr>
          <w:rFonts w:ascii="Times New Roman" w:hAnsi="Times New Roman"/>
        </w:rPr>
        <w:t>规划基期年，</w:t>
      </w:r>
      <w:r>
        <w:rPr>
          <w:rFonts w:hint="eastAsia" w:ascii="Times New Roman" w:hAnsi="Times New Roman"/>
        </w:rPr>
        <w:t>乡域</w:t>
      </w:r>
      <w:r>
        <w:rPr>
          <w:rFonts w:ascii="Times New Roman" w:hAnsi="Times New Roman"/>
        </w:rPr>
        <w:t>常住总人口</w:t>
      </w:r>
      <w:r>
        <w:rPr>
          <w:rFonts w:hint="eastAsia"/>
        </w:rPr>
        <w:t>1.24</w:t>
      </w:r>
      <w:r>
        <w:rPr>
          <w:rFonts w:ascii="Times New Roman" w:hAnsi="Times New Roman"/>
        </w:rPr>
        <w:t>人。至2025年，</w:t>
      </w:r>
      <w:r>
        <w:rPr>
          <w:rFonts w:hint="eastAsia" w:ascii="Times New Roman" w:hAnsi="Times New Roman"/>
        </w:rPr>
        <w:t>乡域</w:t>
      </w:r>
      <w:r>
        <w:rPr>
          <w:rFonts w:ascii="Times New Roman" w:hAnsi="Times New Roman"/>
        </w:rPr>
        <w:t>常住总人口</w:t>
      </w:r>
      <w:r>
        <w:rPr>
          <w:rFonts w:hint="eastAsia" w:ascii="Times New Roman" w:hAnsi="Times New Roman"/>
        </w:rPr>
        <w:t>1.12万</w:t>
      </w:r>
      <w:r>
        <w:rPr>
          <w:rFonts w:ascii="Times New Roman" w:hAnsi="Times New Roman"/>
        </w:rPr>
        <w:t>人；至2035年，</w:t>
      </w:r>
      <w:r>
        <w:rPr>
          <w:rFonts w:hint="eastAsia" w:ascii="Times New Roman" w:hAnsi="Times New Roman"/>
        </w:rPr>
        <w:t>乡域</w:t>
      </w:r>
      <w:r>
        <w:rPr>
          <w:rFonts w:ascii="Times New Roman" w:hAnsi="Times New Roman"/>
        </w:rPr>
        <w:t>常住总人口</w:t>
      </w:r>
      <w:r>
        <w:rPr>
          <w:rFonts w:hint="eastAsia" w:ascii="Times New Roman" w:hAnsi="Times New Roman"/>
        </w:rPr>
        <w:t>0.87万</w:t>
      </w:r>
      <w:r>
        <w:rPr>
          <w:rFonts w:ascii="Times New Roman" w:hAnsi="Times New Roman"/>
        </w:rPr>
        <w:t>人。</w:t>
      </w:r>
    </w:p>
    <w:p>
      <w:pPr>
        <w:ind w:firstLine="640"/>
        <w:rPr>
          <w:rFonts w:ascii="Times New Roman" w:hAnsi="Times New Roman"/>
        </w:rPr>
      </w:pPr>
      <w:r>
        <w:rPr>
          <w:rFonts w:hint="eastAsia" w:ascii="Times New Roman" w:hAnsi="Times New Roman"/>
        </w:rPr>
        <w:t>规划基期年，</w:t>
      </w:r>
      <w:r>
        <w:rPr>
          <w:rFonts w:hint="eastAsia"/>
        </w:rPr>
        <w:t>集镇区常住人口为4595人。至2025年，集镇区常住人口为4691人；至2035年，集镇区常住人口为5029人。</w:t>
      </w:r>
    </w:p>
    <w:p>
      <w:pPr>
        <w:pStyle w:val="4"/>
        <w:rPr>
          <w:lang w:val="zh-CN"/>
        </w:rPr>
      </w:pPr>
      <w:r>
        <w:rPr>
          <w:rFonts w:hint="eastAsia"/>
          <w:lang w:val="zh-CN"/>
        </w:rPr>
        <w:t>城镇化水平预测</w:t>
      </w:r>
    </w:p>
    <w:p>
      <w:pPr>
        <w:spacing w:before="65"/>
        <w:ind w:firstLine="640"/>
        <w:rPr>
          <w:rFonts w:ascii="Times New Roman" w:hAnsi="Times New Roman"/>
        </w:rPr>
      </w:pPr>
      <w:bookmarkStart w:id="101" w:name="_Hlk208396177"/>
      <w:r>
        <w:rPr>
          <w:rFonts w:ascii="Times New Roman" w:hAnsi="Times New Roman"/>
        </w:rPr>
        <w:t>基期年，</w:t>
      </w:r>
      <w:r>
        <w:rPr>
          <w:rFonts w:hint="eastAsia" w:ascii="Times New Roman" w:hAnsi="Times New Roman"/>
        </w:rPr>
        <w:t>乡域集镇</w:t>
      </w:r>
      <w:r>
        <w:rPr>
          <w:rFonts w:ascii="Times New Roman" w:hAnsi="Times New Roman"/>
        </w:rPr>
        <w:t>人口</w:t>
      </w:r>
      <w:r>
        <w:rPr>
          <w:rFonts w:hint="eastAsia" w:ascii="Times New Roman" w:hAnsi="Times New Roman"/>
        </w:rPr>
        <w:t>0.33</w:t>
      </w:r>
      <w:r>
        <w:rPr>
          <w:rFonts w:ascii="Times New Roman" w:hAnsi="Times New Roman"/>
        </w:rPr>
        <w:t>人</w:t>
      </w:r>
      <w:bookmarkEnd w:id="101"/>
      <w:r>
        <w:rPr>
          <w:rFonts w:ascii="Times New Roman" w:hAnsi="Times New Roman"/>
        </w:rPr>
        <w:t>，城镇化水平</w:t>
      </w:r>
      <w:r>
        <w:rPr>
          <w:rFonts w:hint="eastAsia" w:ascii="Times New Roman" w:hAnsi="Times New Roman"/>
        </w:rPr>
        <w:t>26</w:t>
      </w:r>
      <w:r>
        <w:rPr>
          <w:rFonts w:ascii="Times New Roman" w:hAnsi="Times New Roman"/>
        </w:rPr>
        <w:t>%。至2025年，</w:t>
      </w:r>
      <w:r>
        <w:rPr>
          <w:rFonts w:hint="eastAsia" w:ascii="Times New Roman" w:hAnsi="Times New Roman"/>
        </w:rPr>
        <w:t>乡域集镇</w:t>
      </w:r>
      <w:r>
        <w:rPr>
          <w:rFonts w:ascii="Times New Roman" w:hAnsi="Times New Roman"/>
        </w:rPr>
        <w:t>人口</w:t>
      </w:r>
      <w:r>
        <w:rPr>
          <w:rFonts w:hint="eastAsia"/>
        </w:rPr>
        <w:t>0.35万</w:t>
      </w:r>
      <w:r>
        <w:rPr>
          <w:rFonts w:ascii="Times New Roman" w:hAnsi="Times New Roman"/>
        </w:rPr>
        <w:t>人，城镇化水平达到</w:t>
      </w:r>
      <w:r>
        <w:rPr>
          <w:rFonts w:hint="eastAsia" w:ascii="Times New Roman" w:hAnsi="Times New Roman"/>
        </w:rPr>
        <w:t>31</w:t>
      </w:r>
      <w:r>
        <w:rPr>
          <w:rFonts w:ascii="Times New Roman" w:hAnsi="Times New Roman"/>
        </w:rPr>
        <w:t>%，；至2035年，</w:t>
      </w:r>
      <w:r>
        <w:rPr>
          <w:rFonts w:hint="eastAsia" w:ascii="Times New Roman" w:hAnsi="Times New Roman"/>
        </w:rPr>
        <w:t>乡域集镇</w:t>
      </w:r>
      <w:r>
        <w:rPr>
          <w:rFonts w:ascii="Times New Roman" w:hAnsi="Times New Roman"/>
        </w:rPr>
        <w:t>人口</w:t>
      </w:r>
      <w:r>
        <w:rPr>
          <w:rFonts w:hint="eastAsia" w:ascii="Times New Roman" w:hAnsi="Times New Roman"/>
        </w:rPr>
        <w:t>0.39万</w:t>
      </w:r>
      <w:r>
        <w:rPr>
          <w:rFonts w:ascii="Times New Roman" w:hAnsi="Times New Roman"/>
        </w:rPr>
        <w:t>人，城镇化水平达到</w:t>
      </w:r>
      <w:r>
        <w:rPr>
          <w:rFonts w:hint="eastAsia" w:ascii="Times New Roman" w:hAnsi="Times New Roman"/>
        </w:rPr>
        <w:t>45</w:t>
      </w:r>
      <w:r>
        <w:rPr>
          <w:rFonts w:ascii="Times New Roman" w:hAnsi="Times New Roman"/>
        </w:rPr>
        <w:t>%左右。</w:t>
      </w:r>
    </w:p>
    <w:p>
      <w:pPr>
        <w:pStyle w:val="3"/>
        <w:spacing w:before="326" w:beforeLines="100" w:after="326" w:afterLines="100"/>
      </w:pPr>
      <w:bookmarkStart w:id="102" w:name="_Toc185606066"/>
      <w:r>
        <w:rPr>
          <w:rFonts w:hint="eastAsia"/>
        </w:rPr>
        <w:t>村庄分类布局</w:t>
      </w:r>
      <w:bookmarkEnd w:id="102"/>
    </w:p>
    <w:p>
      <w:pPr>
        <w:pStyle w:val="4"/>
      </w:pPr>
      <w:r>
        <w:rPr>
          <w:rFonts w:hint="eastAsia"/>
        </w:rPr>
        <w:t>村庄分类</w:t>
      </w:r>
    </w:p>
    <w:p>
      <w:pPr>
        <w:spacing w:before="65"/>
        <w:ind w:firstLine="640"/>
      </w:pPr>
      <w:r>
        <w:rPr>
          <w:rFonts w:hint="eastAsia"/>
        </w:rPr>
        <w:t>七里坪乡共有16个行政村，其中2个城郊融合类、</w:t>
      </w:r>
      <w:r>
        <w:t>5</w:t>
      </w:r>
      <w:r>
        <w:rPr>
          <w:rFonts w:hint="eastAsia"/>
        </w:rPr>
        <w:t>个集聚提升类、3个搬迁撤并类、</w:t>
      </w:r>
      <w:r>
        <w:t>4</w:t>
      </w:r>
      <w:r>
        <w:rPr>
          <w:rFonts w:hint="eastAsia"/>
        </w:rPr>
        <w:t>个特色保护类和2个整治改善类。</w:t>
      </w:r>
    </w:p>
    <w:p>
      <w:pPr>
        <w:pStyle w:val="3"/>
      </w:pPr>
      <w:r>
        <w:rPr>
          <w:rFonts w:hint="eastAsia"/>
        </w:rPr>
        <w:t>镇村规模等级体系</w:t>
      </w:r>
    </w:p>
    <w:p>
      <w:pPr>
        <w:pStyle w:val="4"/>
      </w:pPr>
      <w:r>
        <w:rPr>
          <w:rFonts w:hint="eastAsia"/>
        </w:rPr>
        <w:t>村庄等级及职能</w:t>
      </w:r>
    </w:p>
    <w:p>
      <w:pPr>
        <w:ind w:firstLine="640"/>
      </w:pPr>
      <w:r>
        <w:rPr>
          <w:rFonts w:hint="eastAsia"/>
        </w:rPr>
        <w:t>积极推动七里坪乡乡镇建设，形成就近城镇化载体。推动人口和公共资源向具备潜力的中心村集中，提升中心村基础设施服务水平，引导乡村特色化发展。</w:t>
      </w:r>
    </w:p>
    <w:p>
      <w:pPr>
        <w:ind w:firstLine="640"/>
      </w:pPr>
      <w:bookmarkStart w:id="103" w:name="_Hlk208396470"/>
      <w:r>
        <w:rPr>
          <w:rFonts w:hint="eastAsia"/>
        </w:rPr>
        <w:t>集镇区：后坪村、张洼村、马尾村；</w:t>
      </w:r>
    </w:p>
    <w:p>
      <w:pPr>
        <w:ind w:firstLine="640"/>
      </w:pPr>
      <w:r>
        <w:rPr>
          <w:rFonts w:hint="eastAsia"/>
        </w:rPr>
        <w:t>中心村：</w:t>
      </w:r>
      <w:bookmarkStart w:id="104" w:name="_Hlk208248957"/>
      <w:r>
        <w:rPr>
          <w:rFonts w:hint="eastAsia"/>
        </w:rPr>
        <w:t>野獐坪村、三道河村</w:t>
      </w:r>
      <w:bookmarkEnd w:id="104"/>
      <w:r>
        <w:rPr>
          <w:rFonts w:hint="eastAsia"/>
        </w:rPr>
        <w:t>、寺坪村；</w:t>
      </w:r>
    </w:p>
    <w:p>
      <w:pPr>
        <w:ind w:firstLine="640"/>
      </w:pPr>
      <w:r>
        <w:rPr>
          <w:rFonts w:hint="eastAsia"/>
        </w:rPr>
        <w:t>基层村：七潭村、黄沙河村、大龙村、花园村、高皇村、靳河村、青山村、后会村、蚌峪村、流峪村。</w:t>
      </w:r>
    </w:p>
    <w:bookmarkEnd w:id="103"/>
    <w:p>
      <w:pPr>
        <w:pStyle w:val="4"/>
      </w:pPr>
      <w:bookmarkStart w:id="105" w:name="_Hlk200635723"/>
      <w:r>
        <w:rPr>
          <w:rFonts w:hint="eastAsia"/>
        </w:rPr>
        <w:t>乡村建设引导</w:t>
      </w:r>
    </w:p>
    <w:p>
      <w:pPr>
        <w:ind w:firstLine="640"/>
      </w:pPr>
      <w:bookmarkStart w:id="106" w:name="_Hlk208396569"/>
      <w:r>
        <w:rPr>
          <w:rFonts w:hint="eastAsia"/>
        </w:rPr>
        <w:t>构建“集镇区-中心村-基层村”三级体系，强化集镇区的核心地位，培育中心村，引导择周边自然村和基层村的人口向其适度集中，提供高于基层村的公共服务。控制基层村发展，严格控制新增宅基地和产业用地，逐步引导其人口向集镇区和中心村转移。</w:t>
      </w:r>
    </w:p>
    <w:p>
      <w:pPr>
        <w:ind w:firstLine="640"/>
      </w:pPr>
      <w:r>
        <w:rPr>
          <w:rFonts w:hint="eastAsia"/>
        </w:rPr>
        <w:t>保障产业集聚空间，引导工业、仓储物流、农产品加工园区朝集镇区周边布局，避免“村村点火、户户冒烟”的分散布局。新增宅基地和安置房等应优先布局在集镇区和中心村，形成规模效应。提升集镇区存量居住用地的品质和容量，提高人口承载力，通过规划和法律手段，严格限制在村庄建设区外和基层村无序新建、扩建住宅。</w:t>
      </w:r>
    </w:p>
    <w:p>
      <w:pPr>
        <w:ind w:firstLine="640"/>
      </w:pPr>
      <w:r>
        <w:rPr>
          <w:rFonts w:hint="eastAsia"/>
        </w:rPr>
        <w:t>提升集镇区与中心村、主要交通干道的连接道路等级，优化集镇区内路网，开通公交线路。集中建设污水处理厂、垃圾中转站、供水管网、电力电信设施，并向周边中心村延伸覆盖，实现规模效益。</w:t>
      </w:r>
    </w:p>
    <w:p>
      <w:pPr>
        <w:ind w:firstLine="640"/>
      </w:pPr>
      <w:r>
        <w:rPr>
          <w:rFonts w:hint="eastAsia"/>
        </w:rPr>
        <w:t>在集镇区集中布局高水平的卫生院、中心小学、幼儿园、养老院、文化活动中心、便民服务中心等。在中心村配置标准化的卫生室、幼儿园、养老院、农家书屋等，形成与集镇区互补的服务网络。</w:t>
      </w:r>
    </w:p>
    <w:p>
      <w:pPr>
        <w:ind w:firstLine="640"/>
      </w:pPr>
      <w:r>
        <w:rPr>
          <w:rFonts w:hint="eastAsia"/>
        </w:rPr>
        <w:t>通过空间约束和空间激励相结合，配套以有吸引力的政策和优质的公共服务，让市场主体和居民用脚投票，自发地、自愿地向规划确定的镇区和中心村集中，最终实现集约、高效、绿色、宜居的乡镇发展新格局</w:t>
      </w:r>
      <w:bookmarkEnd w:id="106"/>
      <w:r>
        <w:rPr>
          <w:rFonts w:hint="eastAsia"/>
        </w:rPr>
        <w:t>。</w:t>
      </w:r>
    </w:p>
    <w:p>
      <w:pPr>
        <w:pStyle w:val="3"/>
      </w:pPr>
      <w:r>
        <w:rPr>
          <w:rFonts w:hint="eastAsia"/>
        </w:rPr>
        <w:t>城乡生活圈构建</w:t>
      </w:r>
    </w:p>
    <w:p>
      <w:pPr>
        <w:pStyle w:val="4"/>
      </w:pPr>
      <w:r>
        <w:rPr>
          <w:rFonts w:hint="eastAsia"/>
        </w:rPr>
        <w:t>城乡生活圈划分</w:t>
      </w:r>
    </w:p>
    <w:p>
      <w:pPr>
        <w:spacing w:before="65"/>
        <w:ind w:firstLine="640"/>
      </w:pPr>
      <w:bookmarkStart w:id="107" w:name="_Hlk208396621"/>
      <w:bookmarkStart w:id="108" w:name="_Hlk200544817"/>
      <w:r>
        <w:rPr>
          <w:rFonts w:hint="eastAsia"/>
        </w:rPr>
        <w:t>以集镇区为中心，构建城乡生活圈，以中心村为中心，构建乡村生活圈。</w:t>
      </w:r>
    </w:p>
    <w:p>
      <w:pPr>
        <w:spacing w:before="65"/>
        <w:ind w:firstLine="640"/>
      </w:pPr>
      <w:r>
        <w:rPr>
          <w:rFonts w:hint="eastAsia"/>
        </w:rPr>
        <w:t>依据行政界线、村庄分类、镇村体系、地理位置等因素，七里坪乡共划定4个乡村生活圈。其中：</w:t>
      </w:r>
    </w:p>
    <w:p>
      <w:pPr>
        <w:spacing w:before="65"/>
        <w:ind w:firstLine="640"/>
      </w:pPr>
      <w:r>
        <w:rPr>
          <w:rFonts w:hint="eastAsia"/>
        </w:rPr>
        <w:t>集镇区生活圈以集镇区为中心，包含后坪村、张洼村、马尾村、靳河村和青山村。</w:t>
      </w:r>
    </w:p>
    <w:p>
      <w:pPr>
        <w:spacing w:before="65"/>
        <w:ind w:firstLine="640"/>
      </w:pPr>
      <w:r>
        <w:rPr>
          <w:rFonts w:hint="eastAsia"/>
        </w:rPr>
        <w:t>野獐坪乡村生活圈以野獐坪村为中心，包含黄沙河村和七潭村。</w:t>
      </w:r>
    </w:p>
    <w:p>
      <w:pPr>
        <w:spacing w:before="65"/>
        <w:ind w:firstLine="640"/>
      </w:pPr>
      <w:r>
        <w:rPr>
          <w:rFonts w:hint="eastAsia"/>
        </w:rPr>
        <w:t>三道河乡村生活圈以三道河村为中心，包含大龙村、高皇村、花园村。</w:t>
      </w:r>
    </w:p>
    <w:p>
      <w:pPr>
        <w:spacing w:before="65"/>
        <w:ind w:firstLine="640"/>
      </w:pPr>
      <w:r>
        <w:rPr>
          <w:rFonts w:hint="eastAsia"/>
        </w:rPr>
        <w:t>流峪乡村生活圈以流峪村为中心，包含后会村、蚌峪村和寺坪村。</w:t>
      </w:r>
      <w:bookmarkEnd w:id="107"/>
    </w:p>
    <w:bookmarkEnd w:id="108"/>
    <w:p>
      <w:pPr>
        <w:ind w:firstLine="640"/>
      </w:pPr>
      <w:r>
        <w:br w:type="page"/>
      </w:r>
    </w:p>
    <w:bookmarkEnd w:id="105"/>
    <w:p>
      <w:pPr>
        <w:spacing w:before="65"/>
        <w:ind w:firstLine="640"/>
      </w:pPr>
    </w:p>
    <w:p>
      <w:pPr>
        <w:pStyle w:val="2"/>
      </w:pPr>
      <w:bookmarkStart w:id="109" w:name="_Toc209773048"/>
      <w:bookmarkStart w:id="110" w:name="_Toc185606067"/>
      <w:r>
        <w:rPr>
          <w:rFonts w:hint="eastAsia"/>
        </w:rPr>
        <w:t>支撑体系规划</w:t>
      </w:r>
      <w:bookmarkEnd w:id="109"/>
      <w:bookmarkEnd w:id="110"/>
    </w:p>
    <w:p>
      <w:pPr>
        <w:pStyle w:val="3"/>
      </w:pPr>
      <w:bookmarkStart w:id="111" w:name="_Toc185606068"/>
      <w:bookmarkStart w:id="112" w:name="_Hlk142657734"/>
      <w:bookmarkStart w:id="113" w:name="_Toc129799047"/>
      <w:r>
        <w:rPr>
          <w:rFonts w:hint="eastAsia"/>
        </w:rPr>
        <w:t>道路交通规划</w:t>
      </w:r>
      <w:bookmarkEnd w:id="111"/>
    </w:p>
    <w:p>
      <w:pPr>
        <w:pStyle w:val="4"/>
      </w:pPr>
      <w:bookmarkStart w:id="114" w:name="_Hlk150185677"/>
      <w:r>
        <w:rPr>
          <w:rFonts w:hint="eastAsia"/>
        </w:rPr>
        <w:t>道路交通规划</w:t>
      </w:r>
    </w:p>
    <w:p>
      <w:pPr>
        <w:ind w:firstLine="640"/>
      </w:pPr>
      <w:bookmarkStart w:id="115" w:name="_Hlk209626650"/>
      <w:r>
        <w:rPr>
          <w:rFonts w:hint="eastAsia"/>
        </w:rPr>
        <w:t>高速公路：配合推动嵩内高速落地，形成便利的对外交通系统。</w:t>
      </w:r>
    </w:p>
    <w:p>
      <w:pPr>
        <w:ind w:firstLine="640"/>
      </w:pPr>
      <w:r>
        <w:rPr>
          <w:rFonts w:hint="eastAsia"/>
        </w:rPr>
        <w:t>公路：S243、S328、S329进行升级改造，形成南北畅通、东西可达的区域交通格局;加强乡域内县乡道道路的建设和质量提升，落实内乡县级规划，加大乡村公路建设的力度，推进集聚提升类和特色保护类村庄三、四级公路连通工作</w:t>
      </w:r>
      <w:bookmarkEnd w:id="115"/>
      <w:r>
        <w:rPr>
          <w:rFonts w:hint="eastAsia"/>
        </w:rPr>
        <w:t>。</w:t>
      </w:r>
    </w:p>
    <w:p>
      <w:pPr>
        <w:ind w:firstLine="640"/>
      </w:pPr>
      <w:r>
        <w:rPr>
          <w:rFonts w:hint="eastAsia"/>
        </w:rPr>
        <w:t>乡域村道规划：完善加密村庄路网布局，建设“四好农村路”，提升城乡交通一体化水平。提高乡村联系的可达性，村组道路均完成水泥铺设，村组联系主要道路不低于5米，次要道路宽度不低于4米。</w:t>
      </w:r>
    </w:p>
    <w:p>
      <w:pPr>
        <w:pStyle w:val="4"/>
      </w:pPr>
      <w:r>
        <w:rPr>
          <w:rFonts w:hint="eastAsia"/>
        </w:rPr>
        <w:t>城乡公交站场</w:t>
      </w:r>
    </w:p>
    <w:bookmarkEnd w:id="114"/>
    <w:p>
      <w:pPr>
        <w:spacing w:before="65"/>
        <w:ind w:firstLine="640"/>
      </w:pPr>
      <w:r>
        <w:rPr>
          <w:rFonts w:hint="eastAsia"/>
        </w:rPr>
        <w:t>完善城乡公共交通体系建设，到</w:t>
      </w:r>
      <w:r>
        <w:t>2035年实现村村通公交车，在</w:t>
      </w:r>
      <w:bookmarkStart w:id="116" w:name="_Hlk208396784"/>
      <w:r>
        <w:t>集镇区</w:t>
      </w:r>
      <w:r>
        <w:rPr>
          <w:rFonts w:hint="eastAsia"/>
        </w:rPr>
        <w:t>、野獐坪村、三道河村、流峪村</w:t>
      </w:r>
      <w:bookmarkEnd w:id="116"/>
      <w:r>
        <w:t>设置城乡公交首末站</w:t>
      </w:r>
      <w:r>
        <w:rPr>
          <w:rFonts w:hint="eastAsia"/>
        </w:rPr>
        <w:t>。</w:t>
      </w:r>
    </w:p>
    <w:p>
      <w:pPr>
        <w:pStyle w:val="3"/>
      </w:pPr>
      <w:bookmarkStart w:id="117" w:name="_Toc185606069"/>
      <w:r>
        <w:rPr>
          <w:rFonts w:hint="eastAsia"/>
        </w:rPr>
        <w:t>市政公用设施规划</w:t>
      </w:r>
      <w:bookmarkEnd w:id="117"/>
    </w:p>
    <w:p>
      <w:pPr>
        <w:pStyle w:val="4"/>
      </w:pPr>
      <w:r>
        <w:rPr>
          <w:rFonts w:hint="eastAsia"/>
        </w:rPr>
        <w:t>给水工程规划</w:t>
      </w:r>
    </w:p>
    <w:p>
      <w:pPr>
        <w:spacing w:before="65"/>
        <w:ind w:firstLine="640"/>
      </w:pPr>
      <w:r>
        <w:rPr>
          <w:rFonts w:hint="eastAsia"/>
        </w:rPr>
        <w:t>预测乡域最高日总用水量为1990立方米/日。</w:t>
      </w:r>
    </w:p>
    <w:p>
      <w:pPr>
        <w:spacing w:before="65"/>
        <w:ind w:firstLine="640"/>
      </w:pPr>
      <w:r>
        <w:rPr>
          <w:rFonts w:hint="eastAsia"/>
        </w:rPr>
        <w:t>规划新建七里坪乡给水厂，规模为2000立方米/日，供水水源采用附近的中深层地下水；规划集镇建设区周边的村庄纳入集镇区集中供水范围，将集镇区给水管网向各村庄延伸，解决村庄的用水问题；集中供水管网覆盖不到的村庄利用村庄供水站供水。</w:t>
      </w:r>
    </w:p>
    <w:p>
      <w:pPr>
        <w:pStyle w:val="4"/>
      </w:pPr>
      <w:r>
        <w:rPr>
          <w:rFonts w:hint="eastAsia"/>
        </w:rPr>
        <w:t>排水工程规划</w:t>
      </w:r>
    </w:p>
    <w:p>
      <w:pPr>
        <w:spacing w:before="65"/>
        <w:ind w:firstLine="640"/>
      </w:pPr>
      <w:r>
        <w:rPr>
          <w:rFonts w:hint="eastAsia"/>
        </w:rPr>
        <w:t>规划集镇区采用雨污分流制排水系统，村庄一般采用合流制，有条件时采用分流制。</w:t>
      </w:r>
    </w:p>
    <w:p>
      <w:pPr>
        <w:spacing w:before="65"/>
        <w:ind w:firstLine="640"/>
      </w:pPr>
      <w:r>
        <w:rPr>
          <w:rFonts w:hint="eastAsia"/>
        </w:rPr>
        <w:t>预测乡域最高日总污水量为1353立方米/日。</w:t>
      </w:r>
    </w:p>
    <w:p>
      <w:pPr>
        <w:spacing w:before="65"/>
        <w:ind w:firstLine="640"/>
      </w:pPr>
      <w:r>
        <w:rPr>
          <w:rFonts w:hint="eastAsia"/>
        </w:rPr>
        <w:t>规划新建七里坪污水处理厂，位于集镇区西部，湍河南侧，污水处理厂规模为1200立方米/日；污水处理厂出水水质要求达到《城镇污水处理厂污染物排放标准》（GB 18918-2002）中规定的一级A标准，处理达标后排入湍河。距离镇区较近的村庄污水纳入城镇污水管网集中处理，距离集镇区较远的村庄单独建设污水处理设施集中处理污水。</w:t>
      </w:r>
    </w:p>
    <w:p>
      <w:pPr>
        <w:spacing w:before="65"/>
        <w:ind w:firstLine="640"/>
      </w:pPr>
      <w:r>
        <w:rPr>
          <w:rFonts w:hint="eastAsia"/>
        </w:rPr>
        <w:t>雨水排放系统坚持就近、分散排放的原则。雨水管渠应充分利用自然河流水系、充分尊重原有生态基底，巧妙利用地形地貌实现雨水自然排放，必要时设置排涝泵站。</w:t>
      </w:r>
    </w:p>
    <w:p>
      <w:pPr>
        <w:pStyle w:val="4"/>
      </w:pPr>
      <w:r>
        <w:rPr>
          <w:rFonts w:hint="eastAsia"/>
        </w:rPr>
        <w:t>电力工程规划</w:t>
      </w:r>
    </w:p>
    <w:p>
      <w:pPr>
        <w:spacing w:before="65"/>
        <w:ind w:firstLine="640"/>
      </w:pPr>
      <w:r>
        <w:rPr>
          <w:rFonts w:hint="eastAsia"/>
        </w:rPr>
        <w:t>预测乡域年总用电量为1044万千瓦时。</w:t>
      </w:r>
    </w:p>
    <w:p>
      <w:pPr>
        <w:spacing w:before="65"/>
        <w:ind w:firstLine="640"/>
      </w:pPr>
      <w:r>
        <w:rPr>
          <w:rFonts w:hint="eastAsia"/>
        </w:rPr>
        <w:t>规划保留现状35千伏宝天曼变和35千伏三道河变，变电容量均为1×10兆伏安。</w:t>
      </w:r>
    </w:p>
    <w:p>
      <w:pPr>
        <w:spacing w:before="65"/>
        <w:ind w:firstLine="640"/>
      </w:pPr>
      <w:r>
        <w:rPr>
          <w:rFonts w:hint="eastAsia"/>
        </w:rPr>
        <w:t>依据《城市电力规划规范》（GB/T 50293-2014），110千伏高压线设置15-25米宽的高压走廊；35千伏高压线设置15-20米宽的高压走廊；高压走廊控制区内严禁各种开发建设活动。</w:t>
      </w:r>
    </w:p>
    <w:p>
      <w:pPr>
        <w:pStyle w:val="4"/>
      </w:pPr>
      <w:r>
        <w:rPr>
          <w:rFonts w:hint="eastAsia"/>
        </w:rPr>
        <w:t>通信工程规划</w:t>
      </w:r>
    </w:p>
    <w:p>
      <w:pPr>
        <w:spacing w:before="65"/>
        <w:ind w:firstLine="640"/>
      </w:pPr>
      <w:r>
        <w:rPr>
          <w:rFonts w:hint="eastAsia"/>
        </w:rPr>
        <w:t>预测乡域固定电话总量为0.35万线。</w:t>
      </w:r>
    </w:p>
    <w:p>
      <w:pPr>
        <w:spacing w:before="65"/>
        <w:ind w:firstLine="640"/>
      </w:pPr>
      <w:r>
        <w:rPr>
          <w:rFonts w:hint="eastAsia"/>
        </w:rPr>
        <w:t>积极采用高科技、新技术、新设备，建设完善大容量、高速率、广覆盖的集电信网、数据网及有线广播电视网三网合一的综合通信系统，并且数据传输光缆及电信管道统一规划、建设，适应城乡发展要求。</w:t>
      </w:r>
    </w:p>
    <w:p>
      <w:pPr>
        <w:spacing w:before="65"/>
        <w:ind w:firstLine="640"/>
      </w:pPr>
      <w:r>
        <w:rPr>
          <w:rFonts w:hint="eastAsia"/>
        </w:rPr>
        <w:t>升级完善和合理布局广电设施，提升广电网络功能，推广电视、广播的数字化、高清化和网络化，筹建大功率广播电视发射中心，继续推进“村村通”工程，到2035年实现全乡广播电视人口综合覆盖率100%。</w:t>
      </w:r>
    </w:p>
    <w:p>
      <w:pPr>
        <w:pStyle w:val="4"/>
      </w:pPr>
      <w:r>
        <w:rPr>
          <w:rFonts w:hint="eastAsia"/>
        </w:rPr>
        <w:t>燃气工程规划</w:t>
      </w:r>
    </w:p>
    <w:p>
      <w:pPr>
        <w:spacing w:before="65"/>
        <w:ind w:firstLine="640"/>
      </w:pPr>
      <w:r>
        <w:rPr>
          <w:rFonts w:hint="eastAsia"/>
        </w:rPr>
        <w:t>预测乡域天然气总量为49.6万立方米/年。</w:t>
      </w:r>
    </w:p>
    <w:p>
      <w:pPr>
        <w:spacing w:before="65"/>
        <w:ind w:firstLine="640"/>
      </w:pPr>
      <w:r>
        <w:rPr>
          <w:rFonts w:hint="eastAsia"/>
        </w:rPr>
        <w:t>规划气源接自西气东输三线。规划集镇区敷设中压燃气管网，有条件的村庄引入天然气管道。</w:t>
      </w:r>
    </w:p>
    <w:p>
      <w:pPr>
        <w:pStyle w:val="4"/>
      </w:pPr>
      <w:r>
        <w:rPr>
          <w:rFonts w:hint="eastAsia"/>
        </w:rPr>
        <w:t>环卫工程规划</w:t>
      </w:r>
    </w:p>
    <w:p>
      <w:pPr>
        <w:spacing w:before="65"/>
        <w:ind w:firstLine="640"/>
      </w:pPr>
      <w:r>
        <w:rPr>
          <w:rFonts w:hint="eastAsia"/>
        </w:rPr>
        <w:t>因此至</w:t>
      </w:r>
      <w:r>
        <w:t>2035年，规划预测全乡产生生活垃圾最高日产量为</w:t>
      </w:r>
      <w:bookmarkStart w:id="118" w:name="_Hlk209626718"/>
      <w:r>
        <w:rPr>
          <w:rFonts w:hint="eastAsia"/>
        </w:rPr>
        <w:t>8.7</w:t>
      </w:r>
      <w:bookmarkEnd w:id="118"/>
      <w:r>
        <w:t>吨/天</w:t>
      </w:r>
      <w:r>
        <w:rPr>
          <w:rFonts w:hint="eastAsia"/>
        </w:rPr>
        <w:t>。</w:t>
      </w:r>
    </w:p>
    <w:p>
      <w:pPr>
        <w:spacing w:before="65"/>
        <w:ind w:firstLine="640"/>
      </w:pPr>
      <w:bookmarkStart w:id="119" w:name="_Hlk209626723"/>
      <w:r>
        <w:rPr>
          <w:rFonts w:hint="eastAsia"/>
        </w:rPr>
        <w:t>建立由垃圾收集点——生活垃圾转运站构成的二级垃圾收集转运系统</w:t>
      </w:r>
      <w:bookmarkEnd w:id="119"/>
      <w:r>
        <w:rPr>
          <w:rFonts w:hint="eastAsia"/>
        </w:rPr>
        <w:t>。在集镇区规划生活垃圾转运站，全乡生活垃圾通过垃圾收集点收集，经过垃圾转运站最终送至垃圾处理设施进行统一处理。</w:t>
      </w:r>
    </w:p>
    <w:p>
      <w:pPr>
        <w:pStyle w:val="3"/>
      </w:pPr>
      <w:bookmarkStart w:id="120" w:name="_Toc185606070"/>
      <w:r>
        <w:rPr>
          <w:rFonts w:hint="eastAsia"/>
        </w:rPr>
        <w:t>公共服务设施规划</w:t>
      </w:r>
      <w:bookmarkEnd w:id="120"/>
    </w:p>
    <w:p>
      <w:pPr>
        <w:pStyle w:val="4"/>
      </w:pPr>
      <w:bookmarkStart w:id="121" w:name="_Hlk200522761"/>
      <w:bookmarkStart w:id="122" w:name="_Toc185606071"/>
      <w:r>
        <w:t>教育设施</w:t>
      </w:r>
    </w:p>
    <w:p>
      <w:pPr>
        <w:spacing w:before="65"/>
        <w:ind w:firstLine="640"/>
      </w:pPr>
      <w:bookmarkStart w:id="123" w:name="_Hlk208397340"/>
      <w:r>
        <w:rPr>
          <w:rFonts w:hint="eastAsia"/>
        </w:rPr>
        <w:t>保留现状1所初中，为集镇区七里坪乡初级中学，规划保留7所小学，集镇区新建1所小学，引导农村小学逐步集中到集镇区；规划保留8所幼儿园；已停用的学校根据《河南省农村中小学闲置校园校舍处置工作指导意见》（豫教发规〔2015〕7号）文件要求进行处理</w:t>
      </w:r>
      <w:bookmarkEnd w:id="123"/>
      <w:r>
        <w:rPr>
          <w:rFonts w:hint="eastAsia"/>
        </w:rPr>
        <w:t>。</w:t>
      </w:r>
    </w:p>
    <w:p>
      <w:pPr>
        <w:pStyle w:val="4"/>
      </w:pPr>
      <w:r>
        <w:t>文化设施</w:t>
      </w:r>
    </w:p>
    <w:p>
      <w:pPr>
        <w:spacing w:before="65"/>
        <w:ind w:firstLine="640"/>
        <w:rPr>
          <w:rFonts w:ascii="仿宋_GB2312" w:hAnsi="仿宋_GB2312" w:cs="仿宋_GB2312"/>
        </w:rPr>
      </w:pPr>
      <w:bookmarkStart w:id="124" w:name="_Hlk208397391"/>
      <w:r>
        <w:rPr>
          <w:rFonts w:hint="eastAsia"/>
        </w:rPr>
        <w:t>集镇区规划文化中心1处；规划各村庄设置文化活动室和农家书屋各1处，宜集合党群服务中心设置</w:t>
      </w:r>
      <w:r>
        <w:rPr>
          <w:rFonts w:hint="eastAsia" w:ascii="仿宋_GB2312" w:hAnsi="仿宋_GB2312" w:cs="仿宋_GB2312"/>
        </w:rPr>
        <w:t>。鼓励大龙村、花园村、三道河村、后会村等特色村庄设置特色民俗活动点，有条件的村庄可设置红白喜事厅</w:t>
      </w:r>
      <w:bookmarkEnd w:id="124"/>
      <w:r>
        <w:rPr>
          <w:rFonts w:hint="eastAsia" w:ascii="仿宋_GB2312" w:hAnsi="仿宋_GB2312" w:cs="仿宋_GB2312"/>
        </w:rPr>
        <w:t>。</w:t>
      </w:r>
    </w:p>
    <w:p>
      <w:pPr>
        <w:pStyle w:val="4"/>
      </w:pPr>
      <w:r>
        <w:rPr>
          <w:rFonts w:hint="eastAsia"/>
        </w:rPr>
        <w:t>体育设施</w:t>
      </w:r>
    </w:p>
    <w:p>
      <w:pPr>
        <w:ind w:firstLine="640"/>
      </w:pPr>
      <w:bookmarkStart w:id="125" w:name="_Hlk208397406"/>
      <w:r>
        <w:rPr>
          <w:rFonts w:hint="eastAsia"/>
        </w:rPr>
        <w:t>集镇区规划体育中心1处；规划各村庄设置健身广场各1处，宜结合文化活动室、村庄广场设置</w:t>
      </w:r>
      <w:bookmarkEnd w:id="125"/>
      <w:r>
        <w:rPr>
          <w:rFonts w:hint="eastAsia"/>
        </w:rPr>
        <w:t>。</w:t>
      </w:r>
    </w:p>
    <w:p>
      <w:pPr>
        <w:pStyle w:val="4"/>
      </w:pPr>
      <w:r>
        <w:t>医疗卫生设施</w:t>
      </w:r>
    </w:p>
    <w:p>
      <w:pPr>
        <w:spacing w:before="65"/>
        <w:ind w:firstLine="640"/>
      </w:pPr>
      <w:bookmarkStart w:id="126" w:name="_Hlk208397413"/>
      <w:r>
        <w:rPr>
          <w:rFonts w:hint="eastAsia"/>
        </w:rPr>
        <w:t>提升乡镇基层医疗卫生设施服务水平，落实乡镇卫生院中医馆设置，乡镇卫生院、村卫生室建设和服务能力全部达标等建设任务。完善乡镇基层医疗卫生设施配置，集镇区保留1处现状卫生院，每处床位数控制在50-200床；规划按照一村一室进行配置村级卫生室。对现有村庄卫生室进行提升，强化基层医疗作用，做到小病不出村</w:t>
      </w:r>
      <w:bookmarkEnd w:id="126"/>
      <w:r>
        <w:rPr>
          <w:rFonts w:hint="eastAsia"/>
        </w:rPr>
        <w:t>。</w:t>
      </w:r>
    </w:p>
    <w:p>
      <w:pPr>
        <w:pStyle w:val="4"/>
      </w:pPr>
      <w:r>
        <w:t>社会福利设施</w:t>
      </w:r>
    </w:p>
    <w:p>
      <w:pPr>
        <w:spacing w:before="65"/>
        <w:ind w:firstLine="640"/>
      </w:pPr>
      <w:bookmarkStart w:id="127" w:name="_Hlk208397433"/>
      <w:r>
        <w:rPr>
          <w:rFonts w:hint="eastAsia"/>
        </w:rPr>
        <w:t>集镇区保留现状1所敬老院、1所养老院，床位数控制在200床以内，七潭村、流峪村保留现状养老院，野獐坪村、三道河村等中心村各规划1处老年人日间照料中心，提供老年人日托服务，包括餐饮、文娱、健身、医疗保健等。其他村庄与村委会结合设置居家养老服务站，提供居家养老相关服务</w:t>
      </w:r>
      <w:bookmarkEnd w:id="127"/>
      <w:r>
        <w:rPr>
          <w:rFonts w:hint="eastAsia"/>
        </w:rPr>
        <w:t>。</w:t>
      </w:r>
    </w:p>
    <w:p>
      <w:pPr>
        <w:pStyle w:val="4"/>
      </w:pPr>
      <w:r>
        <w:t>商业服务设施</w:t>
      </w:r>
    </w:p>
    <w:p>
      <w:pPr>
        <w:spacing w:before="65"/>
        <w:ind w:firstLine="640"/>
      </w:pPr>
      <w:r>
        <w:rPr>
          <w:rFonts w:hint="eastAsia"/>
        </w:rPr>
        <w:t>延续集镇区沿街底商的商业布局，将各类商业布局优化，将特色农产品、文旅产品等分类型进行分区布局，便于游客购物，保留集镇区现状部分质量较好、商品丰富的商业服务设施。规划野獐坪村、三道河村、流峪村建设小型农贸市场及小型百货超市，服务于周边村庄。</w:t>
      </w:r>
    </w:p>
    <w:p>
      <w:pPr>
        <w:pStyle w:val="4"/>
      </w:pPr>
      <w:r>
        <w:t>殡葬设施</w:t>
      </w:r>
    </w:p>
    <w:p>
      <w:pPr>
        <w:spacing w:before="65"/>
        <w:ind w:firstLine="640"/>
        <w:sectPr>
          <w:pgSz w:w="11907" w:h="16839"/>
          <w:pgMar w:top="1440" w:right="1800" w:bottom="1440" w:left="1800" w:header="851" w:footer="680" w:gutter="0"/>
          <w:cols w:space="1135" w:num="1"/>
          <w:docGrid w:type="lines" w:linePitch="326" w:charSpace="0"/>
        </w:sectPr>
      </w:pPr>
      <w:r>
        <w:rPr>
          <w:rFonts w:hint="eastAsia"/>
        </w:rPr>
        <w:t>规划七里坪乡乡域建设占地不少于50亩的公益性公墓，满足居民基本丧葬需求。殡葬设施不得违规擅自兴建，不得在“三沿两区”（铁路沿线、公路沿线、河道沿线和水源保护区、居民居住区）建设，不得占用永久基本农田，公墓项目不得占用或变相占用耕地</w:t>
      </w:r>
      <w:r>
        <w:t>。</w:t>
      </w:r>
    </w:p>
    <w:bookmarkEnd w:id="121"/>
    <w:p>
      <w:pPr>
        <w:pStyle w:val="3"/>
      </w:pPr>
      <w:r>
        <w:rPr>
          <w:rFonts w:hint="eastAsia"/>
        </w:rPr>
        <w:t>防灾减灾规划</w:t>
      </w:r>
      <w:bookmarkEnd w:id="122"/>
    </w:p>
    <w:p>
      <w:pPr>
        <w:pStyle w:val="4"/>
      </w:pPr>
      <w:bookmarkStart w:id="128" w:name="_Hlk151384900"/>
      <w:r>
        <w:rPr>
          <w:rFonts w:hint="eastAsia"/>
        </w:rPr>
        <w:t>主要灾害防灾标准</w:t>
      </w:r>
    </w:p>
    <w:bookmarkEnd w:id="128"/>
    <w:p>
      <w:pPr>
        <w:ind w:firstLine="640"/>
      </w:pPr>
      <w:r>
        <w:rPr>
          <w:rFonts w:hint="eastAsia"/>
        </w:rPr>
        <w:t>1</w:t>
      </w:r>
      <w:r>
        <w:t>.</w:t>
      </w:r>
      <w:r>
        <w:rPr>
          <w:rFonts w:hint="eastAsia"/>
        </w:rPr>
        <w:t>防洪标准</w:t>
      </w:r>
    </w:p>
    <w:p>
      <w:pPr>
        <w:ind w:firstLine="640"/>
        <w:rPr>
          <w:u w:val="single"/>
        </w:rPr>
      </w:pPr>
      <w:bookmarkStart w:id="129" w:name="_Hlk208397471"/>
      <w:bookmarkStart w:id="130" w:name="_Hlk151385439"/>
      <w:r>
        <w:rPr>
          <w:rFonts w:hint="eastAsia"/>
          <w:u w:val="single"/>
        </w:rPr>
        <w:t>七里坪乡集镇区防洪标准为</w:t>
      </w:r>
      <w:r>
        <w:rPr>
          <w:u w:val="single"/>
        </w:rPr>
        <w:t>20年一遇</w:t>
      </w:r>
      <w:r>
        <w:rPr>
          <w:rFonts w:hint="eastAsia"/>
          <w:u w:val="single"/>
        </w:rPr>
        <w:t>，乡村防洪标准为10年一遇。</w:t>
      </w:r>
      <w:r>
        <w:rPr>
          <w:rFonts w:hint="eastAsia"/>
        </w:rPr>
        <w:t>结合河道防护区重要程度及现状防洪能力，湍河、黄沙河、七潭河的防洪标准为20年一遇</w:t>
      </w:r>
      <w:bookmarkEnd w:id="129"/>
      <w:r>
        <w:t>。</w:t>
      </w:r>
    </w:p>
    <w:bookmarkEnd w:id="130"/>
    <w:p>
      <w:pPr>
        <w:ind w:firstLine="640"/>
      </w:pPr>
      <w:r>
        <w:rPr>
          <w:rFonts w:hint="eastAsia"/>
        </w:rPr>
        <w:t>2</w:t>
      </w:r>
      <w:r>
        <w:t>.</w:t>
      </w:r>
      <w:r>
        <w:rPr>
          <w:rFonts w:hint="eastAsia"/>
        </w:rPr>
        <w:t>排涝标准</w:t>
      </w:r>
    </w:p>
    <w:p>
      <w:pPr>
        <w:ind w:firstLine="640"/>
      </w:pPr>
      <w:bookmarkStart w:id="131" w:name="_Hlk208397493"/>
      <w:r>
        <w:rPr>
          <w:rFonts w:hint="eastAsia"/>
        </w:rPr>
        <w:t>规划七里坪乡集镇区内涝防治设计重现期为</w:t>
      </w:r>
      <w:r>
        <w:t>20年一遇，</w:t>
      </w:r>
      <w:r>
        <w:rPr>
          <w:rFonts w:hint="eastAsia"/>
        </w:rPr>
        <w:t>对超过内涝防治设计重现期的降雨，按照应急预案要求采取应急措施</w:t>
      </w:r>
      <w:bookmarkEnd w:id="131"/>
      <w:r>
        <w:rPr>
          <w:rFonts w:hint="eastAsia"/>
        </w:rPr>
        <w:t>。</w:t>
      </w:r>
    </w:p>
    <w:p>
      <w:pPr>
        <w:ind w:firstLine="640"/>
      </w:pPr>
      <w:r>
        <w:rPr>
          <w:rFonts w:hint="eastAsia"/>
        </w:rPr>
        <w:t>3</w:t>
      </w:r>
      <w:r>
        <w:t>.</w:t>
      </w:r>
      <w:r>
        <w:rPr>
          <w:rFonts w:hint="eastAsia"/>
        </w:rPr>
        <w:t>抗震规划</w:t>
      </w:r>
    </w:p>
    <w:p>
      <w:pPr>
        <w:ind w:firstLine="640"/>
      </w:pPr>
      <w:r>
        <w:rPr>
          <w:rFonts w:hint="eastAsia"/>
          <w:u w:val="single"/>
        </w:rPr>
        <w:t>七里坪乡集镇区地震烈度为</w:t>
      </w:r>
      <w:r>
        <w:rPr>
          <w:u w:val="single"/>
        </w:rPr>
        <w:t>7度，新建、扩建、改建建设工程应按7度进行抗震设防，重要建筑和生命线工程应按8度标准加强抗震措施。</w:t>
      </w:r>
      <w:r>
        <w:t>重大建设工程、可能产生严重次生灾害的建设工程应当进行地震安全性评价，并根据安全性评价报告确定抗震设防措施。学校、医院等人员密集场所应当按照高于7度标准加强抗震措施。</w:t>
      </w:r>
    </w:p>
    <w:p>
      <w:pPr>
        <w:pStyle w:val="4"/>
      </w:pPr>
      <w:r>
        <w:rPr>
          <w:rFonts w:hint="eastAsia"/>
        </w:rPr>
        <w:t>构建防灾安全空间格局</w:t>
      </w:r>
    </w:p>
    <w:p>
      <w:pPr>
        <w:spacing w:before="65"/>
        <w:ind w:firstLine="640"/>
      </w:pPr>
      <w:r>
        <w:rPr>
          <w:rFonts w:hint="eastAsia"/>
        </w:rPr>
        <w:t>结合全乡主要交通干线，构建乡域救灾感应体系，与全县共同构建县-</w:t>
      </w:r>
      <w:r>
        <w:t>镇（乡）-村</w:t>
      </w:r>
      <w:r>
        <w:rPr>
          <w:rFonts w:hint="eastAsia"/>
        </w:rPr>
        <w:t>三</w:t>
      </w:r>
      <w:r>
        <w:t>级防灾设施体系。</w:t>
      </w:r>
      <w:r>
        <w:rPr>
          <w:rFonts w:hint="eastAsia"/>
        </w:rPr>
        <w:t>乡域境内，嵩内高速、G241、</w:t>
      </w:r>
      <w:r>
        <w:t>S243、S</w:t>
      </w:r>
      <w:r>
        <w:rPr>
          <w:rFonts w:hint="eastAsia"/>
        </w:rPr>
        <w:t>328为全乡的快速救援通道，疏散主要道路为乡道Y032、Y060、Y006、Y003、Y011等组成，规划强化救灾干道防灾性能，</w:t>
      </w:r>
      <w:r>
        <w:t>加强疏散通道沿线地区地质灾害和山洪灾害的工程治理。</w:t>
      </w:r>
    </w:p>
    <w:p>
      <w:pPr>
        <w:pStyle w:val="4"/>
      </w:pPr>
      <w:r>
        <w:rPr>
          <w:rFonts w:hint="eastAsia"/>
        </w:rPr>
        <w:t>重大防灾设施配置</w:t>
      </w:r>
    </w:p>
    <w:p>
      <w:pPr>
        <w:ind w:firstLine="640"/>
      </w:pPr>
      <w:r>
        <w:rPr>
          <w:rFonts w:hint="eastAsia"/>
        </w:rPr>
        <w:t>1</w:t>
      </w:r>
      <w:r>
        <w:t>.应急指挥设施体系</w:t>
      </w:r>
    </w:p>
    <w:p>
      <w:pPr>
        <w:ind w:firstLine="640"/>
      </w:pPr>
      <w:r>
        <w:rPr>
          <w:rFonts w:hint="eastAsia"/>
        </w:rPr>
        <w:t>设置</w:t>
      </w:r>
      <w:r>
        <w:t>镇（乡）-村</w:t>
      </w:r>
      <w:r>
        <w:rPr>
          <w:rFonts w:hint="eastAsia"/>
        </w:rPr>
        <w:t>两</w:t>
      </w:r>
      <w:r>
        <w:t>级防灾应急指挥系统，</w:t>
      </w:r>
      <w:r>
        <w:rPr>
          <w:rFonts w:hint="eastAsia"/>
        </w:rPr>
        <w:t>集镇区</w:t>
      </w:r>
      <w:r>
        <w:t>设置应急指挥中心1处，位于</w:t>
      </w:r>
      <w:r>
        <w:rPr>
          <w:rFonts w:hint="eastAsia"/>
        </w:rPr>
        <w:t>七里坪乡</w:t>
      </w:r>
      <w:r>
        <w:t>人民政府，村综合防灾应急指挥中心</w:t>
      </w:r>
      <w:r>
        <w:rPr>
          <w:rFonts w:hint="eastAsia"/>
        </w:rPr>
        <w:t>设在各村</w:t>
      </w:r>
      <w:r>
        <w:t>村委会。</w:t>
      </w:r>
    </w:p>
    <w:p>
      <w:pPr>
        <w:ind w:firstLine="640"/>
      </w:pPr>
      <w:r>
        <w:rPr>
          <w:rFonts w:hint="eastAsia"/>
        </w:rPr>
        <w:t>2</w:t>
      </w:r>
      <w:r>
        <w:t>.应急救灾物资储备设施</w:t>
      </w:r>
    </w:p>
    <w:p>
      <w:pPr>
        <w:ind w:firstLine="640"/>
      </w:pPr>
      <w:r>
        <w:rPr>
          <w:rFonts w:hint="eastAsia"/>
        </w:rPr>
        <w:t>结合乡政府设置救灾物资储备库，并配置装卸设备、技防设备、物资保管维护设备、交通工具（应急调度车、救灾物资转运车）与通讯调度设备等。</w:t>
      </w:r>
    </w:p>
    <w:p>
      <w:pPr>
        <w:ind w:firstLine="640"/>
      </w:pPr>
      <w:r>
        <w:rPr>
          <w:rFonts w:hint="eastAsia"/>
        </w:rPr>
        <w:t>3</w:t>
      </w:r>
      <w:r>
        <w:t>.提升应急医疗服务能力</w:t>
      </w:r>
    </w:p>
    <w:p>
      <w:pPr>
        <w:ind w:firstLine="640"/>
      </w:pPr>
      <w:r>
        <w:rPr>
          <w:rFonts w:hint="eastAsia"/>
        </w:rPr>
        <w:t>集镇区依托卫生院设置乡镇级应急医疗设施，各村分别规划设置</w:t>
      </w:r>
      <w:r>
        <w:t>1处</w:t>
      </w:r>
      <w:r>
        <w:rPr>
          <w:rFonts w:hint="eastAsia"/>
        </w:rPr>
        <w:t>村</w:t>
      </w:r>
      <w:r>
        <w:t>级应急医疗设施。</w:t>
      </w:r>
    </w:p>
    <w:p>
      <w:pPr>
        <w:ind w:firstLine="640"/>
      </w:pPr>
      <w:r>
        <w:rPr>
          <w:rFonts w:hint="eastAsia"/>
        </w:rPr>
        <w:t>4</w:t>
      </w:r>
      <w:r>
        <w:t>.消防设施</w:t>
      </w:r>
    </w:p>
    <w:p>
      <w:pPr>
        <w:ind w:firstLine="640"/>
      </w:pPr>
      <w:r>
        <w:rPr>
          <w:rFonts w:hint="eastAsia"/>
        </w:rPr>
        <w:t>集镇区规划</w:t>
      </w:r>
      <w:r>
        <w:t>设置1处</w:t>
      </w:r>
      <w:bookmarkStart w:id="132" w:name="OLE_LINK1"/>
      <w:bookmarkStart w:id="133" w:name="OLE_LINK2"/>
      <w:r>
        <w:rPr>
          <w:rFonts w:hint="eastAsia"/>
        </w:rPr>
        <w:t>二级乡镇专职消防队</w:t>
      </w:r>
      <w:bookmarkEnd w:id="132"/>
      <w:bookmarkEnd w:id="133"/>
      <w:r>
        <w:rPr>
          <w:rFonts w:hint="eastAsia"/>
        </w:rPr>
        <w:t>，按二级乡镇专职消防队要求配各人员及相关设施，服从内乡县消防系统的指挥和调遣</w:t>
      </w:r>
      <w:r>
        <w:t>。</w:t>
      </w:r>
    </w:p>
    <w:p>
      <w:pPr>
        <w:ind w:firstLine="640"/>
      </w:pPr>
      <w:bookmarkStart w:id="134" w:name="_Hlk209626754"/>
      <w:r>
        <w:rPr>
          <w:rFonts w:hint="eastAsia"/>
        </w:rPr>
        <w:t>在各行政村配建乡村志愿消防队，配备消防设施做到防消结合，定期开展消防演习，切实保证人民群众的生命财产安全不受损害</w:t>
      </w:r>
      <w:bookmarkEnd w:id="134"/>
      <w:r>
        <w:rPr>
          <w:rFonts w:hint="eastAsia"/>
        </w:rPr>
        <w:t>。</w:t>
      </w:r>
    </w:p>
    <w:p>
      <w:pPr>
        <w:pStyle w:val="4"/>
      </w:pPr>
      <w:r>
        <w:rPr>
          <w:rFonts w:hint="eastAsia"/>
        </w:rPr>
        <w:t>防治措施</w:t>
      </w:r>
    </w:p>
    <w:p>
      <w:pPr>
        <w:ind w:firstLine="640"/>
      </w:pPr>
      <w:r>
        <w:rPr>
          <w:rFonts w:hint="eastAsia"/>
        </w:rPr>
        <w:t>1</w:t>
      </w:r>
      <w:r>
        <w:t>.</w:t>
      </w:r>
      <w:r>
        <w:rPr>
          <w:rFonts w:hint="eastAsia"/>
        </w:rPr>
        <w:t>防洪排涝规划措施</w:t>
      </w:r>
    </w:p>
    <w:p>
      <w:pPr>
        <w:ind w:firstLine="640"/>
      </w:pPr>
      <w:r>
        <w:t>防洪措施</w:t>
      </w:r>
      <w:r>
        <w:rPr>
          <w:rFonts w:hint="eastAsia"/>
        </w:rPr>
        <w:t>：疏浚湍河等行洪河道，提高河道堤防标准，加强河道绿化防护带建设；沿山体设置截洪沟，截洪沟及冲沟应按规划有计划、有步骤地进行治理；建立洪水预警预报系统，防洪决策支持系统，制定超标洪水应急措施。</w:t>
      </w:r>
    </w:p>
    <w:p>
      <w:pPr>
        <w:ind w:firstLine="640"/>
      </w:pPr>
      <w:r>
        <w:t>防涝措施</w:t>
      </w:r>
      <w:r>
        <w:rPr>
          <w:rFonts w:hint="eastAsia"/>
        </w:rPr>
        <w:t>：完善集镇区雨水管网及排涝设施建设，采取改造原排水河道、改造旧排水管网、增建新管网、实施雨污分流以及污水集中处理和回用等措施；利用公园绿地、低洼地区及周边农田建设调蓄空间。</w:t>
      </w:r>
    </w:p>
    <w:p>
      <w:pPr>
        <w:ind w:firstLine="640"/>
      </w:pPr>
      <w:r>
        <w:rPr>
          <w:rFonts w:hint="eastAsia"/>
        </w:rPr>
        <w:t>2</w:t>
      </w:r>
      <w:r>
        <w:t>.抗震灾害防治</w:t>
      </w:r>
    </w:p>
    <w:p>
      <w:pPr>
        <w:ind w:firstLine="640"/>
      </w:pPr>
      <w:r>
        <w:rPr>
          <w:rFonts w:hint="eastAsia"/>
        </w:rPr>
        <w:t>（1）</w:t>
      </w:r>
      <w:r>
        <w:t>避震疏散场地</w:t>
      </w:r>
    </w:p>
    <w:p>
      <w:pPr>
        <w:ind w:firstLine="640"/>
      </w:pPr>
      <w:r>
        <w:rPr>
          <w:rFonts w:hint="eastAsia"/>
        </w:rPr>
        <w:t>利用公园、绿地、广场、体育场、停车场、学校操场等开敞空间设置人员避震疏散场地，固定避难场所人均有效避难面积不小于</w:t>
      </w:r>
      <w:r>
        <w:t>2.0平方米。</w:t>
      </w:r>
    </w:p>
    <w:p>
      <w:pPr>
        <w:ind w:firstLine="640"/>
      </w:pPr>
      <w:r>
        <w:rPr>
          <w:rFonts w:hint="eastAsia"/>
        </w:rPr>
        <w:t>（2）</w:t>
      </w:r>
      <w:r>
        <w:t>疏散救援通道</w:t>
      </w:r>
    </w:p>
    <w:p>
      <w:pPr>
        <w:ind w:firstLine="640"/>
      </w:pPr>
      <w:r>
        <w:rPr>
          <w:rFonts w:hint="eastAsia"/>
        </w:rPr>
        <w:t>以高速公路、国道、省道、县道作为一级疏散通道，保证震后有效宽度不小于</w:t>
      </w:r>
      <w:r>
        <w:t>15米；规划主干路作为二级疏散通道，保证震后有效宽度不小于7米；规划次干路作为三级疏散通道，保证震后有效宽度不小于4米。应严格控制抗震救灾疏散通道两侧的建筑高度及建筑后退红线距离。</w:t>
      </w:r>
    </w:p>
    <w:p>
      <w:pPr>
        <w:ind w:firstLine="640"/>
      </w:pPr>
    </w:p>
    <w:p>
      <w:pPr>
        <w:ind w:firstLine="640"/>
      </w:pPr>
    </w:p>
    <w:p>
      <w:pPr>
        <w:ind w:firstLine="640"/>
      </w:pPr>
      <w:r>
        <w:rPr>
          <w:rFonts w:hint="eastAsia"/>
        </w:rPr>
        <w:t>（3）</w:t>
      </w:r>
      <w:r>
        <w:t>抗震生命线系统</w:t>
      </w:r>
    </w:p>
    <w:p>
      <w:pPr>
        <w:ind w:firstLine="640"/>
      </w:pPr>
      <w:r>
        <w:rPr>
          <w:rFonts w:hint="eastAsia"/>
        </w:rPr>
        <w:t>城市生命线系统规划提高一度按</w:t>
      </w:r>
      <w:r>
        <w:t>8度标准设防，并采取设施地下化、对节点进行防灾处理及提高备用率等防灾措施，同时各生命线系统都要建立应急抢险队伍，提高生命线系统工程的防灾能力。</w:t>
      </w:r>
    </w:p>
    <w:p>
      <w:pPr>
        <w:ind w:firstLine="640"/>
      </w:pPr>
      <w:r>
        <w:rPr>
          <w:rFonts w:hint="eastAsia"/>
        </w:rPr>
        <w:t>3</w:t>
      </w:r>
      <w:r>
        <w:t>.地质灾害防治规划</w:t>
      </w:r>
    </w:p>
    <w:p>
      <w:pPr>
        <w:ind w:firstLine="640"/>
      </w:pPr>
      <w:r>
        <w:rPr>
          <w:rFonts w:hint="eastAsia"/>
        </w:rPr>
        <w:t>（1）</w:t>
      </w:r>
      <w:r>
        <w:t>监测预警</w:t>
      </w:r>
    </w:p>
    <w:p>
      <w:pPr>
        <w:ind w:firstLine="640"/>
      </w:pPr>
      <w:r>
        <w:rPr>
          <w:rFonts w:hint="eastAsia"/>
        </w:rPr>
        <w:t>建设地质灾害监测预警体系，建立地质灾害群测群防预警网络及重点地区地质灾害隐患点的专业监测预报网络，建设全乡地质灾害空间数据库及信息系统。</w:t>
      </w:r>
    </w:p>
    <w:p>
      <w:pPr>
        <w:ind w:firstLine="640"/>
      </w:pPr>
      <w:r>
        <w:rPr>
          <w:rFonts w:hint="eastAsia"/>
        </w:rPr>
        <w:t>（2）</w:t>
      </w:r>
      <w:r>
        <w:t>工程治理</w:t>
      </w:r>
    </w:p>
    <w:p>
      <w:pPr>
        <w:ind w:firstLine="640"/>
      </w:pPr>
      <w:r>
        <w:rPr>
          <w:rFonts w:hint="eastAsia"/>
        </w:rPr>
        <w:t>对危害公共安全、可能造成人员群死群伤和较大财产损失的、避让搬迁选址困难但易于工程治理的地质灾害隐患点，依据轻重缓急，有计划地分期、分批实施地质灾害治理工程。对于山洪易发地区，加强水土流失治理，极大限度减少泥石流灾害的发生。</w:t>
      </w:r>
    </w:p>
    <w:p>
      <w:pPr>
        <w:ind w:firstLine="640"/>
      </w:pPr>
      <w:r>
        <w:rPr>
          <w:rFonts w:hint="eastAsia"/>
        </w:rPr>
        <w:t>（3）</w:t>
      </w:r>
      <w:r>
        <w:t>避让搬迁</w:t>
      </w:r>
    </w:p>
    <w:p>
      <w:pPr>
        <w:ind w:firstLine="640"/>
      </w:pPr>
      <w:r>
        <w:rPr>
          <w:rFonts w:hint="eastAsia"/>
        </w:rPr>
        <w:t>对突发地质灾害高风险区内的居民，主动采取搬迁措施，避让地质灾害。</w:t>
      </w:r>
    </w:p>
    <w:p>
      <w:pPr>
        <w:ind w:firstLine="640"/>
      </w:pPr>
      <w:r>
        <w:rPr>
          <w:rFonts w:hint="eastAsia"/>
        </w:rPr>
        <w:t>（4）</w:t>
      </w:r>
      <w:r>
        <w:t>宣传培训</w:t>
      </w:r>
    </w:p>
    <w:p>
      <w:pPr>
        <w:ind w:firstLine="640"/>
      </w:pPr>
      <w:r>
        <w:rPr>
          <w:rFonts w:hint="eastAsia"/>
        </w:rPr>
        <w:t>对各村组级开展群测群防知识培训；每年对全乡地质灾害管理及技术人员进行年度地质灾害防治知识培训。</w:t>
      </w:r>
    </w:p>
    <w:p>
      <w:pPr>
        <w:ind w:firstLine="640"/>
      </w:pPr>
    </w:p>
    <w:p>
      <w:pPr>
        <w:ind w:firstLine="640"/>
      </w:pPr>
      <w:r>
        <w:rPr>
          <w:rFonts w:hint="eastAsia"/>
        </w:rPr>
        <w:t>4</w:t>
      </w:r>
      <w:r>
        <w:t>.突发公共卫生事件防御规划</w:t>
      </w:r>
    </w:p>
    <w:p>
      <w:pPr>
        <w:ind w:firstLine="640"/>
      </w:pPr>
      <w:r>
        <w:rPr>
          <w:rFonts w:hint="eastAsia"/>
        </w:rPr>
        <w:t>结合内乡县医疗卫生机构，构建突发公共卫生事件日常监测体系，以处理各类突发公共卫生事件信息分析。与内乡县共同构建县</w:t>
      </w:r>
      <w:r>
        <w:t>-镇-村三级公共卫生事件疫情预警与指挥体系，依托药店、车站、学校、社区、机关企事业单位等设施作为公共卫生事件的监测哨点，全面提升疫情监测预警能力。</w:t>
      </w:r>
    </w:p>
    <w:p>
      <w:pPr>
        <w:ind w:firstLine="640"/>
      </w:pPr>
      <w:r>
        <w:rPr>
          <w:rFonts w:hint="eastAsia"/>
        </w:rPr>
        <w:t>5</w:t>
      </w:r>
      <w:r>
        <w:t>.气象灾害防御规划</w:t>
      </w:r>
    </w:p>
    <w:p>
      <w:pPr>
        <w:ind w:firstLine="640"/>
      </w:pPr>
      <w:r>
        <w:t>加强气象灾害预警应急体系建设。加快现场气象应急保障系统建设，提高应急处置的能力和效率。</w:t>
      </w:r>
    </w:p>
    <w:p>
      <w:pPr>
        <w:ind w:firstLine="640"/>
      </w:pPr>
      <w:r>
        <w:rPr>
          <w:rFonts w:hint="eastAsia"/>
        </w:rPr>
        <w:t>6</w:t>
      </w:r>
      <w:r>
        <w:t>.消防规划</w:t>
      </w:r>
    </w:p>
    <w:p>
      <w:pPr>
        <w:ind w:firstLine="640"/>
      </w:pPr>
      <w:r>
        <w:rPr>
          <w:rFonts w:hint="eastAsia"/>
        </w:rPr>
        <w:t>提高消防站建筑物的抗灾能力；在重点保护目标内部或者附近设置消防水池或者取水平台；增强消防供水泵站、消防供水管道、消火栓等消防设施的抗震性能；设置应急疏散道路时应充分考虑消防救灾同行的需求。</w:t>
      </w:r>
    </w:p>
    <w:p>
      <w:pPr>
        <w:ind w:firstLine="640"/>
        <w:sectPr>
          <w:pgSz w:w="11907" w:h="16839"/>
          <w:pgMar w:top="1440" w:right="1800" w:bottom="1440" w:left="1800" w:header="851" w:footer="680" w:gutter="0"/>
          <w:cols w:space="1135" w:num="1"/>
          <w:docGrid w:type="lines" w:linePitch="326" w:charSpace="0"/>
        </w:sectPr>
      </w:pPr>
    </w:p>
    <w:p>
      <w:pPr>
        <w:ind w:firstLine="640"/>
      </w:pPr>
      <w:bookmarkStart w:id="135" w:name="_Toc185606072"/>
      <w:bookmarkStart w:id="136" w:name="_Hlk142923403"/>
    </w:p>
    <w:p>
      <w:pPr>
        <w:pStyle w:val="2"/>
      </w:pPr>
      <w:bookmarkStart w:id="137" w:name="_Toc209773049"/>
      <w:r>
        <w:t>历史文化与景观风貌规划</w:t>
      </w:r>
      <w:bookmarkEnd w:id="135"/>
      <w:bookmarkEnd w:id="137"/>
    </w:p>
    <w:bookmarkEnd w:id="136"/>
    <w:p>
      <w:pPr>
        <w:pStyle w:val="3"/>
        <w:spacing w:before="326" w:beforeLines="100" w:after="326" w:afterLines="100"/>
      </w:pPr>
      <w:bookmarkStart w:id="138" w:name="_Toc185606073"/>
      <w:bookmarkStart w:id="139" w:name="_Hlk142923409"/>
      <w:r>
        <w:rPr>
          <w:rFonts w:hint="eastAsia"/>
        </w:rPr>
        <w:t>历史文化保护传承</w:t>
      </w:r>
      <w:bookmarkEnd w:id="138"/>
    </w:p>
    <w:bookmarkEnd w:id="139"/>
    <w:p>
      <w:pPr>
        <w:pStyle w:val="4"/>
      </w:pPr>
      <w:bookmarkStart w:id="140" w:name="_Hlk142923435"/>
      <w:r>
        <w:rPr>
          <w:rFonts w:hint="eastAsia"/>
        </w:rPr>
        <w:t>乡域历史文化遗存</w:t>
      </w:r>
    </w:p>
    <w:bookmarkEnd w:id="140"/>
    <w:p>
      <w:pPr>
        <w:spacing w:before="65"/>
        <w:ind w:firstLine="640"/>
      </w:pPr>
      <w:r>
        <w:rPr>
          <w:rFonts w:hint="eastAsia"/>
          <w:u w:val="single"/>
        </w:rPr>
        <w:t>七里坪乡历史文化资源包括不可移动文物和非物质文化遗产；乡域内现存不可移动文物11处，其中2处县级文物保护单位、9处未定级文物；非物质文化遗产包括特色民俗、节日等</w:t>
      </w:r>
      <w:r>
        <w:rPr>
          <w:u w:val="single"/>
        </w:rPr>
        <w:t>。</w:t>
      </w:r>
    </w:p>
    <w:p>
      <w:pPr>
        <w:pStyle w:val="4"/>
      </w:pPr>
      <w:bookmarkStart w:id="141" w:name="_Hlk142923456"/>
      <w:r>
        <w:rPr>
          <w:rFonts w:hint="eastAsia"/>
        </w:rPr>
        <w:t>乡域历史文化保护规划</w:t>
      </w:r>
    </w:p>
    <w:bookmarkEnd w:id="141"/>
    <w:p>
      <w:pPr>
        <w:spacing w:before="65"/>
        <w:ind w:firstLine="640"/>
        <w:rPr>
          <w:rFonts w:hAnsi="Times New Roman"/>
          <w:u w:val="single"/>
          <w:lang w:bidi="ar"/>
        </w:rPr>
      </w:pPr>
      <w:r>
        <w:rPr>
          <w:rFonts w:hint="eastAsia" w:hAnsi="Times New Roman"/>
          <w:u w:val="single"/>
          <w:lang w:bidi="ar"/>
        </w:rPr>
        <w:t>文物保护单位的保护范围和建设控制地带应以县级以上人民政府公布的具体界线为基本依据。</w:t>
      </w:r>
    </w:p>
    <w:p>
      <w:pPr>
        <w:spacing w:before="65"/>
        <w:ind w:firstLine="640"/>
        <w:rPr>
          <w:rFonts w:hAnsi="Times New Roman"/>
          <w:u w:val="single"/>
          <w:lang w:bidi="ar"/>
        </w:rPr>
      </w:pPr>
      <w:r>
        <w:rPr>
          <w:rFonts w:hint="eastAsia" w:hAnsi="Times New Roman"/>
          <w:u w:val="single"/>
          <w:lang w:bidi="ar"/>
        </w:rPr>
        <w:t>在文物保护单位的保护范围和建设控制地带内，不得建设污染文物保护单位及其环境的设施，不得进行可能影响文物保护单位安全及其环境的活动。对已有的污染文物保护单位及其环境的设施，应当限期治理。</w:t>
      </w:r>
    </w:p>
    <w:p>
      <w:pPr>
        <w:spacing w:before="65"/>
        <w:ind w:firstLine="640"/>
      </w:pPr>
      <w:r>
        <w:rPr>
          <w:rFonts w:hint="eastAsia" w:hAnsi="Times New Roman"/>
          <w:u w:val="single"/>
          <w:lang w:bidi="ar"/>
        </w:rPr>
        <w:t>各级文物保护单位应严格按照《中华人民共和国文物保护法》的有关规定，以及文物主管部门公布的保护范围和建设控制地带严格保护</w:t>
      </w:r>
      <w:r>
        <w:rPr>
          <w:rFonts w:hint="eastAsia"/>
        </w:rPr>
        <w:t>。</w:t>
      </w:r>
    </w:p>
    <w:p>
      <w:pPr>
        <w:pStyle w:val="4"/>
      </w:pPr>
      <w:bookmarkStart w:id="142" w:name="_Hlk142923462"/>
      <w:r>
        <w:rPr>
          <w:rFonts w:hint="eastAsia"/>
        </w:rPr>
        <w:t>历史文化传承与活化利用</w:t>
      </w:r>
    </w:p>
    <w:bookmarkEnd w:id="142"/>
    <w:p>
      <w:pPr>
        <w:spacing w:before="65"/>
        <w:ind w:firstLine="640"/>
      </w:pPr>
      <w:r>
        <w:rPr>
          <w:rFonts w:hint="eastAsia"/>
        </w:rPr>
        <w:t>以自然山水为本底，引入探险体验、休闲度假等业态，打造高标准的生态休闲旅游区；深入挖掘特色村庄历史文化资源，依托天心洞、七星潭等旅游景点，打造探险体验游、特色乡村游等精品旅游线路。</w:t>
      </w:r>
    </w:p>
    <w:p>
      <w:pPr>
        <w:spacing w:before="65"/>
        <w:ind w:firstLine="640"/>
      </w:pPr>
      <w:r>
        <w:rPr>
          <w:rFonts w:hint="eastAsia"/>
        </w:rPr>
        <w:t>加大历史文化资源的挖掘保护弘扬力度，保护不可移动文物本体及其所处的环境，根据文化旅游的需要，加强不可移动文物景观环境的塑造，提升历史文化及景观资源的综合价值。缝合文化资源碎片空间，建构文化展示体系，塑造富有魅力的文化空间节点。</w:t>
      </w:r>
    </w:p>
    <w:p>
      <w:pPr>
        <w:pStyle w:val="3"/>
        <w:spacing w:before="326" w:beforeLines="100" w:after="326" w:afterLines="100"/>
      </w:pPr>
      <w:bookmarkStart w:id="143" w:name="_Toc185606074"/>
      <w:bookmarkStart w:id="144" w:name="_Hlk142923416"/>
      <w:r>
        <w:rPr>
          <w:rFonts w:hint="eastAsia"/>
        </w:rPr>
        <w:t>乡村景观风貌管控</w:t>
      </w:r>
      <w:bookmarkEnd w:id="143"/>
    </w:p>
    <w:bookmarkEnd w:id="144"/>
    <w:p>
      <w:pPr>
        <w:pStyle w:val="4"/>
      </w:pPr>
      <w:bookmarkStart w:id="145" w:name="_Hlk142923561"/>
      <w:r>
        <w:rPr>
          <w:rFonts w:hint="eastAsia"/>
        </w:rPr>
        <w:t>乡村风貌总体定位</w:t>
      </w:r>
    </w:p>
    <w:bookmarkEnd w:id="145"/>
    <w:p>
      <w:pPr>
        <w:spacing w:before="65" w:after="120"/>
        <w:ind w:firstLine="640"/>
      </w:pPr>
      <w:r>
        <w:rPr>
          <w:rFonts w:hint="eastAsia"/>
        </w:rPr>
        <w:t>依据七里坪乡整体地形地势及发展现状，将七里坪乡乡村风貌定位为：豫西南浅山丘陵小镇风貌。提升乡村地区的时代特征和乡村气息，注重村庄布局和山水景观、农田景观的协调，避免破坏乡村原有的形态格局，充分体现乡村风光。</w:t>
      </w:r>
    </w:p>
    <w:p>
      <w:pPr>
        <w:pStyle w:val="4"/>
      </w:pPr>
      <w:bookmarkStart w:id="146" w:name="_Hlk142923566"/>
      <w:r>
        <w:rPr>
          <w:rFonts w:hint="eastAsia"/>
        </w:rPr>
        <w:t>乡村风貌总体框架</w:t>
      </w:r>
    </w:p>
    <w:bookmarkEnd w:id="146"/>
    <w:p>
      <w:pPr>
        <w:spacing w:before="65"/>
        <w:ind w:firstLine="640"/>
      </w:pPr>
      <w:r>
        <w:rPr>
          <w:rFonts w:hint="eastAsia"/>
        </w:rPr>
        <w:t>依托七里坪乡本底自然生态环境，结合文化景观资源，构建“两轴两带三核一面山”的全域景观风貌系统。</w:t>
      </w:r>
    </w:p>
    <w:p>
      <w:pPr>
        <w:spacing w:before="65"/>
        <w:ind w:firstLine="640"/>
      </w:pPr>
      <w:r>
        <w:rPr>
          <w:rFonts w:hint="eastAsia"/>
        </w:rPr>
        <w:t>两轴：沿G241形成的东西向乡村景观风貌轴，沿S328、S243形成的南北向乡村景观风貌轴。</w:t>
      </w:r>
    </w:p>
    <w:p>
      <w:pPr>
        <w:spacing w:before="65"/>
        <w:ind w:firstLine="640"/>
      </w:pPr>
      <w:r>
        <w:rPr>
          <w:rFonts w:hint="eastAsia"/>
        </w:rPr>
        <w:t>两带：湍河、黄沙河景观带。</w:t>
      </w:r>
    </w:p>
    <w:p>
      <w:pPr>
        <w:spacing w:before="65"/>
        <w:ind w:firstLine="640"/>
      </w:pPr>
      <w:r>
        <w:rPr>
          <w:rFonts w:hint="eastAsia"/>
        </w:rPr>
        <w:t>三核：景观核心，分别为七里坪集镇区、流峪村、野獐坪村。</w:t>
      </w:r>
    </w:p>
    <w:p>
      <w:pPr>
        <w:spacing w:before="65"/>
        <w:ind w:firstLine="640"/>
      </w:pPr>
      <w:r>
        <w:rPr>
          <w:rFonts w:hint="eastAsia"/>
        </w:rPr>
        <w:t>一面山：沿山形成的山体景观风貌带</w:t>
      </w:r>
      <w:r>
        <w:t>。</w:t>
      </w:r>
    </w:p>
    <w:p>
      <w:pPr>
        <w:pStyle w:val="4"/>
      </w:pPr>
      <w:bookmarkStart w:id="147" w:name="_Hlk142923571"/>
      <w:r>
        <w:rPr>
          <w:rFonts w:hint="eastAsia"/>
        </w:rPr>
        <w:t>乡村风貌分区引导</w:t>
      </w:r>
    </w:p>
    <w:bookmarkEnd w:id="147"/>
    <w:p>
      <w:pPr>
        <w:spacing w:before="65"/>
        <w:ind w:firstLine="640"/>
      </w:pPr>
      <w:r>
        <w:rPr>
          <w:rFonts w:hint="eastAsia"/>
        </w:rPr>
        <w:t>依据地貌特征、社会经济发展状况，将七里坪乡划分为山水风貌区、现代乡村风貌区、农田景观风貌区三大类。</w:t>
      </w:r>
    </w:p>
    <w:p>
      <w:pPr>
        <w:ind w:firstLine="640"/>
      </w:pPr>
      <w:r>
        <w:rPr>
          <w:rFonts w:hint="eastAsia"/>
        </w:rPr>
        <w:t>1</w:t>
      </w:r>
      <w:r>
        <w:t>.</w:t>
      </w:r>
      <w:r>
        <w:rPr>
          <w:rFonts w:hint="eastAsia"/>
        </w:rPr>
        <w:t>山</w:t>
      </w:r>
      <w:r>
        <w:t>水风貌区</w:t>
      </w:r>
    </w:p>
    <w:p>
      <w:pPr>
        <w:spacing w:before="65"/>
        <w:ind w:firstLine="640"/>
      </w:pPr>
      <w:r>
        <w:rPr>
          <w:rFonts w:hint="eastAsia"/>
        </w:rPr>
        <w:t>主要为北部山区村庄，该区域延续山水格局，在空间尺度和建筑风貌等体现地方特色。鼓励种植体现本土特色的植物，凸显山区特色风貌，村庄建筑采用本土民居建筑风格，控制建筑高度，强化建筑色彩与建筑材质的管控，彰显特色乡韵。</w:t>
      </w:r>
    </w:p>
    <w:p>
      <w:pPr>
        <w:ind w:firstLine="640"/>
      </w:pPr>
      <w:r>
        <w:rPr>
          <w:rFonts w:hint="eastAsia"/>
        </w:rPr>
        <w:t>2</w:t>
      </w:r>
      <w:r>
        <w:t>.</w:t>
      </w:r>
      <w:r>
        <w:rPr>
          <w:rFonts w:hint="eastAsia"/>
        </w:rPr>
        <w:t>现代乡村</w:t>
      </w:r>
      <w:r>
        <w:t>风貌区</w:t>
      </w:r>
    </w:p>
    <w:p>
      <w:pPr>
        <w:spacing w:before="65"/>
        <w:ind w:firstLine="640"/>
      </w:pPr>
      <w:r>
        <w:rPr>
          <w:rFonts w:hint="eastAsia"/>
        </w:rPr>
        <w:t>主要为七里坪乡集镇区；加强集镇区与内乡县城及周围镇区的联系，强化公共设施的便利性与公共空间的舒适性，居住建筑和公共设施在建筑风格上为现代风格，体现现代功能属性，展现宜居宜业的活力镇区风貌。</w:t>
      </w:r>
    </w:p>
    <w:p>
      <w:pPr>
        <w:spacing w:before="65"/>
        <w:ind w:firstLine="640"/>
      </w:pPr>
    </w:p>
    <w:p>
      <w:pPr>
        <w:ind w:firstLine="640"/>
      </w:pPr>
    </w:p>
    <w:p>
      <w:pPr>
        <w:ind w:firstLine="640"/>
      </w:pPr>
      <w:r>
        <w:rPr>
          <w:rFonts w:hint="eastAsia"/>
        </w:rPr>
        <w:t>2</w:t>
      </w:r>
      <w:r>
        <w:t>.农田景观风貌区</w:t>
      </w:r>
    </w:p>
    <w:p>
      <w:pPr>
        <w:spacing w:before="65"/>
        <w:ind w:firstLine="640"/>
      </w:pPr>
      <w:r>
        <w:rPr>
          <w:rFonts w:hint="eastAsia"/>
        </w:rPr>
        <w:t>主要为南部丘陵地区村庄，该区域主要体现田园风光，注重农田景观的连续性和大地景观的营造，凸显田乡风貌。</w:t>
      </w:r>
    </w:p>
    <w:p>
      <w:pPr>
        <w:pStyle w:val="4"/>
      </w:pPr>
      <w:r>
        <w:rPr>
          <w:rFonts w:hint="eastAsia"/>
        </w:rPr>
        <w:t>乡村特色风貌引导</w:t>
      </w:r>
    </w:p>
    <w:p>
      <w:pPr>
        <w:ind w:firstLine="640"/>
      </w:pPr>
      <w:r>
        <w:rPr>
          <w:rFonts w:hint="eastAsia"/>
        </w:rPr>
        <w:t>1</w:t>
      </w:r>
      <w:r>
        <w:t>.</w:t>
      </w:r>
      <w:r>
        <w:rPr>
          <w:rFonts w:hint="eastAsia"/>
        </w:rPr>
        <w:t>现代乡村</w:t>
      </w:r>
      <w:r>
        <w:t>特色分貌区引导</w:t>
      </w:r>
    </w:p>
    <w:p>
      <w:pPr>
        <w:ind w:firstLine="640"/>
      </w:pPr>
      <w:r>
        <w:rPr>
          <w:rFonts w:hint="eastAsia"/>
        </w:rPr>
        <w:t>集镇区重点加强内部与外部绿色开敞空间的渗透融合，控制建筑高度与体量，形成自然风光优美的特色乡村风貌。新建建筑应与现状风貌和谐统一，现代风格，建筑高度以2-3层为主，建筑色彩以白色、灰色为主，加以黄色、红色点缀；公共服务设施以功能为前提，可进行特色设计</w:t>
      </w:r>
      <w:r>
        <w:t>。</w:t>
      </w:r>
    </w:p>
    <w:p>
      <w:pPr>
        <w:ind w:firstLine="640"/>
      </w:pPr>
      <w:r>
        <w:rPr>
          <w:rFonts w:hint="eastAsia"/>
        </w:rPr>
        <w:t>2</w:t>
      </w:r>
      <w:r>
        <w:t>.特色山水风貌区引导</w:t>
      </w:r>
    </w:p>
    <w:p>
      <w:pPr>
        <w:ind w:firstLine="640"/>
      </w:pPr>
      <w:r>
        <w:rPr>
          <w:rFonts w:hint="eastAsia"/>
        </w:rPr>
        <w:t>山前村庄应随山应势，在空间尺度与建筑风貌等方面体现地方特色，控制大规模生产生活设施建设，注重村庄形态与山体地形的协调，新建建筑应延续村落肌理，风貌与周边环境及现有村落协调统一。建筑色彩上采用“黑、白、灰”三种颜色搭配，达到朴素而简洁的外观效果，突出传统的雅致风韵，使建筑色调融入自然环境。</w:t>
      </w:r>
    </w:p>
    <w:p>
      <w:pPr>
        <w:ind w:firstLine="640"/>
      </w:pPr>
      <w:r>
        <w:br w:type="page"/>
      </w:r>
    </w:p>
    <w:bookmarkEnd w:id="112"/>
    <w:bookmarkEnd w:id="113"/>
    <w:p>
      <w:pPr>
        <w:ind w:firstLine="640"/>
      </w:pPr>
      <w:bookmarkStart w:id="148" w:name="_Toc122362359"/>
      <w:bookmarkEnd w:id="148"/>
      <w:bookmarkStart w:id="149" w:name="_Toc122364769"/>
      <w:bookmarkEnd w:id="149"/>
      <w:bookmarkStart w:id="150" w:name="_Toc23050"/>
      <w:bookmarkEnd w:id="150"/>
      <w:bookmarkStart w:id="151" w:name="_Toc185606078"/>
    </w:p>
    <w:p>
      <w:pPr>
        <w:pStyle w:val="2"/>
      </w:pPr>
      <w:bookmarkStart w:id="152" w:name="_Toc209773050"/>
      <w:r>
        <w:rPr>
          <w:rFonts w:hint="eastAsia"/>
        </w:rPr>
        <w:t>乡镇政府驻地规划</w:t>
      </w:r>
      <w:bookmarkEnd w:id="151"/>
      <w:bookmarkEnd w:id="152"/>
    </w:p>
    <w:p>
      <w:pPr>
        <w:pStyle w:val="3"/>
        <w:spacing w:before="326" w:beforeLines="100" w:after="326" w:afterLines="100"/>
      </w:pPr>
      <w:bookmarkStart w:id="153" w:name="_Toc185606079"/>
      <w:r>
        <w:rPr>
          <w:rFonts w:hint="eastAsia"/>
        </w:rPr>
        <w:t>发展规模、发展方向</w:t>
      </w:r>
      <w:bookmarkEnd w:id="153"/>
    </w:p>
    <w:p>
      <w:pPr>
        <w:pStyle w:val="4"/>
      </w:pPr>
      <w:r>
        <w:rPr>
          <w:rFonts w:hint="eastAsia"/>
        </w:rPr>
        <w:t>发展规模</w:t>
      </w:r>
    </w:p>
    <w:p>
      <w:pPr>
        <w:pStyle w:val="5"/>
        <w:ind w:firstLine="640"/>
      </w:pPr>
      <w:bookmarkStart w:id="154" w:name="_Hlk208407395"/>
      <w:r>
        <w:rPr>
          <w:rFonts w:hint="eastAsia"/>
        </w:rPr>
        <w:t>人口规模</w:t>
      </w:r>
    </w:p>
    <w:p>
      <w:pPr>
        <w:spacing w:before="65"/>
        <w:ind w:firstLine="640"/>
      </w:pPr>
      <w:r>
        <w:rPr>
          <w:rFonts w:hint="eastAsia"/>
        </w:rPr>
        <w:t>规划集镇区人口规模为0.50万人</w:t>
      </w:r>
      <w:r>
        <w:t>。</w:t>
      </w:r>
    </w:p>
    <w:p>
      <w:pPr>
        <w:pStyle w:val="5"/>
        <w:ind w:firstLine="640"/>
      </w:pPr>
      <w:r>
        <w:rPr>
          <w:rFonts w:hint="eastAsia"/>
        </w:rPr>
        <w:t>集镇区建设用地规模</w:t>
      </w:r>
    </w:p>
    <w:p>
      <w:pPr>
        <w:spacing w:before="65"/>
        <w:ind w:firstLine="640"/>
      </w:pPr>
      <w:r>
        <w:rPr>
          <w:rFonts w:hint="eastAsia"/>
        </w:rPr>
        <w:t>集镇区规划范围总面积为98.77公顷，规划</w:t>
      </w:r>
      <w:bookmarkStart w:id="155" w:name="_Hlk208306775"/>
      <w:r>
        <w:rPr>
          <w:rFonts w:hint="eastAsia"/>
        </w:rPr>
        <w:t>集镇区建设用地</w:t>
      </w:r>
      <w:bookmarkEnd w:id="155"/>
      <w:r>
        <w:rPr>
          <w:rFonts w:hint="eastAsia"/>
        </w:rPr>
        <w:t>规模为96.22公顷。</w:t>
      </w:r>
    </w:p>
    <w:bookmarkEnd w:id="154"/>
    <w:p>
      <w:pPr>
        <w:pStyle w:val="3"/>
        <w:spacing w:before="326" w:beforeLines="100" w:after="326" w:afterLines="100"/>
      </w:pPr>
      <w:bookmarkStart w:id="156" w:name="_Toc185606080"/>
      <w:r>
        <w:rPr>
          <w:rFonts w:hint="eastAsia"/>
        </w:rPr>
        <w:t>用地布局</w:t>
      </w:r>
      <w:bookmarkEnd w:id="156"/>
    </w:p>
    <w:p>
      <w:pPr>
        <w:pStyle w:val="4"/>
      </w:pPr>
      <w:r>
        <w:rPr>
          <w:rFonts w:hint="eastAsia"/>
        </w:rPr>
        <w:t>规划</w:t>
      </w:r>
      <w:bookmarkStart w:id="157" w:name="_Hlk167089361"/>
      <w:r>
        <w:rPr>
          <w:rFonts w:hint="eastAsia"/>
        </w:rPr>
        <w:t>空间结构</w:t>
      </w:r>
      <w:bookmarkEnd w:id="157"/>
    </w:p>
    <w:p>
      <w:pPr>
        <w:spacing w:before="65"/>
        <w:ind w:firstLine="640"/>
      </w:pPr>
      <w:bookmarkStart w:id="158" w:name="_Hlk207386399"/>
      <w:r>
        <w:rPr>
          <w:rFonts w:hint="eastAsia"/>
        </w:rPr>
        <w:t>根据七里坪乡现状布局特征和发展方向，规划建设形成“两心三轴三片区”的空间结构。</w:t>
      </w:r>
    </w:p>
    <w:p>
      <w:pPr>
        <w:spacing w:before="65"/>
        <w:ind w:firstLine="640"/>
      </w:pPr>
      <w:r>
        <w:rPr>
          <w:rFonts w:hint="eastAsia"/>
        </w:rPr>
        <w:t>两心为综合服务中心、旅游服务中心。综合服务中心以镇政府为核心，是全乡行政服务中心、文化服务中心、产业服务中心；旅游服务中心为全乡旅游景点的综合服务中心。</w:t>
      </w:r>
    </w:p>
    <w:p>
      <w:pPr>
        <w:spacing w:before="65"/>
        <w:ind w:firstLine="640"/>
      </w:pPr>
      <w:r>
        <w:rPr>
          <w:rFonts w:hint="eastAsia"/>
        </w:rPr>
        <w:t>三轴为沿七宝路、Z010形成的两条集镇发展主轴，沿平安路形成的发展次轴。</w:t>
      </w:r>
    </w:p>
    <w:p>
      <w:pPr>
        <w:spacing w:before="65"/>
        <w:ind w:firstLine="640"/>
      </w:pPr>
      <w:r>
        <w:rPr>
          <w:rFonts w:hint="eastAsia"/>
        </w:rPr>
        <w:t>三片区分别为产业发展区、旅游服务区、生活片区，各类产业片区化发展。其中，产业发展区位于集镇北部，主要发展加工产业；旅游服务区以旅游服务中心为核心，结合周边文化体育设施形成旅游服务区；生活片区主要为集镇区西南以居住为主的片区</w:t>
      </w:r>
      <w:bookmarkEnd w:id="158"/>
      <w:r>
        <w:rPr>
          <w:rFonts w:hint="eastAsia"/>
        </w:rPr>
        <w:t>。</w:t>
      </w:r>
    </w:p>
    <w:p>
      <w:pPr>
        <w:pStyle w:val="4"/>
      </w:pPr>
      <w:r>
        <w:rPr>
          <w:rFonts w:hint="eastAsia"/>
        </w:rPr>
        <w:t>规划分区</w:t>
      </w:r>
    </w:p>
    <w:p>
      <w:pPr>
        <w:ind w:firstLine="640"/>
      </w:pPr>
      <w:bookmarkStart w:id="159" w:name="_Hlk208407650"/>
      <w:r>
        <w:rPr>
          <w:rFonts w:hint="eastAsia"/>
        </w:rPr>
        <w:t>集镇区规划范围内划分为六个功能分区，功能区采用“详细规划+规划许可”的方式进行管理。</w:t>
      </w:r>
    </w:p>
    <w:p>
      <w:pPr>
        <w:ind w:firstLine="640"/>
      </w:pPr>
      <w:r>
        <w:rPr>
          <w:rFonts w:hint="eastAsia"/>
        </w:rPr>
        <w:t>1.规划分区划分</w:t>
      </w:r>
    </w:p>
    <w:p>
      <w:pPr>
        <w:ind w:firstLine="640"/>
      </w:pPr>
      <w:r>
        <w:rPr>
          <w:rFonts w:hint="eastAsia"/>
        </w:rPr>
        <w:t>（1）居住生活区</w:t>
      </w:r>
    </w:p>
    <w:p>
      <w:pPr>
        <w:ind w:firstLine="640"/>
      </w:pPr>
      <w:r>
        <w:rPr>
          <w:rFonts w:hint="eastAsia"/>
        </w:rPr>
        <w:t>居住生活区面积约为41.32公顷，以居住和生活服务配套为主要功能。完善公共服务设施和绿地与开敞空间建设，优化提升居住区功能和环境，在保障主要功能导向的前提下，鼓励多元功能的适度混合，避免重大妨害功能的干扰。</w:t>
      </w:r>
    </w:p>
    <w:p>
      <w:pPr>
        <w:ind w:firstLine="640"/>
      </w:pPr>
      <w:r>
        <w:rPr>
          <w:rFonts w:hint="eastAsia"/>
        </w:rPr>
        <w:t>（2）综合服务区</w:t>
      </w:r>
    </w:p>
    <w:p>
      <w:pPr>
        <w:ind w:firstLine="640"/>
      </w:pPr>
      <w:r>
        <w:rPr>
          <w:rFonts w:hint="eastAsia"/>
        </w:rPr>
        <w:t>综合服务区面积约为12.76公顷，以提供行政办公、文化体育、教育、医疗等服务为主要功能导向的区域，主要为镇区西侧的文化体育、中部的教育片区、东侧的综合服务及医疗服务。强化文化、体育、商贸商务等功能的合理配置，建立创新服务平台，植入公共空间，提升公共活动中心空间覆盖。</w:t>
      </w:r>
    </w:p>
    <w:p>
      <w:pPr>
        <w:ind w:firstLine="640"/>
      </w:pPr>
    </w:p>
    <w:p>
      <w:pPr>
        <w:ind w:firstLine="640"/>
      </w:pPr>
      <w:r>
        <w:rPr>
          <w:rFonts w:hint="eastAsia"/>
        </w:rPr>
        <w:t>（3）商业商务区</w:t>
      </w:r>
    </w:p>
    <w:p>
      <w:pPr>
        <w:ind w:firstLine="640"/>
      </w:pPr>
      <w:r>
        <w:rPr>
          <w:rFonts w:hint="eastAsia"/>
        </w:rPr>
        <w:t>商业商务区面积约为10.79公顷，以商业商贸为主要功能，承载现代消费、休闲娱乐、金融服务等服务业态，综合服务功能应集约紧凑，满足服务等级、规模及类型要求。</w:t>
      </w:r>
    </w:p>
    <w:p>
      <w:pPr>
        <w:ind w:firstLine="640"/>
      </w:pPr>
      <w:r>
        <w:rPr>
          <w:rFonts w:hint="eastAsia"/>
        </w:rPr>
        <w:t>（4）工业发展区</w:t>
      </w:r>
    </w:p>
    <w:p>
      <w:pPr>
        <w:ind w:firstLine="640"/>
      </w:pPr>
      <w:r>
        <w:rPr>
          <w:rFonts w:hint="eastAsia"/>
        </w:rPr>
        <w:t>工业发展区面积约为13.82公顷，以工业用地为主，适当布局为工业服务的商服用地。工业发展区是规划确定的集镇区主要工业等功能的总体空间布局，应与周边其他功能区协调好安全防护关系。统筹安排集镇区生产性功能，提升生产运行效率，严格遵守环保要求，降低工业功能对城市居住、公共环境、交通等的干扰，保障其他城市功能有序运行；对区内不同类型工业用地的安全防护提出控制要求，以及产城融合建设的具体规定。</w:t>
      </w:r>
    </w:p>
    <w:p>
      <w:pPr>
        <w:ind w:firstLine="640"/>
      </w:pPr>
      <w:r>
        <w:rPr>
          <w:rFonts w:hint="eastAsia"/>
        </w:rPr>
        <w:t>（5）物流仓储区</w:t>
      </w:r>
    </w:p>
    <w:p>
      <w:pPr>
        <w:ind w:firstLine="640"/>
      </w:pPr>
      <w:r>
        <w:rPr>
          <w:rFonts w:hint="eastAsia"/>
        </w:rPr>
        <w:t>物流仓储区面积约为4.07公顷，以物流仓储用地为主，适当布局为物流仓储的商服用地。主要布局在集镇区北侧。物流仓储区应统筹城乡仓储物流功能，满足七里坪乡生产需求和生活需求，与其他功能区协调好安全防护关系，降低对城乡居住、公共环境、交通等的干扰。</w:t>
      </w:r>
    </w:p>
    <w:p>
      <w:pPr>
        <w:ind w:firstLine="640"/>
      </w:pPr>
      <w:r>
        <w:rPr>
          <w:rFonts w:hint="eastAsia"/>
        </w:rPr>
        <w:t>（6）绿地休闲区</w:t>
      </w:r>
    </w:p>
    <w:p>
      <w:pPr>
        <w:ind w:firstLine="640"/>
      </w:pPr>
      <w:r>
        <w:rPr>
          <w:rFonts w:hint="eastAsia"/>
        </w:rPr>
        <w:t>绿地休闲区面积约为2.47公顷，可兼容少量商服用地、公共管理与公共服务设施用地。绿地休闲区应安排好“点、线、面”结合的绿地系统结构，为居民提供便捷可达、充足友好的游憩休闲空间，并确保相互干扰的功能区的防护隔离；对公园绿地、广场用地、防护绿地的总体规模与服务半径提出控制要求。</w:t>
      </w:r>
    </w:p>
    <w:p>
      <w:pPr>
        <w:ind w:firstLine="640"/>
      </w:pPr>
      <w:r>
        <w:rPr>
          <w:rFonts w:hint="eastAsia"/>
        </w:rPr>
        <w:t>（7）战略预留区</w:t>
      </w:r>
    </w:p>
    <w:p>
      <w:pPr>
        <w:ind w:firstLine="640"/>
      </w:pPr>
      <w:r>
        <w:rPr>
          <w:rFonts w:hint="eastAsia"/>
        </w:rPr>
        <w:t>战略预留区面积约为1.90公顷；战略预留区是对集镇区发展产生重大影响的、尚具有不确定性的战略性功能进行空间预留，并应加强区内一切建设行为的预先管控。以用途待定用地及现状用地为主。</w:t>
      </w:r>
    </w:p>
    <w:p>
      <w:pPr>
        <w:ind w:firstLine="640"/>
      </w:pPr>
      <w:r>
        <w:rPr>
          <w:rFonts w:hint="eastAsia"/>
        </w:rPr>
        <w:t>2.管控规则</w:t>
      </w:r>
    </w:p>
    <w:p>
      <w:pPr>
        <w:ind w:firstLine="640"/>
      </w:pPr>
      <w:r>
        <w:rPr>
          <w:rFonts w:hint="eastAsia"/>
        </w:rPr>
        <w:t>功能区采用“用途准入+指标控制+原则指引”的方式进行管理，明确开发强度分区、各类用地的强度指标，如容积率、建筑密度等；提出用地兼容比例控制要求，鼓励用地功能混合使用，营造镇区的多样性；结合地方文化和特色，提出高度、风貌等空间形态控制要求。</w:t>
      </w:r>
    </w:p>
    <w:p>
      <w:pPr>
        <w:ind w:firstLine="640"/>
      </w:pPr>
      <w:r>
        <w:rPr>
          <w:rFonts w:hint="eastAsia"/>
        </w:rPr>
        <w:t>（1）用途准入</w:t>
      </w:r>
    </w:p>
    <w:p>
      <w:pPr>
        <w:ind w:firstLine="640"/>
      </w:pPr>
      <w:r>
        <w:rPr>
          <w:rFonts w:hint="eastAsia"/>
        </w:rPr>
        <w:t>城镇集中建设区各类城镇建设用途的准入应符合国土空间规划和其他相关规划，优先使用存量建设用地，引导城镇低效用地再开发，提高建设用地使用效率，落实建设用地标准控制制度，开展节约集约用地评价，推广应用节地技术和节地模式。</w:t>
      </w:r>
    </w:p>
    <w:p>
      <w:pPr>
        <w:ind w:firstLine="640"/>
      </w:pPr>
      <w:r>
        <w:rPr>
          <w:rFonts w:hint="eastAsia"/>
        </w:rPr>
        <w:t>鼓励建设用地的复合性开发，按照用途相近、功能兼容、互无干扰、基础设施共享的原则，研究制定有助于生活便利、各类用途相互促进的兼容性地类和相关控制指标。</w:t>
      </w:r>
    </w:p>
    <w:p>
      <w:pPr>
        <w:ind w:firstLine="640"/>
      </w:pPr>
      <w:r>
        <w:rPr>
          <w:rFonts w:hint="eastAsia"/>
        </w:rPr>
        <w:t>（2）用途退出</w:t>
      </w:r>
    </w:p>
    <w:p>
      <w:pPr>
        <w:ind w:firstLine="640"/>
      </w:pPr>
      <w:r>
        <w:rPr>
          <w:rFonts w:hint="eastAsia"/>
        </w:rPr>
        <w:t>对用途分区主导功能产生负面影响的用途应通过国土空间规划的编制和实施逐步退出</w:t>
      </w:r>
      <w:bookmarkEnd w:id="159"/>
      <w:r>
        <w:rPr>
          <w:rFonts w:hint="eastAsia"/>
        </w:rPr>
        <w:t>。</w:t>
      </w:r>
    </w:p>
    <w:p>
      <w:pPr>
        <w:pStyle w:val="4"/>
      </w:pPr>
      <w:r>
        <w:rPr>
          <w:rFonts w:hint="eastAsia"/>
        </w:rPr>
        <w:t>用地布局</w:t>
      </w:r>
    </w:p>
    <w:p>
      <w:pPr>
        <w:spacing w:before="65"/>
        <w:ind w:firstLine="640"/>
      </w:pPr>
      <w:bookmarkStart w:id="160" w:name="_Hlk208407729"/>
      <w:r>
        <w:rPr>
          <w:rFonts w:hint="eastAsia"/>
        </w:rPr>
        <w:t>优化集镇区用地结构，完善用地功能布局。推进集镇区空间高质量发展，科学配置公共资源，统筹安排集镇区建设、产业发展、基础设施和公共服务，优化完善集镇区功能。</w:t>
      </w:r>
    </w:p>
    <w:p>
      <w:pPr>
        <w:spacing w:before="65"/>
        <w:ind w:firstLine="640"/>
      </w:pPr>
      <w:r>
        <w:rPr>
          <w:rFonts w:hint="eastAsia"/>
        </w:rPr>
        <w:t>合理配置居住用地。统筹居住用地供给和人口发展，适度增加城镇居住用地供给。规划居住用地规模为38.68公顷，人均居住用地面积为77.36平方米，占集镇区建设用地面积的40.20%</w:t>
      </w:r>
      <w:r>
        <w:t>。</w:t>
      </w:r>
    </w:p>
    <w:p>
      <w:pPr>
        <w:spacing w:before="65"/>
        <w:ind w:firstLine="640"/>
      </w:pPr>
      <w:r>
        <w:rPr>
          <w:rFonts w:hint="eastAsia"/>
        </w:rPr>
        <w:t>统筹公共管理与公共服务设施用地。提升公共服务能力，促进公共资源相对集中布局，补充完善集镇区公共服务设施。规划公共管理与公共服务用地规模为10.88公顷，占集镇区建设用地面积的11.30%</w:t>
      </w:r>
      <w:r>
        <w:t>。</w:t>
      </w:r>
    </w:p>
    <w:p>
      <w:pPr>
        <w:spacing w:before="65"/>
        <w:ind w:firstLine="640"/>
      </w:pPr>
      <w:r>
        <w:rPr>
          <w:rFonts w:hint="eastAsia"/>
        </w:rPr>
        <w:t>合理安排商业服务业用地。促进商业高品质发展，提升集镇区活力。规划商业服务业用地规模为11.60公顷，占集镇区建设用地面积的12.05%</w:t>
      </w:r>
      <w:r>
        <w:t>。</w:t>
      </w:r>
    </w:p>
    <w:p>
      <w:pPr>
        <w:spacing w:before="65"/>
        <w:ind w:firstLine="640"/>
      </w:pPr>
      <w:r>
        <w:rPr>
          <w:rFonts w:hint="eastAsia"/>
        </w:rPr>
        <w:t>规划工矿用地规模为10.59公顷，占集镇区建设用地面积的11.00%。</w:t>
      </w:r>
    </w:p>
    <w:p>
      <w:pPr>
        <w:spacing w:before="65" w:after="120"/>
        <w:ind w:firstLine="640"/>
      </w:pPr>
      <w:r>
        <w:rPr>
          <w:rFonts w:hint="eastAsia"/>
        </w:rPr>
        <w:t>规划仓储用地规模为2.22公顷，占集镇区建设用地面积的2.30%。</w:t>
      </w:r>
    </w:p>
    <w:p>
      <w:pPr>
        <w:spacing w:before="65" w:after="120"/>
        <w:ind w:firstLine="640"/>
      </w:pPr>
      <w:r>
        <w:rPr>
          <w:rFonts w:hint="eastAsia"/>
        </w:rPr>
        <w:t>规划交通运输用地规模为12.08公顷，占集镇区建设用地面积的12.56%。</w:t>
      </w:r>
    </w:p>
    <w:p>
      <w:pPr>
        <w:spacing w:before="65"/>
        <w:ind w:firstLine="640"/>
      </w:pPr>
      <w:r>
        <w:rPr>
          <w:rFonts w:hint="eastAsia"/>
        </w:rPr>
        <w:t>规划公用设施用地规模为0.11公顷，占集镇区建设用地面积的0.12%。</w:t>
      </w:r>
    </w:p>
    <w:p>
      <w:pPr>
        <w:spacing w:before="65"/>
        <w:ind w:firstLine="640"/>
      </w:pPr>
      <w:r>
        <w:rPr>
          <w:rFonts w:hint="eastAsia"/>
        </w:rPr>
        <w:t>规划绿地与开敞空间用地规模为3.35</w:t>
      </w:r>
      <w:r>
        <w:t>公顷，占</w:t>
      </w:r>
      <w:r>
        <w:rPr>
          <w:rFonts w:hint="eastAsia"/>
        </w:rPr>
        <w:t>集镇区建设用地面积</w:t>
      </w:r>
      <w:r>
        <w:t>的3.</w:t>
      </w:r>
      <w:r>
        <w:rPr>
          <w:rFonts w:hint="eastAsia"/>
        </w:rPr>
        <w:t>48</w:t>
      </w:r>
      <w:r>
        <w:t>%。</w:t>
      </w:r>
    </w:p>
    <w:p>
      <w:pPr>
        <w:spacing w:before="65"/>
        <w:ind w:firstLine="640"/>
      </w:pPr>
      <w:r>
        <w:rPr>
          <w:rFonts w:hint="eastAsia"/>
        </w:rPr>
        <w:t>规划留白用地规模为</w:t>
      </w:r>
      <w:r>
        <w:t>1.8</w:t>
      </w:r>
      <w:r>
        <w:rPr>
          <w:rFonts w:hint="eastAsia"/>
        </w:rPr>
        <w:t>2</w:t>
      </w:r>
      <w:r>
        <w:t>公顷，占</w:t>
      </w:r>
      <w:r>
        <w:rPr>
          <w:rFonts w:hint="eastAsia"/>
        </w:rPr>
        <w:t>集镇区建设用地面积</w:t>
      </w:r>
      <w:r>
        <w:t>的</w:t>
      </w:r>
      <w:r>
        <w:rPr>
          <w:rFonts w:hint="eastAsia"/>
        </w:rPr>
        <w:t>1.89</w:t>
      </w:r>
      <w:r>
        <w:t>%</w:t>
      </w:r>
      <w:bookmarkEnd w:id="160"/>
      <w:r>
        <w:rPr>
          <w:rFonts w:hint="eastAsia"/>
        </w:rPr>
        <w:t>。</w:t>
      </w:r>
    </w:p>
    <w:p>
      <w:pPr>
        <w:pStyle w:val="3"/>
        <w:spacing w:before="326" w:beforeLines="100" w:after="326" w:afterLines="100"/>
      </w:pPr>
      <w:bookmarkStart w:id="161" w:name="_Toc185606081"/>
      <w:r>
        <w:t>公共服务设施</w:t>
      </w:r>
      <w:r>
        <w:rPr>
          <w:rFonts w:hint="eastAsia"/>
        </w:rPr>
        <w:t>规划</w:t>
      </w:r>
      <w:bookmarkEnd w:id="161"/>
    </w:p>
    <w:p>
      <w:pPr>
        <w:pStyle w:val="4"/>
      </w:pPr>
      <w:r>
        <w:t>公共管理与公共服务设施</w:t>
      </w:r>
    </w:p>
    <w:p>
      <w:pPr>
        <w:spacing w:before="65"/>
        <w:ind w:firstLine="640"/>
      </w:pPr>
      <w:r>
        <w:rPr>
          <w:rFonts w:hint="eastAsia"/>
          <w:lang w:bidi="ar"/>
        </w:rPr>
        <w:t>规划公共管理与公共服务用地规模为10.88</w:t>
      </w:r>
      <w:r>
        <w:rPr>
          <w:lang w:bidi="ar"/>
        </w:rPr>
        <w:t>公顷，占</w:t>
      </w:r>
      <w:r>
        <w:rPr>
          <w:rFonts w:hint="eastAsia"/>
        </w:rPr>
        <w:t>集镇区建设用地面积</w:t>
      </w:r>
      <w:r>
        <w:rPr>
          <w:lang w:bidi="ar"/>
        </w:rPr>
        <w:t>的</w:t>
      </w:r>
      <w:r>
        <w:rPr>
          <w:rFonts w:hint="eastAsia"/>
          <w:lang w:bidi="ar"/>
        </w:rPr>
        <w:t>11.30</w:t>
      </w:r>
      <w:r>
        <w:rPr>
          <w:lang w:bidi="ar"/>
        </w:rPr>
        <w:t>%</w:t>
      </w:r>
      <w:r>
        <w:rPr>
          <w:rFonts w:hint="eastAsia"/>
        </w:rPr>
        <w:t>。</w:t>
      </w:r>
    </w:p>
    <w:p>
      <w:pPr>
        <w:ind w:firstLine="640"/>
      </w:pPr>
      <w:r>
        <w:rPr>
          <w:rFonts w:hint="eastAsia"/>
        </w:rPr>
        <w:t>1</w:t>
      </w:r>
      <w:r>
        <w:t>.</w:t>
      </w:r>
      <w:r>
        <w:rPr>
          <w:rFonts w:hint="eastAsia"/>
        </w:rPr>
        <w:t>机关团体用地</w:t>
      </w:r>
    </w:p>
    <w:p>
      <w:pPr>
        <w:ind w:firstLine="640"/>
      </w:pPr>
      <w:bookmarkStart w:id="162" w:name="_Hlk208407821"/>
      <w:r>
        <w:rPr>
          <w:rFonts w:hint="eastAsia"/>
          <w:lang w:bidi="ar"/>
        </w:rPr>
        <w:t>规划机关团体用地主要为七里坪乡政府、派出所等，用地面积为3.19</w:t>
      </w:r>
      <w:r>
        <w:rPr>
          <w:lang w:bidi="ar"/>
        </w:rPr>
        <w:t>公顷，占集镇区建设用地面积的</w:t>
      </w:r>
      <w:r>
        <w:rPr>
          <w:rFonts w:hint="eastAsia"/>
          <w:lang w:bidi="ar"/>
        </w:rPr>
        <w:t>3.32</w:t>
      </w:r>
      <w:r>
        <w:rPr>
          <w:lang w:bidi="ar"/>
        </w:rPr>
        <w:t>%</w:t>
      </w:r>
      <w:r>
        <w:rPr>
          <w:rFonts w:hint="eastAsia"/>
        </w:rPr>
        <w:t>。</w:t>
      </w:r>
    </w:p>
    <w:bookmarkEnd w:id="162"/>
    <w:p>
      <w:pPr>
        <w:ind w:firstLine="640"/>
      </w:pPr>
      <w:r>
        <w:rPr>
          <w:rFonts w:hint="eastAsia"/>
        </w:rPr>
        <w:t>2</w:t>
      </w:r>
      <w:r>
        <w:t>.</w:t>
      </w:r>
      <w:r>
        <w:rPr>
          <w:rFonts w:hint="eastAsia"/>
        </w:rPr>
        <w:t>文化用地</w:t>
      </w:r>
    </w:p>
    <w:p>
      <w:pPr>
        <w:ind w:firstLine="640"/>
        <w:rPr>
          <w:lang w:bidi="ar"/>
        </w:rPr>
      </w:pPr>
      <w:bookmarkStart w:id="163" w:name="_Hlk208407878"/>
      <w:r>
        <w:rPr>
          <w:rFonts w:hint="eastAsia"/>
          <w:lang w:bidi="ar"/>
        </w:rPr>
        <w:t>规划在集镇区西侧新建一处文化用地，为全乡的文化中心，用地面积为</w:t>
      </w:r>
      <w:r>
        <w:rPr>
          <w:lang w:bidi="ar"/>
        </w:rPr>
        <w:t>0.</w:t>
      </w:r>
      <w:r>
        <w:rPr>
          <w:rFonts w:hint="eastAsia"/>
          <w:lang w:bidi="ar"/>
        </w:rPr>
        <w:t>84</w:t>
      </w:r>
      <w:r>
        <w:rPr>
          <w:lang w:bidi="ar"/>
        </w:rPr>
        <w:t>公顷，占</w:t>
      </w:r>
      <w:r>
        <w:rPr>
          <w:rFonts w:hint="eastAsia"/>
        </w:rPr>
        <w:t>集镇区建设用地面积</w:t>
      </w:r>
      <w:r>
        <w:rPr>
          <w:lang w:bidi="ar"/>
        </w:rPr>
        <w:t>的</w:t>
      </w:r>
      <w:r>
        <w:rPr>
          <w:rFonts w:hint="eastAsia"/>
          <w:lang w:bidi="ar"/>
        </w:rPr>
        <w:t>0.87</w:t>
      </w:r>
      <w:r>
        <w:rPr>
          <w:lang w:bidi="ar"/>
        </w:rPr>
        <w:t>%</w:t>
      </w:r>
      <w:r>
        <w:rPr>
          <w:rFonts w:hint="eastAsia"/>
          <w:lang w:bidi="ar"/>
        </w:rPr>
        <w:t>，人均文化设施用地面积为1.68平方米</w:t>
      </w:r>
      <w:r>
        <w:rPr>
          <w:lang w:bidi="ar"/>
        </w:rPr>
        <w:t>。依据相关标准配置图书阅览室、科技普法、教育培训等文化设施，并设置专门针对老人、儿童及青少年活动的文化设施。</w:t>
      </w:r>
    </w:p>
    <w:bookmarkEnd w:id="163"/>
    <w:p>
      <w:pPr>
        <w:ind w:firstLine="640"/>
      </w:pPr>
      <w:bookmarkStart w:id="164" w:name="_Hlk208407901"/>
      <w:r>
        <w:rPr>
          <w:rFonts w:hint="eastAsia"/>
        </w:rPr>
        <w:t>结合后坪村、张洼村村委会社区布局社区级文化设施，配建2处社区级文化活动站。文化活动站依据相关标准配置图书阅览室、科技普法、教育培训等文化设施，并设置专门针对老人、儿童及青少年活动的文化设施。</w:t>
      </w:r>
    </w:p>
    <w:bookmarkEnd w:id="164"/>
    <w:p>
      <w:pPr>
        <w:ind w:firstLine="640"/>
      </w:pPr>
      <w:r>
        <w:rPr>
          <w:rFonts w:hint="eastAsia"/>
        </w:rPr>
        <w:t>3</w:t>
      </w:r>
      <w:r>
        <w:t>.</w:t>
      </w:r>
      <w:r>
        <w:rPr>
          <w:rFonts w:hint="eastAsia"/>
        </w:rPr>
        <w:t>教育用地</w:t>
      </w:r>
    </w:p>
    <w:p>
      <w:pPr>
        <w:ind w:firstLine="640"/>
      </w:pPr>
      <w:bookmarkStart w:id="165" w:name="_Hlk208408014"/>
      <w:r>
        <w:rPr>
          <w:rFonts w:hint="eastAsia"/>
          <w:lang w:bidi="ar"/>
        </w:rPr>
        <w:t>规划教育用地面积4.82</w:t>
      </w:r>
      <w:r>
        <w:rPr>
          <w:lang w:bidi="ar"/>
        </w:rPr>
        <w:t>公顷，占</w:t>
      </w:r>
      <w:r>
        <w:rPr>
          <w:rFonts w:hint="eastAsia"/>
        </w:rPr>
        <w:t>集镇区建设用地面积</w:t>
      </w:r>
      <w:r>
        <w:rPr>
          <w:lang w:bidi="ar"/>
        </w:rPr>
        <w:t>的</w:t>
      </w:r>
      <w:r>
        <w:rPr>
          <w:rFonts w:hint="eastAsia"/>
          <w:lang w:bidi="ar"/>
        </w:rPr>
        <w:t>5.01</w:t>
      </w:r>
      <w:r>
        <w:rPr>
          <w:lang w:bidi="ar"/>
        </w:rPr>
        <w:t>%。其中中小学用地面积</w:t>
      </w:r>
      <w:r>
        <w:rPr>
          <w:rFonts w:hint="eastAsia"/>
          <w:lang w:bidi="ar"/>
        </w:rPr>
        <w:t>4.21</w:t>
      </w:r>
      <w:r>
        <w:rPr>
          <w:lang w:bidi="ar"/>
        </w:rPr>
        <w:t>公顷，幼儿园用地面积</w:t>
      </w:r>
      <w:r>
        <w:rPr>
          <w:rFonts w:hint="eastAsia"/>
          <w:lang w:bidi="ar"/>
        </w:rPr>
        <w:t>0.61</w:t>
      </w:r>
      <w:r>
        <w:rPr>
          <w:lang w:bidi="ar"/>
        </w:rPr>
        <w:t>公顷。</w:t>
      </w:r>
      <w:r>
        <w:rPr>
          <w:rFonts w:hint="eastAsia"/>
          <w:lang w:bidi="ar"/>
        </w:rPr>
        <w:t>规划保留现状七里坪乡初级中学（17班）</w:t>
      </w:r>
      <w:r>
        <w:rPr>
          <w:lang w:bidi="ar"/>
        </w:rPr>
        <w:t>，可以满足全乡中学就学需求。规划保留现状</w:t>
      </w:r>
      <w:r>
        <w:rPr>
          <w:rFonts w:hint="eastAsia"/>
          <w:lang w:bidi="ar"/>
        </w:rPr>
        <w:t>中心小学（21班）</w:t>
      </w:r>
      <w:r>
        <w:rPr>
          <w:lang w:bidi="ar"/>
        </w:rPr>
        <w:t>，</w:t>
      </w:r>
      <w:r>
        <w:rPr>
          <w:rFonts w:hint="eastAsia"/>
          <w:lang w:bidi="ar"/>
        </w:rPr>
        <w:t>新建1所6班小学，</w:t>
      </w:r>
      <w:r>
        <w:rPr>
          <w:lang w:bidi="ar"/>
        </w:rPr>
        <w:t>满足集镇区</w:t>
      </w:r>
      <w:bookmarkStart w:id="166" w:name="_Hlk208305531"/>
      <w:r>
        <w:rPr>
          <w:lang w:bidi="ar"/>
        </w:rPr>
        <w:t>及集镇区周边村庄</w:t>
      </w:r>
      <w:bookmarkEnd w:id="166"/>
      <w:r>
        <w:rPr>
          <w:rFonts w:hint="eastAsia"/>
          <w:lang w:bidi="ar"/>
        </w:rPr>
        <w:t>小学</w:t>
      </w:r>
      <w:r>
        <w:rPr>
          <w:lang w:bidi="ar"/>
        </w:rPr>
        <w:t>就学需求。规划保留内乡县七里坪乡中心幼儿园</w:t>
      </w:r>
      <w:r>
        <w:rPr>
          <w:rFonts w:hint="eastAsia"/>
          <w:lang w:bidi="ar"/>
        </w:rPr>
        <w:t>（6班）、星河幼儿园（10班）</w:t>
      </w:r>
      <w:r>
        <w:rPr>
          <w:lang w:bidi="ar"/>
        </w:rPr>
        <w:t>，满足集镇区</w:t>
      </w:r>
      <w:r>
        <w:rPr>
          <w:rFonts w:hint="eastAsia"/>
          <w:lang w:bidi="ar"/>
        </w:rPr>
        <w:t>及集镇区周边村庄</w:t>
      </w:r>
      <w:r>
        <w:rPr>
          <w:lang w:bidi="ar"/>
        </w:rPr>
        <w:t>幼儿就学需求</w:t>
      </w:r>
      <w:bookmarkEnd w:id="165"/>
      <w:r>
        <w:rPr>
          <w:lang w:bidi="ar"/>
        </w:rPr>
        <w:t>。</w:t>
      </w:r>
    </w:p>
    <w:p>
      <w:pPr>
        <w:ind w:firstLine="640"/>
      </w:pPr>
      <w:r>
        <w:rPr>
          <w:rFonts w:hint="eastAsia"/>
        </w:rPr>
        <w:t>4</w:t>
      </w:r>
      <w:r>
        <w:t>.</w:t>
      </w:r>
      <w:r>
        <w:rPr>
          <w:rFonts w:hint="eastAsia"/>
        </w:rPr>
        <w:t>体育用地</w:t>
      </w:r>
    </w:p>
    <w:p>
      <w:pPr>
        <w:ind w:firstLine="640"/>
        <w:rPr>
          <w:lang w:bidi="ar"/>
        </w:rPr>
      </w:pPr>
      <w:bookmarkStart w:id="167" w:name="_Hlk208407956"/>
      <w:r>
        <w:rPr>
          <w:rFonts w:hint="eastAsia"/>
        </w:rPr>
        <w:t>紧邻文化用地新建一处体育用地，为全乡的体育中心，用地面积为0.98公顷，</w:t>
      </w:r>
      <w:r>
        <w:rPr>
          <w:lang w:bidi="ar"/>
        </w:rPr>
        <w:t>占</w:t>
      </w:r>
      <w:r>
        <w:rPr>
          <w:rFonts w:hint="eastAsia"/>
        </w:rPr>
        <w:t>集镇区建设用地面积</w:t>
      </w:r>
      <w:r>
        <w:rPr>
          <w:lang w:bidi="ar"/>
        </w:rPr>
        <w:t>的</w:t>
      </w:r>
      <w:r>
        <w:rPr>
          <w:rFonts w:hint="eastAsia"/>
          <w:lang w:bidi="ar"/>
        </w:rPr>
        <w:t>1.02</w:t>
      </w:r>
      <w:r>
        <w:rPr>
          <w:lang w:bidi="ar"/>
        </w:rPr>
        <w:t>%</w:t>
      </w:r>
      <w:r>
        <w:rPr>
          <w:rFonts w:hint="eastAsia"/>
          <w:lang w:bidi="ar"/>
        </w:rPr>
        <w:t>，人均体育用地面积1.96平方米。结合绿地及街头广场建设小型体育设施，方便居民就近使用。</w:t>
      </w:r>
    </w:p>
    <w:p>
      <w:pPr>
        <w:ind w:firstLine="640"/>
      </w:pPr>
      <w:r>
        <w:rPr>
          <w:rFonts w:hint="eastAsia"/>
        </w:rPr>
        <w:t>充分利用现有的学校等所属体育设施资源，创造条件向公众开放。同时结合社区综合服务中心、文化活动站进行小型体育设施建设。</w:t>
      </w:r>
    </w:p>
    <w:p>
      <w:pPr>
        <w:ind w:firstLine="640"/>
      </w:pPr>
    </w:p>
    <w:p>
      <w:pPr>
        <w:ind w:firstLine="640"/>
      </w:pPr>
    </w:p>
    <w:p>
      <w:pPr>
        <w:ind w:firstLine="640"/>
      </w:pPr>
    </w:p>
    <w:bookmarkEnd w:id="167"/>
    <w:p>
      <w:pPr>
        <w:ind w:firstLine="640"/>
      </w:pPr>
      <w:r>
        <w:rPr>
          <w:rFonts w:hint="eastAsia"/>
        </w:rPr>
        <w:t>5.医疗卫生用地</w:t>
      </w:r>
    </w:p>
    <w:p>
      <w:pPr>
        <w:ind w:firstLine="640"/>
        <w:rPr>
          <w:lang w:bidi="ar"/>
        </w:rPr>
      </w:pPr>
      <w:bookmarkStart w:id="168" w:name="_Hlk208408115"/>
      <w:r>
        <w:rPr>
          <w:rFonts w:hint="eastAsia"/>
          <w:lang w:bidi="ar"/>
        </w:rPr>
        <w:t>规划</w:t>
      </w:r>
      <w:r>
        <w:rPr>
          <w:lang w:bidi="ar"/>
        </w:rPr>
        <w:t>保留</w:t>
      </w:r>
      <w:r>
        <w:rPr>
          <w:rFonts w:hint="eastAsia"/>
          <w:lang w:bidi="ar"/>
        </w:rPr>
        <w:t>乡政府北侧乡</w:t>
      </w:r>
      <w:r>
        <w:rPr>
          <w:lang w:bidi="ar"/>
        </w:rPr>
        <w:t>卫生院</w:t>
      </w:r>
      <w:r>
        <w:rPr>
          <w:rFonts w:hint="eastAsia"/>
          <w:lang w:bidi="ar"/>
        </w:rPr>
        <w:t>，用地面积为0.37</w:t>
      </w:r>
      <w:r>
        <w:rPr>
          <w:lang w:bidi="ar"/>
        </w:rPr>
        <w:t>公顷，占</w:t>
      </w:r>
      <w:r>
        <w:rPr>
          <w:rFonts w:hint="eastAsia"/>
        </w:rPr>
        <w:t>集镇区建设用地面积</w:t>
      </w:r>
      <w:r>
        <w:rPr>
          <w:lang w:bidi="ar"/>
        </w:rPr>
        <w:t>的</w:t>
      </w:r>
      <w:r>
        <w:rPr>
          <w:rFonts w:hint="eastAsia"/>
          <w:lang w:bidi="ar"/>
        </w:rPr>
        <w:t>0.38</w:t>
      </w:r>
      <w:r>
        <w:rPr>
          <w:lang w:bidi="ar"/>
        </w:rPr>
        <w:t>%</w:t>
      </w:r>
      <w:r>
        <w:rPr>
          <w:rFonts w:hint="eastAsia"/>
          <w:lang w:bidi="ar"/>
        </w:rPr>
        <w:t>，人均医疗卫生用地面积0.74平方米</w:t>
      </w:r>
      <w:r>
        <w:rPr>
          <w:lang w:bidi="ar"/>
        </w:rPr>
        <w:t>。</w:t>
      </w:r>
    </w:p>
    <w:p>
      <w:pPr>
        <w:ind w:firstLine="640"/>
      </w:pPr>
      <w:r>
        <w:rPr>
          <w:rFonts w:hint="eastAsia"/>
        </w:rPr>
        <w:t>各社区按照相关标准配建社区医疗卫生服务站，按照相关标准配置社区卫生服务站等医疗卫生设施，方便社区居民的日常使用。</w:t>
      </w:r>
    </w:p>
    <w:bookmarkEnd w:id="168"/>
    <w:p>
      <w:pPr>
        <w:ind w:firstLine="640"/>
      </w:pPr>
      <w:r>
        <w:rPr>
          <w:rFonts w:hint="eastAsia"/>
        </w:rPr>
        <w:t>6</w:t>
      </w:r>
      <w:r>
        <w:t>.</w:t>
      </w:r>
      <w:r>
        <w:rPr>
          <w:rFonts w:hint="eastAsia"/>
        </w:rPr>
        <w:t>社会福利用地</w:t>
      </w:r>
    </w:p>
    <w:p>
      <w:pPr>
        <w:ind w:firstLine="640"/>
        <w:rPr>
          <w:lang w:bidi="ar"/>
        </w:rPr>
      </w:pPr>
      <w:bookmarkStart w:id="169" w:name="_Hlk208408204"/>
      <w:r>
        <w:rPr>
          <w:rFonts w:hint="eastAsia"/>
          <w:lang w:bidi="ar"/>
        </w:rPr>
        <w:t>规划保留集镇区北侧七里坪乡敬老院和南侧养老院，用地面积为0.67</w:t>
      </w:r>
      <w:r>
        <w:rPr>
          <w:lang w:bidi="ar"/>
        </w:rPr>
        <w:t>公顷，占</w:t>
      </w:r>
      <w:r>
        <w:rPr>
          <w:rFonts w:hint="eastAsia"/>
        </w:rPr>
        <w:t>集镇区建设用地面积</w:t>
      </w:r>
      <w:r>
        <w:rPr>
          <w:lang w:bidi="ar"/>
        </w:rPr>
        <w:t>的</w:t>
      </w:r>
      <w:r>
        <w:rPr>
          <w:rFonts w:hint="eastAsia"/>
          <w:lang w:bidi="ar"/>
        </w:rPr>
        <w:t>0.70</w:t>
      </w:r>
      <w:r>
        <w:rPr>
          <w:lang w:bidi="ar"/>
        </w:rPr>
        <w:t>%</w:t>
      </w:r>
      <w:r>
        <w:rPr>
          <w:rFonts w:hint="eastAsia"/>
          <w:lang w:bidi="ar"/>
        </w:rPr>
        <w:t>，人均社会福利用地面积1.34平方米</w:t>
      </w:r>
      <w:r>
        <w:rPr>
          <w:lang w:bidi="ar"/>
        </w:rPr>
        <w:t>。</w:t>
      </w:r>
    </w:p>
    <w:p>
      <w:pPr>
        <w:ind w:firstLine="640"/>
      </w:pPr>
      <w:r>
        <w:rPr>
          <w:rFonts w:hint="eastAsia"/>
        </w:rPr>
        <w:t>结合社区建设适当建设专业化的养老护理机构，在有条件的基层社区建设托老所、老年活动室等老年活动设施</w:t>
      </w:r>
      <w:bookmarkEnd w:id="169"/>
      <w:r>
        <w:rPr>
          <w:rFonts w:hint="eastAsia"/>
        </w:rPr>
        <w:t>。</w:t>
      </w:r>
    </w:p>
    <w:p>
      <w:pPr>
        <w:pStyle w:val="3"/>
        <w:spacing w:before="326" w:beforeLines="100" w:after="326" w:afterLines="100"/>
      </w:pPr>
      <w:bookmarkStart w:id="170" w:name="_Toc185606082"/>
      <w:r>
        <w:rPr>
          <w:rFonts w:hint="eastAsia"/>
        </w:rPr>
        <w:t>住房建设与引导</w:t>
      </w:r>
      <w:bookmarkEnd w:id="170"/>
    </w:p>
    <w:p>
      <w:pPr>
        <w:pStyle w:val="4"/>
      </w:pPr>
      <w:bookmarkStart w:id="171" w:name="_Hlk142925025"/>
      <w:r>
        <w:rPr>
          <w:rFonts w:hint="eastAsia"/>
        </w:rPr>
        <w:t>居住用地规划</w:t>
      </w:r>
    </w:p>
    <w:bookmarkEnd w:id="171"/>
    <w:p>
      <w:pPr>
        <w:spacing w:before="65"/>
        <w:ind w:firstLine="640"/>
      </w:pPr>
      <w:bookmarkStart w:id="172" w:name="_Hlk208408276"/>
      <w:r>
        <w:rPr>
          <w:rFonts w:hint="eastAsia"/>
        </w:rPr>
        <w:t>规划居住用地面积为38.68</w:t>
      </w:r>
      <w:r>
        <w:t>公顷，占</w:t>
      </w:r>
      <w:r>
        <w:rPr>
          <w:rFonts w:hint="eastAsia"/>
        </w:rPr>
        <w:t>集镇区建设</w:t>
      </w:r>
      <w:r>
        <w:t>用地</w:t>
      </w:r>
      <w:r>
        <w:rPr>
          <w:rFonts w:hint="eastAsia"/>
        </w:rPr>
        <w:t>面积</w:t>
      </w:r>
      <w:r>
        <w:t>的</w:t>
      </w:r>
      <w:r>
        <w:rPr>
          <w:rFonts w:hint="eastAsia"/>
        </w:rPr>
        <w:t>40.20</w:t>
      </w:r>
      <w:r>
        <w:t>%</w:t>
      </w:r>
      <w:r>
        <w:rPr>
          <w:rFonts w:hint="eastAsia"/>
        </w:rPr>
        <w:t>，</w:t>
      </w:r>
      <w:r>
        <w:t>人均</w:t>
      </w:r>
      <w:r>
        <w:rPr>
          <w:rFonts w:hint="eastAsia"/>
        </w:rPr>
        <w:t>居住用地面积为77.36</w:t>
      </w:r>
      <w:r>
        <w:t>平方米。</w:t>
      </w:r>
      <w:bookmarkEnd w:id="172"/>
    </w:p>
    <w:p>
      <w:pPr>
        <w:pStyle w:val="4"/>
      </w:pPr>
      <w:bookmarkStart w:id="173" w:name="_Hlk142925032"/>
      <w:r>
        <w:rPr>
          <w:rFonts w:hint="eastAsia"/>
        </w:rPr>
        <w:t>住房保障规划</w:t>
      </w:r>
    </w:p>
    <w:bookmarkEnd w:id="173"/>
    <w:p>
      <w:pPr>
        <w:spacing w:before="65"/>
        <w:ind w:firstLine="640"/>
      </w:pPr>
      <w:bookmarkStart w:id="174" w:name="_Hlk208408398"/>
      <w:r>
        <w:rPr>
          <w:rFonts w:hint="eastAsia"/>
        </w:rPr>
        <w:t>住宅建设规划宜采取保留、更新改造、拆迁置换和新区建设等多种方式。规划保留集镇区内现有的建筑质量较高、居住环境较好、配套服务设施齐全、规划布局较为合理的居住用地；对集镇区中村庄用地采取逐步更新改造方式；对部分建筑质量较差、配套设施缺乏、环境恶劣、且与其他用地混杂布局的住宅，可根据实际建设需要，拆迁置换为其他城镇用地，如可开发为公共绿地</w:t>
      </w:r>
      <w:bookmarkEnd w:id="174"/>
      <w:r>
        <w:rPr>
          <w:rFonts w:hint="eastAsia"/>
        </w:rPr>
        <w:t>。</w:t>
      </w:r>
    </w:p>
    <w:p>
      <w:pPr>
        <w:pStyle w:val="3"/>
        <w:spacing w:before="326" w:beforeLines="100" w:after="326" w:afterLines="100"/>
      </w:pPr>
      <w:bookmarkStart w:id="175" w:name="_Toc185606083"/>
      <w:r>
        <w:rPr>
          <w:rFonts w:hint="eastAsia"/>
        </w:rPr>
        <w:t>空间形态与风貌管控</w:t>
      </w:r>
      <w:bookmarkEnd w:id="175"/>
    </w:p>
    <w:p>
      <w:pPr>
        <w:pStyle w:val="4"/>
      </w:pPr>
      <w:r>
        <w:t>空间风貌结构</w:t>
      </w:r>
    </w:p>
    <w:p>
      <w:pPr>
        <w:spacing w:before="65"/>
        <w:ind w:firstLine="640"/>
      </w:pPr>
      <w:r>
        <w:rPr>
          <w:rFonts w:hint="eastAsia"/>
        </w:rPr>
        <w:t>七里坪乡集镇区空间形态框架为“一河两岸，两轴三区”。其中，一河两岸，构建城景相融的城乡生态休闲空间；两轴三区，构建产居繁荣的城乡生活空间。</w:t>
      </w:r>
    </w:p>
    <w:p>
      <w:pPr>
        <w:pStyle w:val="4"/>
      </w:pPr>
      <w:r>
        <w:rPr>
          <w:rFonts w:hint="eastAsia"/>
        </w:rPr>
        <w:t>开发强度和高度分区</w:t>
      </w:r>
    </w:p>
    <w:p>
      <w:pPr>
        <w:spacing w:before="65"/>
        <w:ind w:firstLine="640"/>
      </w:pPr>
      <w:r>
        <w:rPr>
          <w:rFonts w:hint="eastAsia"/>
        </w:rPr>
        <w:t>集镇区建设用地开发强度按两级控制，实行差异化的土地开发强度管制。Ⅰ级强度区容积率控制为小于1.0，主要为公共服务片区；Ⅱ级强度区容积率控制为1.0-2.0，主要为商业区和居住生活区。</w:t>
      </w:r>
    </w:p>
    <w:p>
      <w:pPr>
        <w:spacing w:before="65"/>
        <w:ind w:firstLine="640"/>
      </w:pPr>
      <w:r>
        <w:rPr>
          <w:rFonts w:hint="eastAsia"/>
        </w:rPr>
        <w:t>Ⅰ级高度区建筑控制为不大于3层，高度不大于12米；Ⅱ级高度区建筑控制为不大于6层，高度不大于24米</w:t>
      </w:r>
      <w:r>
        <w:t>。</w:t>
      </w:r>
    </w:p>
    <w:p>
      <w:pPr>
        <w:pStyle w:val="4"/>
      </w:pPr>
      <w:r>
        <w:rPr>
          <w:rFonts w:hint="eastAsia"/>
        </w:rPr>
        <w:t>风貌管控</w:t>
      </w:r>
    </w:p>
    <w:p>
      <w:pPr>
        <w:pStyle w:val="5"/>
        <w:ind w:firstLine="640"/>
      </w:pPr>
      <w:r>
        <w:rPr>
          <w:rFonts w:hint="eastAsia"/>
        </w:rPr>
        <w:t>线性风貌管控</w:t>
      </w:r>
    </w:p>
    <w:p>
      <w:pPr>
        <w:spacing w:before="65"/>
        <w:ind w:firstLine="640"/>
      </w:pPr>
      <w:r>
        <w:rPr>
          <w:rFonts w:hint="eastAsia"/>
        </w:rPr>
        <w:t>一河两岸为滨河景观风貌带，湍河界面是七里坪集镇区建筑风貌的重要展示带和旅游休闲带，需要重点控制。</w:t>
      </w:r>
    </w:p>
    <w:p>
      <w:pPr>
        <w:spacing w:before="65"/>
        <w:ind w:firstLine="640"/>
      </w:pPr>
      <w:r>
        <w:rPr>
          <w:rFonts w:hint="eastAsia"/>
        </w:rPr>
        <w:t>两轴分别是依托Z010、七宝路形成的现代城镇风貌轴，现代城镇风貌轴应适当增加空间开敞度，形成丰富生活氛围的空间界面。</w:t>
      </w:r>
    </w:p>
    <w:p>
      <w:pPr>
        <w:pStyle w:val="5"/>
        <w:ind w:firstLine="640"/>
      </w:pPr>
      <w:r>
        <w:rPr>
          <w:rFonts w:hint="eastAsia"/>
        </w:rPr>
        <w:t>片区风貌管控</w:t>
      </w:r>
    </w:p>
    <w:p>
      <w:pPr>
        <w:spacing w:before="65"/>
        <w:ind w:firstLine="640"/>
      </w:pPr>
      <w:r>
        <w:rPr>
          <w:rFonts w:hint="eastAsia"/>
        </w:rPr>
        <w:t>现代产业风貌区位于七宝路北，用地主要为工业用地，是以农副产品加工为主要功能的特色产业区。该区域的建筑形象应简洁大方，体现现代感。</w:t>
      </w:r>
    </w:p>
    <w:p>
      <w:pPr>
        <w:spacing w:before="65"/>
        <w:ind w:firstLine="640"/>
      </w:pPr>
      <w:r>
        <w:rPr>
          <w:rFonts w:hint="eastAsia"/>
        </w:rPr>
        <w:t>现代宜居风貌区位于平安路两侧，主要为村庄居民点和现状居住区，本区域应注重挖掘地方文化，充分结合原有民居特色，将该区打造为居住为主、展现宜居现代小城镇的风貌区。</w:t>
      </w:r>
    </w:p>
    <w:p>
      <w:pPr>
        <w:spacing w:before="65"/>
        <w:ind w:firstLine="640"/>
      </w:pPr>
      <w:r>
        <w:rPr>
          <w:rFonts w:hint="eastAsia"/>
        </w:rPr>
        <w:t>现代公服风貌区位于七宝路东侧，主要为集镇区公共服务设施和商业设施集聚的区域，该区域应注重建筑群体组合，注重各体块间的协调，建筑形体简洁、重点建筑突出地标性。</w:t>
      </w:r>
    </w:p>
    <w:p>
      <w:pPr>
        <w:pStyle w:val="3"/>
        <w:spacing w:before="326" w:beforeLines="100" w:after="326" w:afterLines="100"/>
      </w:pPr>
      <w:bookmarkStart w:id="176" w:name="_Toc185606084"/>
      <w:r>
        <w:rPr>
          <w:rFonts w:hint="eastAsia"/>
        </w:rPr>
        <w:t>道路交通系统规划</w:t>
      </w:r>
      <w:bookmarkEnd w:id="176"/>
    </w:p>
    <w:p>
      <w:pPr>
        <w:pStyle w:val="4"/>
      </w:pPr>
      <w:r>
        <w:rPr>
          <w:rFonts w:hint="eastAsia"/>
        </w:rPr>
        <w:t>规划目标</w:t>
      </w:r>
    </w:p>
    <w:p>
      <w:pPr>
        <w:spacing w:before="65"/>
        <w:ind w:firstLine="640"/>
      </w:pPr>
      <w:r>
        <w:rPr>
          <w:rFonts w:hint="eastAsia"/>
        </w:rPr>
        <w:t>形成高效通畅的交通网络体系；保障过境公路畅通，提高集镇区道路网密度，注重与对外交通的联系和衔接。构建以慢行为主的绿色出行结构；构建尺度宜人、安全连续的慢行网络，</w:t>
      </w:r>
      <w:bookmarkStart w:id="177" w:name="_Hlk208408480"/>
      <w:r>
        <w:rPr>
          <w:rFonts w:hint="eastAsia"/>
        </w:rPr>
        <w:t>至</w:t>
      </w:r>
      <w:r>
        <w:t>2035年，</w:t>
      </w:r>
      <w:r>
        <w:rPr>
          <w:rFonts w:hint="eastAsia"/>
        </w:rPr>
        <w:t>规划道路</w:t>
      </w:r>
      <w:r>
        <w:t>网密度不小于8千米/平方千米</w:t>
      </w:r>
      <w:bookmarkEnd w:id="177"/>
      <w:r>
        <w:rPr>
          <w:rFonts w:hint="eastAsia"/>
        </w:rPr>
        <w:t>。</w:t>
      </w:r>
    </w:p>
    <w:p>
      <w:pPr>
        <w:pStyle w:val="4"/>
      </w:pPr>
      <w:r>
        <w:rPr>
          <w:rFonts w:hint="eastAsia"/>
        </w:rPr>
        <w:t>对外交通系统</w:t>
      </w:r>
    </w:p>
    <w:p>
      <w:pPr>
        <w:spacing w:before="65"/>
        <w:ind w:firstLine="640"/>
      </w:pPr>
      <w:r>
        <w:rPr>
          <w:rFonts w:hint="eastAsia"/>
        </w:rPr>
        <w:t>强化集镇区主干路与S243的衔接，并尽量减少集镇区低等级道路与过境道路的交叉口数量，以保证交通安全、美化道路景观，提高镇区的环境质量。</w:t>
      </w:r>
    </w:p>
    <w:p>
      <w:pPr>
        <w:pStyle w:val="4"/>
      </w:pPr>
      <w:r>
        <w:rPr>
          <w:rFonts w:hint="eastAsia"/>
        </w:rPr>
        <w:t>道路交通系统</w:t>
      </w:r>
    </w:p>
    <w:p>
      <w:pPr>
        <w:spacing w:before="65"/>
        <w:ind w:firstLine="640"/>
      </w:pPr>
      <w:r>
        <w:rPr>
          <w:rFonts w:hint="eastAsia"/>
        </w:rPr>
        <w:t>构建城市主干路、次干路、支路三级路网体系，构建“四横两纵”的主要交通通道，形成方格网型的窄路密网格局。</w:t>
      </w:r>
    </w:p>
    <w:p>
      <w:pPr>
        <w:spacing w:before="65"/>
        <w:ind w:firstLine="640"/>
      </w:pPr>
      <w:bookmarkStart w:id="178" w:name="_Hlk208408508"/>
      <w:r>
        <w:rPr>
          <w:rFonts w:hint="eastAsia"/>
        </w:rPr>
        <w:t>主干路：红线宽度为12-16</w:t>
      </w:r>
      <w:r>
        <w:t>米。</w:t>
      </w:r>
    </w:p>
    <w:p>
      <w:pPr>
        <w:spacing w:before="65"/>
        <w:ind w:firstLine="640"/>
      </w:pPr>
      <w:r>
        <w:rPr>
          <w:rFonts w:hint="eastAsia"/>
        </w:rPr>
        <w:t>次干路：红线宽度为</w:t>
      </w:r>
      <w:r>
        <w:t>1</w:t>
      </w:r>
      <w:r>
        <w:rPr>
          <w:rFonts w:hint="eastAsia"/>
        </w:rPr>
        <w:t>0</w:t>
      </w:r>
      <w:r>
        <w:t>米。</w:t>
      </w:r>
    </w:p>
    <w:p>
      <w:pPr>
        <w:spacing w:before="65"/>
        <w:ind w:firstLine="640"/>
      </w:pPr>
      <w:r>
        <w:rPr>
          <w:rFonts w:hint="eastAsia"/>
        </w:rPr>
        <w:t>支路：红线宽度为6</w:t>
      </w:r>
      <w:r>
        <w:t>-8米</w:t>
      </w:r>
      <w:bookmarkEnd w:id="178"/>
      <w:r>
        <w:t>。</w:t>
      </w:r>
    </w:p>
    <w:p>
      <w:pPr>
        <w:pStyle w:val="4"/>
      </w:pPr>
      <w:r>
        <w:rPr>
          <w:rFonts w:hint="eastAsia"/>
        </w:rPr>
        <w:t>公共交通规划</w:t>
      </w:r>
    </w:p>
    <w:p>
      <w:pPr>
        <w:ind w:firstLine="640"/>
      </w:pPr>
      <w:r>
        <w:rPr>
          <w:rFonts w:hint="eastAsia"/>
        </w:rPr>
        <w:t>1</w:t>
      </w:r>
      <w:r>
        <w:t>.加油加气站用地</w:t>
      </w:r>
    </w:p>
    <w:p>
      <w:pPr>
        <w:ind w:firstLine="640"/>
      </w:pPr>
      <w:r>
        <w:rPr>
          <w:rFonts w:hint="eastAsia"/>
        </w:rPr>
        <w:t>保留集镇区现状1</w:t>
      </w:r>
      <w:r>
        <w:t>处加油站，位于</w:t>
      </w:r>
      <w:r>
        <w:rPr>
          <w:rFonts w:hint="eastAsia"/>
        </w:rPr>
        <w:t>七宝路北侧</w:t>
      </w:r>
      <w:r>
        <w:t>，用地面积为0.</w:t>
      </w:r>
      <w:r>
        <w:rPr>
          <w:rFonts w:hint="eastAsia"/>
        </w:rPr>
        <w:t>13</w:t>
      </w:r>
      <w:r>
        <w:t>公顷。</w:t>
      </w:r>
    </w:p>
    <w:p>
      <w:pPr>
        <w:ind w:firstLine="640"/>
      </w:pPr>
      <w:r>
        <w:rPr>
          <w:rFonts w:hint="eastAsia"/>
        </w:rPr>
        <w:t>2</w:t>
      </w:r>
      <w:r>
        <w:t>.公交站点</w:t>
      </w:r>
    </w:p>
    <w:p>
      <w:pPr>
        <w:ind w:firstLine="640"/>
      </w:pPr>
      <w:r>
        <w:rPr>
          <w:rFonts w:hint="eastAsia"/>
        </w:rPr>
        <w:t>保留现状城乡公交站点，保障居民公共出行便利。</w:t>
      </w:r>
    </w:p>
    <w:p>
      <w:pPr>
        <w:pStyle w:val="4"/>
      </w:pPr>
      <w:r>
        <w:rPr>
          <w:rFonts w:hint="eastAsia"/>
        </w:rPr>
        <w:t>停车设施规划</w:t>
      </w:r>
    </w:p>
    <w:p>
      <w:pPr>
        <w:spacing w:before="65"/>
        <w:ind w:firstLine="640"/>
      </w:pPr>
      <w:r>
        <w:rPr>
          <w:rFonts w:hint="eastAsia"/>
        </w:rPr>
        <w:t>结合集镇区用地情况和现状居民需求，集镇区停车以沿街停车为主。</w:t>
      </w:r>
    </w:p>
    <w:p>
      <w:pPr>
        <w:pStyle w:val="3"/>
        <w:spacing w:before="326" w:beforeLines="100" w:after="326" w:afterLines="100"/>
      </w:pPr>
      <w:bookmarkStart w:id="179" w:name="_Toc129799057"/>
      <w:bookmarkStart w:id="180" w:name="_Toc185606085"/>
      <w:r>
        <w:rPr>
          <w:rFonts w:hint="eastAsia"/>
        </w:rPr>
        <w:t>基础设施</w:t>
      </w:r>
      <w:bookmarkEnd w:id="179"/>
      <w:r>
        <w:rPr>
          <w:rFonts w:hint="eastAsia"/>
        </w:rPr>
        <w:t>规划</w:t>
      </w:r>
      <w:bookmarkEnd w:id="180"/>
    </w:p>
    <w:p>
      <w:pPr>
        <w:pStyle w:val="4"/>
      </w:pPr>
      <w:r>
        <w:rPr>
          <w:rFonts w:hint="eastAsia"/>
        </w:rPr>
        <w:t>给水工程规划</w:t>
      </w:r>
    </w:p>
    <w:p>
      <w:pPr>
        <w:ind w:firstLine="640"/>
      </w:pPr>
      <w:r>
        <w:rPr>
          <w:rFonts w:hint="eastAsia"/>
        </w:rPr>
        <w:t>1</w:t>
      </w:r>
      <w:r>
        <w:t>.</w:t>
      </w:r>
      <w:r>
        <w:rPr>
          <w:rFonts w:hint="eastAsia"/>
        </w:rPr>
        <w:t>用水量预测</w:t>
      </w:r>
    </w:p>
    <w:p>
      <w:pPr>
        <w:ind w:firstLine="640"/>
      </w:pPr>
      <w:r>
        <w:rPr>
          <w:rFonts w:hint="eastAsia"/>
        </w:rPr>
        <w:t>预测集镇区最高日用水量约为1867立方米/日。</w:t>
      </w:r>
    </w:p>
    <w:p>
      <w:pPr>
        <w:ind w:firstLine="640"/>
      </w:pPr>
      <w:r>
        <w:rPr>
          <w:rFonts w:hint="eastAsia"/>
        </w:rPr>
        <w:t>2</w:t>
      </w:r>
      <w:r>
        <w:t>.</w:t>
      </w:r>
      <w:r>
        <w:rPr>
          <w:rFonts w:hint="eastAsia"/>
        </w:rPr>
        <w:t>水厂规划</w:t>
      </w:r>
    </w:p>
    <w:p>
      <w:pPr>
        <w:ind w:firstLine="640"/>
      </w:pPr>
      <w:r>
        <w:rPr>
          <w:rFonts w:hint="eastAsia"/>
        </w:rPr>
        <w:t>规划新建七里坪乡给水厂，规模为2000立方米/日，供水水源采用附近的中深层地下水。</w:t>
      </w:r>
    </w:p>
    <w:p>
      <w:pPr>
        <w:ind w:firstLine="640"/>
      </w:pPr>
      <w:r>
        <w:rPr>
          <w:rFonts w:hint="eastAsia"/>
        </w:rPr>
        <w:t>3</w:t>
      </w:r>
      <w:r>
        <w:t>.</w:t>
      </w:r>
      <w:r>
        <w:rPr>
          <w:rFonts w:hint="eastAsia"/>
        </w:rPr>
        <w:t>供水管网规划</w:t>
      </w:r>
    </w:p>
    <w:p>
      <w:pPr>
        <w:ind w:firstLine="640"/>
        <w:rPr>
          <w:bCs/>
        </w:rPr>
      </w:pPr>
      <w:r>
        <w:rPr>
          <w:rFonts w:hint="eastAsia"/>
          <w:bCs/>
        </w:rPr>
        <w:t>供水主干线沿主干路敷设并尽量靠近大用水量单位，综合考虑技术、经济以及可靠性等因素，采用环、支状网相结合的布置方式。</w:t>
      </w:r>
    </w:p>
    <w:p>
      <w:pPr>
        <w:ind w:firstLine="640"/>
      </w:pPr>
      <w:r>
        <w:rPr>
          <w:rFonts w:hint="eastAsia"/>
          <w:bCs/>
        </w:rPr>
        <w:t>规划保留七宝路现状DN200给水管，沿Z010敷设DN200给水管；规划保留秋村街现状DN150给水管，沿其他支路敷设DN150给水管。规划给水管与相交道路给水管相接，形成安全可靠的环状供水系统。</w:t>
      </w:r>
    </w:p>
    <w:p>
      <w:pPr>
        <w:pStyle w:val="4"/>
      </w:pPr>
      <w:r>
        <w:rPr>
          <w:rFonts w:hint="eastAsia"/>
        </w:rPr>
        <w:t>排水工程规划</w:t>
      </w:r>
    </w:p>
    <w:p>
      <w:pPr>
        <w:ind w:firstLine="640"/>
      </w:pPr>
      <w:r>
        <w:rPr>
          <w:rFonts w:hint="eastAsia"/>
        </w:rPr>
        <w:t>1</w:t>
      </w:r>
      <w:r>
        <w:t>.</w:t>
      </w:r>
      <w:r>
        <w:rPr>
          <w:rFonts w:hint="eastAsia"/>
        </w:rPr>
        <w:t>污水工程</w:t>
      </w:r>
    </w:p>
    <w:p>
      <w:pPr>
        <w:ind w:firstLine="640"/>
        <w:rPr>
          <w:bCs/>
        </w:rPr>
      </w:pPr>
      <w:r>
        <w:rPr>
          <w:rFonts w:hint="eastAsia"/>
          <w:bCs/>
        </w:rPr>
        <w:t>规划集镇区实行雨污分流制排水系统。</w:t>
      </w:r>
    </w:p>
    <w:p>
      <w:pPr>
        <w:ind w:firstLine="640"/>
        <w:rPr>
          <w:bCs/>
        </w:rPr>
      </w:pPr>
      <w:r>
        <w:rPr>
          <w:rFonts w:hint="eastAsia"/>
          <w:bCs/>
        </w:rPr>
        <w:t>预测集镇区平均日污水量为894立方米/日。</w:t>
      </w:r>
    </w:p>
    <w:p>
      <w:pPr>
        <w:ind w:firstLine="640"/>
      </w:pPr>
      <w:r>
        <w:rPr>
          <w:rFonts w:hint="eastAsia"/>
          <w:bCs/>
        </w:rPr>
        <w:t>规划沿集镇区道路敷设d300-d400污水管，接入下游七宝路、平安路d400-d500污水管，污水向南排入七里坪污水处理厂。污水处理厂规模为1200立方米/日；污水处理厂出水水质要求达到《城镇污水处理厂污染物排放标准》（GB 18918-2002）中规定的一级A标准，处理达标后排入湍河</w:t>
      </w:r>
      <w:r>
        <w:rPr>
          <w:rFonts w:hint="eastAsia"/>
        </w:rPr>
        <w:t>。</w:t>
      </w:r>
    </w:p>
    <w:p>
      <w:pPr>
        <w:ind w:firstLine="640"/>
      </w:pPr>
      <w:r>
        <w:rPr>
          <w:rFonts w:hint="eastAsia"/>
        </w:rPr>
        <w:t>2</w:t>
      </w:r>
      <w:r>
        <w:t>.</w:t>
      </w:r>
      <w:r>
        <w:rPr>
          <w:rFonts w:hint="eastAsia"/>
        </w:rPr>
        <w:t>雨水工程</w:t>
      </w:r>
    </w:p>
    <w:p>
      <w:pPr>
        <w:ind w:firstLine="640"/>
      </w:pPr>
      <w:r>
        <w:rPr>
          <w:rFonts w:hint="eastAsia"/>
        </w:rPr>
        <w:t>集镇区雨水管渠设计重现期为2-3年；集镇区的重要地区如行政中心、学校、医院、商业聚集区等雨水管渠设计重现期为3-5年；集镇区的地下通道和下沉式广场等雨水管渠设计重现期为10-20年。</w:t>
      </w:r>
    </w:p>
    <w:p>
      <w:pPr>
        <w:ind w:firstLine="640"/>
      </w:pPr>
      <w:r>
        <w:rPr>
          <w:rFonts w:hint="eastAsia"/>
        </w:rPr>
        <w:t>规划沿七宝路、平安路、秋林街等道路敷设d400-d600雨水管，雨水就近排入河流、水系</w:t>
      </w:r>
      <w:r>
        <w:rPr>
          <w:rFonts w:hint="eastAsia"/>
          <w:bCs/>
        </w:rPr>
        <w:t>。</w:t>
      </w:r>
    </w:p>
    <w:p>
      <w:pPr>
        <w:pStyle w:val="4"/>
      </w:pPr>
      <w:r>
        <w:rPr>
          <w:rFonts w:hint="eastAsia"/>
        </w:rPr>
        <w:t>电力工程规划</w:t>
      </w:r>
    </w:p>
    <w:p>
      <w:pPr>
        <w:ind w:firstLine="640"/>
      </w:pPr>
      <w:r>
        <w:rPr>
          <w:rFonts w:hint="eastAsia"/>
        </w:rPr>
        <w:t>1</w:t>
      </w:r>
      <w:r>
        <w:t>.</w:t>
      </w:r>
      <w:r>
        <w:rPr>
          <w:rFonts w:hint="eastAsia"/>
        </w:rPr>
        <w:t>用电负荷预测</w:t>
      </w:r>
    </w:p>
    <w:p>
      <w:pPr>
        <w:ind w:firstLine="640"/>
      </w:pPr>
      <w:r>
        <w:rPr>
          <w:rFonts w:hint="eastAsia"/>
        </w:rPr>
        <w:t>预测集镇区总用电负荷将达14.2兆瓦。</w:t>
      </w:r>
    </w:p>
    <w:p>
      <w:pPr>
        <w:ind w:firstLine="640"/>
      </w:pPr>
      <w:r>
        <w:rPr>
          <w:rFonts w:hint="eastAsia"/>
        </w:rPr>
        <w:t>2</w:t>
      </w:r>
      <w:r>
        <w:t>.</w:t>
      </w:r>
      <w:r>
        <w:rPr>
          <w:rFonts w:hint="eastAsia"/>
        </w:rPr>
        <w:t>供电设施规划</w:t>
      </w:r>
    </w:p>
    <w:p>
      <w:pPr>
        <w:ind w:firstLine="640"/>
      </w:pPr>
      <w:r>
        <w:rPr>
          <w:rFonts w:hint="eastAsia"/>
        </w:rPr>
        <w:t>规划集镇区电源来自规划110千伏双庙变。</w:t>
      </w:r>
    </w:p>
    <w:p>
      <w:pPr>
        <w:ind w:firstLine="640"/>
      </w:pPr>
      <w:r>
        <w:rPr>
          <w:rFonts w:hint="eastAsia"/>
        </w:rPr>
        <w:t>新建10千伏电力线沿干道采用地埋电缆沟的敷设方式，并在重点地段形成环路，以保证供电可靠安全性，同时确保每一个地块均能从临路一侧方便接入10千伏电源线。尽量避免架空铺设，不仅防止集镇区景观的破坏，还能减少因人为原因造成的事故。为减少10千伏线路出线紧张问题，在集镇区用电负荷中心相应位置设置市政公用开闭所。</w:t>
      </w:r>
    </w:p>
    <w:p>
      <w:pPr>
        <w:ind w:firstLine="640"/>
      </w:pPr>
      <w:r>
        <w:rPr>
          <w:rFonts w:hint="eastAsia"/>
        </w:rPr>
        <w:t>3</w:t>
      </w:r>
      <w:r>
        <w:t>.</w:t>
      </w:r>
      <w:r>
        <w:rPr>
          <w:rFonts w:hint="eastAsia"/>
        </w:rPr>
        <w:t>电力廊道规划</w:t>
      </w:r>
    </w:p>
    <w:p>
      <w:pPr>
        <w:ind w:firstLine="640"/>
      </w:pPr>
      <w:bookmarkStart w:id="181" w:name="_Hlk150874338"/>
      <w:r>
        <w:rPr>
          <w:rFonts w:hint="eastAsia"/>
          <w:bCs/>
        </w:rPr>
        <w:t>110千伏高压线设置15-25米宽的高压走廊；35千伏高压线设置15-20米宽的高压走廊。根据《电力设施保护条例实施细则》，电力廊道内不得进行建设及危害电力设施的行为</w:t>
      </w:r>
      <w:r>
        <w:rPr>
          <w:rFonts w:hint="eastAsia"/>
        </w:rPr>
        <w:t>。</w:t>
      </w:r>
      <w:bookmarkEnd w:id="181"/>
    </w:p>
    <w:p>
      <w:pPr>
        <w:pStyle w:val="4"/>
      </w:pPr>
      <w:r>
        <w:rPr>
          <w:rFonts w:hint="eastAsia"/>
        </w:rPr>
        <w:t>通信工程规划</w:t>
      </w:r>
    </w:p>
    <w:p>
      <w:pPr>
        <w:ind w:firstLine="640"/>
      </w:pPr>
      <w:r>
        <w:rPr>
          <w:rFonts w:hint="eastAsia"/>
        </w:rPr>
        <w:t>1</w:t>
      </w:r>
      <w:r>
        <w:t>.</w:t>
      </w:r>
      <w:r>
        <w:rPr>
          <w:rFonts w:hint="eastAsia"/>
        </w:rPr>
        <w:t>容量预测</w:t>
      </w:r>
    </w:p>
    <w:p>
      <w:pPr>
        <w:ind w:firstLine="640"/>
      </w:pPr>
      <w:r>
        <w:rPr>
          <w:rFonts w:hint="eastAsia"/>
        </w:rPr>
        <w:t>预测集镇区固定电话容量需求达到6719线，移动电话用户卡号数约为5500卡号，宽带用户数量达到2000户。</w:t>
      </w:r>
    </w:p>
    <w:p>
      <w:pPr>
        <w:ind w:firstLine="640"/>
      </w:pPr>
      <w:r>
        <w:rPr>
          <w:rFonts w:hint="eastAsia"/>
        </w:rPr>
        <w:t>2.邮政设施与电信设施规划</w:t>
      </w:r>
    </w:p>
    <w:p>
      <w:pPr>
        <w:ind w:firstLine="640"/>
      </w:pPr>
      <w:r>
        <w:rPr>
          <w:rFonts w:hint="eastAsia"/>
        </w:rPr>
        <w:t>规划保留七里坪乡现状邮政支局1处，位于秋林街南侧。规划沿集镇区主干道每隔500米设信箱一个，住宅楼各单元入口处设报箱。</w:t>
      </w:r>
    </w:p>
    <w:p>
      <w:pPr>
        <w:ind w:firstLine="640"/>
      </w:pPr>
      <w:r>
        <w:rPr>
          <w:rFonts w:hint="eastAsia"/>
        </w:rPr>
        <w:t>3</w:t>
      </w:r>
      <w:r>
        <w:t>.</w:t>
      </w:r>
      <w:r>
        <w:rPr>
          <w:rFonts w:hint="eastAsia"/>
        </w:rPr>
        <w:t>广播电视设施规划</w:t>
      </w:r>
    </w:p>
    <w:p>
      <w:pPr>
        <w:ind w:firstLine="640"/>
      </w:pPr>
      <w:r>
        <w:rPr>
          <w:rFonts w:hint="eastAsia"/>
        </w:rPr>
        <w:t>规划广播电视综合交叉覆盖率达到98％以上，有线电视入户实现数字化、传输线路全部采用光缆，埋户率达100％。</w:t>
      </w:r>
    </w:p>
    <w:p>
      <w:pPr>
        <w:pStyle w:val="4"/>
      </w:pPr>
      <w:r>
        <w:rPr>
          <w:rFonts w:hint="eastAsia"/>
        </w:rPr>
        <w:t>燃气工程规划</w:t>
      </w:r>
    </w:p>
    <w:p>
      <w:pPr>
        <w:ind w:firstLine="640"/>
      </w:pPr>
      <w:r>
        <w:rPr>
          <w:rFonts w:hint="eastAsia"/>
        </w:rPr>
        <w:t>1</w:t>
      </w:r>
      <w:r>
        <w:t>.</w:t>
      </w:r>
      <w:r>
        <w:rPr>
          <w:rFonts w:hint="eastAsia"/>
        </w:rPr>
        <w:t>用气负荷预测</w:t>
      </w:r>
    </w:p>
    <w:p>
      <w:pPr>
        <w:ind w:firstLine="640"/>
      </w:pPr>
      <w:r>
        <w:rPr>
          <w:rFonts w:hint="eastAsia"/>
        </w:rPr>
        <w:t>预测集镇区用气负荷约3150立方米/日。</w:t>
      </w:r>
    </w:p>
    <w:p>
      <w:pPr>
        <w:ind w:firstLine="640"/>
      </w:pPr>
      <w:r>
        <w:rPr>
          <w:rFonts w:hint="eastAsia"/>
        </w:rPr>
        <w:t>2</w:t>
      </w:r>
      <w:r>
        <w:t>.</w:t>
      </w:r>
      <w:r>
        <w:rPr>
          <w:rFonts w:hint="eastAsia"/>
        </w:rPr>
        <w:t>燃气管网规划</w:t>
      </w:r>
    </w:p>
    <w:p>
      <w:pPr>
        <w:ind w:firstLine="640"/>
      </w:pPr>
      <w:r>
        <w:rPr>
          <w:rFonts w:hint="eastAsia"/>
        </w:rPr>
        <w:t>规划沿Z010等道路敷设de110燃气管线，沿平安路、秋林街等道路敷设de90燃气管线，沿支路敷设de63燃气管线，燃气管线呈环状布置，局部为支状。规划集镇区采用中压一级管网系统，中压管网进气压力为0.4兆帕。一般居民用户和公共福利用户通过楼栋调压箱调节至低压后供气</w:t>
      </w:r>
      <w:r>
        <w:rPr>
          <w:rFonts w:hint="eastAsia"/>
          <w:bCs/>
        </w:rPr>
        <w:t>。</w:t>
      </w:r>
    </w:p>
    <w:p>
      <w:pPr>
        <w:pStyle w:val="4"/>
      </w:pPr>
      <w:r>
        <w:rPr>
          <w:rFonts w:hint="eastAsia"/>
        </w:rPr>
        <w:t>环卫工程规划</w:t>
      </w:r>
    </w:p>
    <w:p>
      <w:pPr>
        <w:ind w:firstLine="640"/>
      </w:pPr>
      <w:r>
        <w:rPr>
          <w:rFonts w:hint="eastAsia"/>
        </w:rPr>
        <w:t>1</w:t>
      </w:r>
      <w:r>
        <w:t>.生活垃圾量预测</w:t>
      </w:r>
    </w:p>
    <w:p>
      <w:pPr>
        <w:ind w:firstLine="640"/>
      </w:pPr>
      <w:r>
        <w:t>2035年，集镇区规划人口约</w:t>
      </w:r>
      <w:r>
        <w:rPr>
          <w:rFonts w:hint="eastAsia"/>
        </w:rPr>
        <w:t>0.5</w:t>
      </w:r>
      <w:r>
        <w:t>万，人均生活垃圾产生量1.0千克/人·日进行预测。规划至2035年，</w:t>
      </w:r>
      <w:r>
        <w:rPr>
          <w:rFonts w:hint="eastAsia"/>
        </w:rPr>
        <w:t>集镇区</w:t>
      </w:r>
      <w:r>
        <w:t>预测生活垃圾产量为</w:t>
      </w:r>
      <w:r>
        <w:rPr>
          <w:rFonts w:hint="eastAsia"/>
        </w:rPr>
        <w:t>5.0</w:t>
      </w:r>
      <w:r>
        <w:t>吨/日。</w:t>
      </w:r>
    </w:p>
    <w:p>
      <w:pPr>
        <w:ind w:firstLine="640"/>
      </w:pPr>
      <w:r>
        <w:rPr>
          <w:rFonts w:hint="eastAsia"/>
        </w:rPr>
        <w:t>2</w:t>
      </w:r>
      <w:r>
        <w:t>.垃圾收运与处置</w:t>
      </w:r>
    </w:p>
    <w:p>
      <w:pPr>
        <w:ind w:firstLine="640"/>
      </w:pPr>
      <w:bookmarkStart w:id="182" w:name="_Hlk209626815"/>
      <w:r>
        <w:rPr>
          <w:rFonts w:hint="eastAsia"/>
        </w:rPr>
        <w:t>集镇区生活垃圾由垃圾收集点收集后运送至生活垃圾收集站，再运输至规划垃圾转运站进行压缩处理，直接送至垃圾处理场统一处理</w:t>
      </w:r>
      <w:bookmarkEnd w:id="182"/>
      <w:r>
        <w:rPr>
          <w:rFonts w:hint="eastAsia"/>
        </w:rPr>
        <w:t>。</w:t>
      </w:r>
    </w:p>
    <w:p>
      <w:pPr>
        <w:ind w:firstLine="640"/>
      </w:pPr>
      <w:r>
        <w:rPr>
          <w:rFonts w:hint="eastAsia"/>
        </w:rPr>
        <w:t>建筑垃圾运至建筑垃圾处理厂进行处理；医疗垃圾应采用医疗卫生垃圾专用车运输，统一运输至南阳市医疗垃圾集中处理中心处理；工业一般垃圾以各厂区内部处置为主，资源化与最终处置相结合；危险废弃物纳入南阳市危废处置系统，运至危废处置中心安全处置。</w:t>
      </w:r>
    </w:p>
    <w:p>
      <w:pPr>
        <w:ind w:firstLine="640"/>
      </w:pPr>
      <w:r>
        <w:rPr>
          <w:rFonts w:hint="eastAsia"/>
        </w:rPr>
        <w:t>3</w:t>
      </w:r>
      <w:r>
        <w:t>.环卫设施布局</w:t>
      </w:r>
    </w:p>
    <w:p>
      <w:pPr>
        <w:ind w:firstLine="640"/>
      </w:pPr>
      <w:bookmarkStart w:id="183" w:name="_Hlk207458794"/>
      <w:r>
        <w:rPr>
          <w:rFonts w:hint="eastAsia"/>
        </w:rPr>
        <w:t>七宝路南侧</w:t>
      </w:r>
      <w:r>
        <w:t>规划一座小型（V）生活垃圾转运站，</w:t>
      </w:r>
      <w:r>
        <w:rPr>
          <w:rFonts w:hint="eastAsia"/>
        </w:rPr>
        <w:t>用</w:t>
      </w:r>
      <w:r>
        <w:t>地面积0</w:t>
      </w:r>
      <w:r>
        <w:rPr>
          <w:rFonts w:hint="eastAsia"/>
        </w:rPr>
        <w:t>.05</w:t>
      </w:r>
      <w:r>
        <w:t>公顷</w:t>
      </w:r>
      <w:bookmarkEnd w:id="183"/>
      <w:r>
        <w:t>。</w:t>
      </w:r>
    </w:p>
    <w:p>
      <w:pPr>
        <w:pStyle w:val="3"/>
        <w:spacing w:before="326" w:beforeLines="100" w:after="326" w:afterLines="100"/>
      </w:pPr>
      <w:bookmarkStart w:id="184" w:name="_Toc129799058"/>
      <w:bookmarkStart w:id="185" w:name="_Toc185606086"/>
      <w:bookmarkStart w:id="186" w:name="_Toc127350193"/>
      <w:r>
        <w:rPr>
          <w:rFonts w:hint="eastAsia"/>
        </w:rPr>
        <w:t>综合防灾</w:t>
      </w:r>
      <w:bookmarkEnd w:id="184"/>
      <w:r>
        <w:rPr>
          <w:rFonts w:hint="eastAsia"/>
        </w:rPr>
        <w:t>减灾规划</w:t>
      </w:r>
      <w:bookmarkEnd w:id="185"/>
    </w:p>
    <w:p>
      <w:pPr>
        <w:pStyle w:val="4"/>
      </w:pPr>
      <w:r>
        <w:rPr>
          <w:rFonts w:hint="eastAsia"/>
        </w:rPr>
        <w:t>综合防灾空间布局</w:t>
      </w:r>
    </w:p>
    <w:p>
      <w:pPr>
        <w:ind w:firstLine="640"/>
      </w:pPr>
      <w:r>
        <w:rPr>
          <w:rFonts w:hint="eastAsia"/>
        </w:rPr>
        <w:t>1</w:t>
      </w:r>
      <w:r>
        <w:t>.防洪排涝规划</w:t>
      </w:r>
    </w:p>
    <w:p>
      <w:pPr>
        <w:ind w:firstLine="640"/>
      </w:pPr>
      <w:r>
        <w:rPr>
          <w:rFonts w:hint="eastAsia"/>
        </w:rPr>
        <w:t>防洪标准：七里坪乡集镇区按2</w:t>
      </w:r>
      <w:r>
        <w:t>0年一遇标准设防；镇</w:t>
      </w:r>
      <w:r>
        <w:rPr>
          <w:rFonts w:hint="eastAsia"/>
        </w:rPr>
        <w:t>中部湍河</w:t>
      </w:r>
      <w:r>
        <w:t>按20年一遇标准设防。</w:t>
      </w:r>
    </w:p>
    <w:p>
      <w:pPr>
        <w:ind w:firstLine="640"/>
      </w:pPr>
      <w:r>
        <w:rPr>
          <w:rFonts w:hint="eastAsia"/>
        </w:rPr>
        <w:t>内涝防治标准：七里坪乡能有效应对不低于</w:t>
      </w:r>
      <w:r>
        <w:t>20年一遇的暴雨。</w:t>
      </w:r>
    </w:p>
    <w:p>
      <w:pPr>
        <w:ind w:firstLine="640"/>
      </w:pPr>
      <w:r>
        <w:rPr>
          <w:rFonts w:hint="eastAsia"/>
        </w:rPr>
        <w:t>2</w:t>
      </w:r>
      <w:r>
        <w:t>.消防规划</w:t>
      </w:r>
    </w:p>
    <w:p>
      <w:pPr>
        <w:ind w:firstLine="640"/>
      </w:pPr>
      <w:r>
        <w:rPr>
          <w:rFonts w:hint="eastAsia"/>
        </w:rPr>
        <w:t>集镇区按照普通消防站接警后</w:t>
      </w:r>
      <w:r>
        <w:t>5分钟内消防队可以到达责任区边缘为原则，及消防站责任区范围小于7平方千米的要求设置消防站，</w:t>
      </w:r>
      <w:r>
        <w:rPr>
          <w:rFonts w:hint="eastAsia"/>
        </w:rPr>
        <w:t>规划在集镇区南侧规划建设1处二级乡镇专职消防队</w:t>
      </w:r>
      <w:r>
        <w:t>。</w:t>
      </w:r>
    </w:p>
    <w:p>
      <w:pPr>
        <w:ind w:firstLine="640"/>
      </w:pPr>
      <w:r>
        <w:rPr>
          <w:rFonts w:hint="eastAsia"/>
        </w:rPr>
        <w:t>3</w:t>
      </w:r>
      <w:r>
        <w:t>.抗震防灾规划</w:t>
      </w:r>
    </w:p>
    <w:p>
      <w:pPr>
        <w:ind w:firstLine="640"/>
      </w:pPr>
      <w:r>
        <w:rPr>
          <w:rFonts w:hint="eastAsia"/>
        </w:rPr>
        <w:t>七里坪乡地震烈度为</w:t>
      </w:r>
      <w:r>
        <w:t>7度。新建、扩建、改建建设工程应当达到抗震设防要求；集镇区生命线工程（给排水、供电、通讯、道路、桥梁、堤坝等）及主要公共建筑（如体育馆、学校、卫生院、消防站、重要仓库等）按照8度设防。</w:t>
      </w:r>
    </w:p>
    <w:p>
      <w:pPr>
        <w:ind w:firstLine="640"/>
      </w:pPr>
      <w:r>
        <w:rPr>
          <w:rFonts w:hint="eastAsia"/>
        </w:rPr>
        <w:t>利用集镇区公园、绿地、广场、学校、体育场、空地等作为避震疏散场地。固定避难场所人均有效避难面积不小于</w:t>
      </w:r>
      <w:r>
        <w:t>2.0平方米。</w:t>
      </w:r>
    </w:p>
    <w:p>
      <w:pPr>
        <w:ind w:firstLine="640"/>
      </w:pPr>
      <w:r>
        <w:rPr>
          <w:rFonts w:hint="eastAsia"/>
        </w:rPr>
        <w:t>将集镇区主次干道、过境公路作为主要避震疏散通道。</w:t>
      </w:r>
    </w:p>
    <w:p>
      <w:pPr>
        <w:ind w:firstLine="640"/>
      </w:pPr>
      <w:r>
        <w:rPr>
          <w:rFonts w:hint="eastAsia"/>
        </w:rPr>
        <w:t>救灾干道：</w:t>
      </w:r>
      <w:bookmarkStart w:id="187" w:name="_Hlk207459203"/>
      <w:r>
        <w:rPr>
          <w:rFonts w:hint="eastAsia"/>
        </w:rPr>
        <w:t>七宝路、Z010</w:t>
      </w:r>
      <w:bookmarkEnd w:id="187"/>
      <w:r>
        <w:rPr>
          <w:rFonts w:hint="eastAsia"/>
        </w:rPr>
        <w:t>。</w:t>
      </w:r>
    </w:p>
    <w:p>
      <w:pPr>
        <w:ind w:firstLine="640"/>
      </w:pPr>
      <w:r>
        <w:rPr>
          <w:rFonts w:hint="eastAsia"/>
        </w:rPr>
        <w:t>疏散主干道：</w:t>
      </w:r>
      <w:bookmarkStart w:id="188" w:name="_Hlk207459214"/>
      <w:r>
        <w:rPr>
          <w:rFonts w:hint="eastAsia"/>
        </w:rPr>
        <w:t>平安路等集镇区主干道为主要疏散干道</w:t>
      </w:r>
      <w:bookmarkEnd w:id="188"/>
      <w:r>
        <w:rPr>
          <w:rFonts w:hint="eastAsia"/>
        </w:rPr>
        <w:t>。</w:t>
      </w:r>
    </w:p>
    <w:p>
      <w:pPr>
        <w:ind w:firstLine="640"/>
      </w:pPr>
      <w:r>
        <w:rPr>
          <w:rFonts w:hint="eastAsia"/>
        </w:rPr>
        <w:t>4</w:t>
      </w:r>
      <w:r>
        <w:t>.突发公共卫生事件防御规划</w:t>
      </w:r>
    </w:p>
    <w:p>
      <w:pPr>
        <w:ind w:firstLine="640"/>
      </w:pPr>
      <w:r>
        <w:rPr>
          <w:rFonts w:hint="eastAsia"/>
        </w:rPr>
        <w:t>出现灾情、疫情时，在集镇区主入口设公安劝阻站，控制疏导车辆、人流进出集镇区，保证救灾车辆顺利通行，所有出入疫区的人流、车流经过消毒，防止疫情扩散。</w:t>
      </w:r>
    </w:p>
    <w:p>
      <w:pPr>
        <w:pStyle w:val="4"/>
      </w:pPr>
      <w:r>
        <w:rPr>
          <w:rFonts w:hint="eastAsia"/>
        </w:rPr>
        <w:t>综合防灾应急服务设施规划</w:t>
      </w:r>
    </w:p>
    <w:p>
      <w:pPr>
        <w:ind w:firstLine="640"/>
      </w:pPr>
      <w:r>
        <w:rPr>
          <w:rFonts w:hint="eastAsia"/>
        </w:rPr>
        <w:t>1</w:t>
      </w:r>
      <w:r>
        <w:t>.应急指挥设施体系</w:t>
      </w:r>
    </w:p>
    <w:p>
      <w:pPr>
        <w:ind w:firstLine="640"/>
      </w:pPr>
      <w:r>
        <w:rPr>
          <w:rFonts w:hint="eastAsia"/>
        </w:rPr>
        <w:t>集镇区设置应急指挥中心</w:t>
      </w:r>
      <w:r>
        <w:t>1处，位于</w:t>
      </w:r>
      <w:r>
        <w:rPr>
          <w:rFonts w:hint="eastAsia"/>
        </w:rPr>
        <w:t>乡</w:t>
      </w:r>
      <w:r>
        <w:t>人民政府。</w:t>
      </w:r>
    </w:p>
    <w:p>
      <w:pPr>
        <w:ind w:firstLine="640"/>
      </w:pPr>
      <w:r>
        <w:rPr>
          <w:rFonts w:hint="eastAsia"/>
        </w:rPr>
        <w:t>2</w:t>
      </w:r>
      <w:r>
        <w:t>.应急救灾物资储备设施</w:t>
      </w:r>
    </w:p>
    <w:p>
      <w:pPr>
        <w:ind w:firstLine="640"/>
      </w:pPr>
      <w:bookmarkStart w:id="189" w:name="_Hlk207459258"/>
      <w:r>
        <w:rPr>
          <w:rFonts w:hint="eastAsia"/>
        </w:rPr>
        <w:t>集镇区</w:t>
      </w:r>
      <w:bookmarkEnd w:id="189"/>
      <w:r>
        <w:rPr>
          <w:rFonts w:hint="eastAsia"/>
        </w:rPr>
        <w:t>设置救灾物资储备库，并配置装卸设备、技防设备、物资保管维护设备、交通工具（应急调度车、救灾物资转运车）与通讯调度设备等。</w:t>
      </w:r>
    </w:p>
    <w:p>
      <w:pPr>
        <w:ind w:firstLine="640"/>
      </w:pPr>
      <w:r>
        <w:rPr>
          <w:rFonts w:hint="eastAsia"/>
        </w:rPr>
        <w:t>3</w:t>
      </w:r>
      <w:r>
        <w:t>.提升应急医疗服务能力</w:t>
      </w:r>
    </w:p>
    <w:p>
      <w:pPr>
        <w:ind w:firstLine="640"/>
      </w:pPr>
      <w:r>
        <w:rPr>
          <w:rFonts w:hint="eastAsia"/>
        </w:rPr>
        <w:t>集镇区依托卫生院设置镇级应急医疗设施。</w:t>
      </w:r>
    </w:p>
    <w:p>
      <w:pPr>
        <w:ind w:firstLine="640"/>
      </w:pPr>
      <w:r>
        <w:rPr>
          <w:rFonts w:hint="eastAsia"/>
        </w:rPr>
        <w:t>4</w:t>
      </w:r>
      <w:r>
        <w:t>.生命线系统</w:t>
      </w:r>
    </w:p>
    <w:p>
      <w:pPr>
        <w:ind w:firstLine="640"/>
      </w:pPr>
      <w:r>
        <w:rPr>
          <w:rFonts w:hint="eastAsia"/>
        </w:rPr>
        <w:t>供水系统：水厂建设标准应满足放在要求，在每个紧急避难场所设取水井供灾时使用；配备送水车以备应急时使用。</w:t>
      </w:r>
    </w:p>
    <w:p>
      <w:pPr>
        <w:ind w:firstLine="640"/>
      </w:pPr>
      <w:r>
        <w:rPr>
          <w:rFonts w:hint="eastAsia"/>
        </w:rPr>
        <w:t>供电系统：避震疏散场所储备必要的供电设施（小型发电机、应急电源接入开关柜），特别是政府救灾部门、卫生院、派出所、消防部门。配备一定数量的移动发电车，保障灾害时救灾相关部门发电机出现故障时的供电。</w:t>
      </w:r>
    </w:p>
    <w:p>
      <w:pPr>
        <w:ind w:firstLine="640"/>
      </w:pPr>
      <w:r>
        <w:rPr>
          <w:rFonts w:hint="eastAsia"/>
        </w:rPr>
        <w:t>通信系统：为政府救灾部门、卫生院、派出所、消防部门配备防灾通信机房及无线基站，采用专线光缆与重要通信机楼联络。配备一定数量的移动通信车、全球卫星通信设备，加强重大灾害时政府救灾部门、卫生院、派出所、消防部门的通信能力。</w:t>
      </w:r>
    </w:p>
    <w:p>
      <w:pPr>
        <w:ind w:firstLine="640"/>
      </w:pPr>
      <w:r>
        <w:rPr>
          <w:rFonts w:hint="eastAsia"/>
        </w:rPr>
        <w:t>燃气系统：维修和改造现有燃气系统薄弱环节；加强新铺设管道抗灾能力；设置防灾自动化控制系统；燃料供应点（加油加气站）由防灾指挥部统一调配；设立一网统管燃气管理系统，燃气设施增加互联网传感器；配备一定数量的燃气应急泄露疏散设备移动发电车移动通信车抢险维修维护车辆。</w:t>
      </w:r>
    </w:p>
    <w:bookmarkEnd w:id="186"/>
    <w:p>
      <w:pPr>
        <w:pStyle w:val="3"/>
        <w:spacing w:before="326" w:beforeLines="100" w:after="326" w:afterLines="100"/>
      </w:pPr>
      <w:bookmarkStart w:id="190" w:name="_Toc185606087"/>
      <w:r>
        <w:rPr>
          <w:rFonts w:hint="eastAsia"/>
        </w:rPr>
        <w:t>城市四线划定</w:t>
      </w:r>
      <w:bookmarkEnd w:id="190"/>
    </w:p>
    <w:p>
      <w:pPr>
        <w:pStyle w:val="4"/>
      </w:pPr>
      <w:bookmarkStart w:id="191" w:name="_Hlk142924641"/>
      <w:r>
        <w:rPr>
          <w:rFonts w:hint="eastAsia"/>
        </w:rPr>
        <w:t>城市黄</w:t>
      </w:r>
      <w:r>
        <w:t>线</w:t>
      </w:r>
    </w:p>
    <w:bookmarkEnd w:id="191"/>
    <w:p>
      <w:pPr>
        <w:spacing w:before="65"/>
        <w:ind w:firstLine="640"/>
        <w:rPr>
          <w:u w:val="single"/>
        </w:rPr>
      </w:pPr>
      <w:r>
        <w:rPr>
          <w:rFonts w:hint="eastAsia"/>
          <w:u w:val="single"/>
        </w:rPr>
        <w:t>包括七里坪</w:t>
      </w:r>
      <w:bookmarkStart w:id="192" w:name="_Hlk207458944"/>
      <w:r>
        <w:rPr>
          <w:rFonts w:hint="eastAsia"/>
          <w:u w:val="single"/>
        </w:rPr>
        <w:t>垃圾转运站</w:t>
      </w:r>
      <w:r>
        <w:rPr>
          <w:u w:val="single"/>
        </w:rPr>
        <w:t>和</w:t>
      </w:r>
      <w:r>
        <w:rPr>
          <w:rFonts w:hint="eastAsia"/>
          <w:u w:val="single"/>
        </w:rPr>
        <w:t>七里坪</w:t>
      </w:r>
      <w:r>
        <w:rPr>
          <w:u w:val="single"/>
        </w:rPr>
        <w:t>消防站，面积分别为</w:t>
      </w:r>
      <w:r>
        <w:rPr>
          <w:rFonts w:hint="eastAsia"/>
          <w:u w:val="single"/>
        </w:rPr>
        <w:t>0.05</w:t>
      </w:r>
      <w:r>
        <w:rPr>
          <w:u w:val="single"/>
        </w:rPr>
        <w:t>公顷、</w:t>
      </w:r>
      <w:r>
        <w:rPr>
          <w:rFonts w:hint="eastAsia"/>
          <w:u w:val="single"/>
        </w:rPr>
        <w:t>0.06</w:t>
      </w:r>
      <w:r>
        <w:rPr>
          <w:u w:val="single"/>
        </w:rPr>
        <w:t>公顷</w:t>
      </w:r>
      <w:bookmarkEnd w:id="192"/>
      <w:r>
        <w:rPr>
          <w:rFonts w:hint="eastAsia"/>
          <w:u w:val="single"/>
        </w:rPr>
        <w:t>。</w:t>
      </w:r>
    </w:p>
    <w:p>
      <w:pPr>
        <w:spacing w:before="65"/>
        <w:ind w:firstLine="640"/>
        <w:rPr>
          <w:u w:val="single"/>
        </w:rPr>
      </w:pPr>
      <w:bookmarkStart w:id="193" w:name="_Hlk208409540"/>
      <w:r>
        <w:rPr>
          <w:rFonts w:hint="eastAsia"/>
          <w:u w:val="single"/>
        </w:rPr>
        <w:t>城市黄线</w:t>
      </w:r>
      <w:bookmarkEnd w:id="193"/>
      <w:r>
        <w:rPr>
          <w:rFonts w:hint="eastAsia"/>
          <w:u w:val="single"/>
        </w:rPr>
        <w:t>内不得改作他用，不得违反法律法规、强制性标准以及批准的规划进行开发建设。</w:t>
      </w:r>
      <w:r>
        <w:rPr>
          <w:u w:val="single"/>
        </w:rPr>
        <w:t>违反国家有关技术标准和规范进行建设；未经批准，改装、迁移或拆毁原有城市基础设施；其他损坏城市基础设施或影响城市基础设施安全和正常运转的行为。</w:t>
      </w:r>
    </w:p>
    <w:p>
      <w:pPr>
        <w:pStyle w:val="4"/>
      </w:pPr>
      <w:bookmarkStart w:id="194" w:name="_Hlk142924653"/>
      <w:bookmarkStart w:id="195" w:name="_Hlk142924647"/>
      <w:r>
        <w:rPr>
          <w:rFonts w:hint="eastAsia"/>
        </w:rPr>
        <w:t>城市绿线</w:t>
      </w:r>
    </w:p>
    <w:bookmarkEnd w:id="194"/>
    <w:p>
      <w:pPr>
        <w:spacing w:before="65"/>
        <w:ind w:firstLine="640"/>
        <w:rPr>
          <w:u w:val="single"/>
        </w:rPr>
      </w:pPr>
      <w:bookmarkStart w:id="196" w:name="_Hlk208409564"/>
      <w:r>
        <w:rPr>
          <w:rFonts w:hint="eastAsia"/>
          <w:u w:val="single"/>
        </w:rPr>
        <w:t>控制范围共2.77</w:t>
      </w:r>
      <w:r>
        <w:rPr>
          <w:u w:val="single"/>
        </w:rPr>
        <w:t>公顷，为规划范围内的</w:t>
      </w:r>
      <w:r>
        <w:rPr>
          <w:rFonts w:hint="eastAsia"/>
          <w:u w:val="single"/>
        </w:rPr>
        <w:t>结构性</w:t>
      </w:r>
      <w:r>
        <w:rPr>
          <w:u w:val="single"/>
        </w:rPr>
        <w:t>公园绿地和广场用地</w:t>
      </w:r>
      <w:bookmarkEnd w:id="196"/>
      <w:r>
        <w:rPr>
          <w:rFonts w:hint="eastAsia"/>
          <w:u w:val="single"/>
        </w:rPr>
        <w:t>。</w:t>
      </w:r>
    </w:p>
    <w:p>
      <w:pPr>
        <w:spacing w:before="65"/>
        <w:ind w:firstLine="640"/>
      </w:pPr>
      <w:bookmarkStart w:id="197" w:name="_Hlk208409579"/>
      <w:r>
        <w:rPr>
          <w:rFonts w:hint="eastAsia"/>
          <w:u w:val="single"/>
        </w:rPr>
        <w:t>城市绿线内的用地，</w:t>
      </w:r>
      <w:bookmarkEnd w:id="197"/>
      <w:r>
        <w:rPr>
          <w:rFonts w:hint="eastAsia"/>
          <w:u w:val="single"/>
        </w:rPr>
        <w:t>不得改作他用，不得违反法律法规、强制性标准以及批准的规划进行开发建设。控制线内的用地，不得改作他用，不得违反法律法规、强制性标准以及批准的规划进行开发建设。有关部门不得违反规定，批准在城市绿线范围内进行建设。因建设或者其他特殊情况，需要临时占用城市绿线内用地的，必须依法办理相关审批手续。在城市绿线范围内，不符合规划要求的建筑物、构筑物及其他设施应当限期迁出。任何单位和个人不得在绿地控制线范围内进行拦河截溪、取土采石、设置垃圾堆场、排放污水以及其他对生态环境构成破坏的活动。近期不进行绿化建设的规划绿地范围内的建设活动，应当进行生态环境影响分析，并按照《中华人民共和国城乡规划法》的规定，予以严格控制</w:t>
      </w:r>
      <w:r>
        <w:rPr>
          <w:rFonts w:hint="eastAsia"/>
        </w:rPr>
        <w:t>。</w:t>
      </w:r>
    </w:p>
    <w:p>
      <w:pPr>
        <w:pStyle w:val="4"/>
      </w:pPr>
      <w:r>
        <w:rPr>
          <w:rFonts w:hint="eastAsia"/>
        </w:rPr>
        <w:t>城市蓝</w:t>
      </w:r>
      <w:r>
        <w:t>线</w:t>
      </w:r>
    </w:p>
    <w:p>
      <w:pPr>
        <w:spacing w:before="65"/>
        <w:ind w:firstLine="640"/>
        <w:rPr>
          <w:u w:val="single"/>
        </w:rPr>
      </w:pPr>
      <w:r>
        <w:rPr>
          <w:rFonts w:hint="eastAsia"/>
          <w:u w:val="single"/>
        </w:rPr>
        <w:t>主要为湍河两侧</w:t>
      </w:r>
      <w:r>
        <w:rPr>
          <w:u w:val="single"/>
        </w:rPr>
        <w:t>控制线</w:t>
      </w:r>
      <w:r>
        <w:rPr>
          <w:rFonts w:hint="eastAsia"/>
          <w:u w:val="single"/>
        </w:rPr>
        <w:t>。</w:t>
      </w:r>
    </w:p>
    <w:p>
      <w:pPr>
        <w:spacing w:before="65"/>
        <w:ind w:firstLine="640"/>
        <w:rPr>
          <w:u w:val="single"/>
        </w:rPr>
      </w:pPr>
      <w:bookmarkStart w:id="198" w:name="_Hlk208409668"/>
      <w:r>
        <w:rPr>
          <w:rFonts w:hint="eastAsia"/>
          <w:u w:val="single"/>
        </w:rPr>
        <w:t>在城市蓝线内</w:t>
      </w:r>
      <w:bookmarkEnd w:id="198"/>
      <w:r>
        <w:rPr>
          <w:rFonts w:hint="eastAsia"/>
          <w:u w:val="single"/>
        </w:rPr>
        <w:t>禁止擅自填埋、占用城市蓝线内水域；禁止影响水系安全的爆破、采石、取土；禁止擅自建设各类排污设施；禁止其它对城市水系保护构成破坏的活动。</w:t>
      </w:r>
    </w:p>
    <w:p>
      <w:pPr>
        <w:spacing w:before="65"/>
        <w:ind w:firstLine="640"/>
        <w:rPr>
          <w:u w:val="single"/>
        </w:rPr>
      </w:pPr>
      <w:r>
        <w:rPr>
          <w:rFonts w:hint="eastAsia"/>
          <w:u w:val="single"/>
        </w:rPr>
        <w:t>在城市蓝线内进行各项建设，必须符合经批准的国土空间规划。</w:t>
      </w:r>
    </w:p>
    <w:p>
      <w:pPr>
        <w:spacing w:before="65"/>
        <w:ind w:firstLine="640"/>
        <w:sectPr>
          <w:pgSz w:w="11907" w:h="16839"/>
          <w:pgMar w:top="1440" w:right="1800" w:bottom="1440" w:left="1800" w:header="851" w:footer="680" w:gutter="0"/>
          <w:cols w:space="1135" w:num="1"/>
          <w:docGrid w:type="lines" w:linePitch="326" w:charSpace="0"/>
        </w:sectPr>
      </w:pPr>
      <w:r>
        <w:rPr>
          <w:rFonts w:hint="eastAsia"/>
          <w:u w:val="single"/>
        </w:rPr>
        <w:t>在城市蓝线内新建、改建、扩建各类建筑物、构筑物、道路、管线和其他工程设施，应当依法向建设主管部门（城乡规划主管部门）申请办理城市规划许可，并依照有关法律、法规办理相关手续</w:t>
      </w:r>
      <w:r>
        <w:rPr>
          <w:rFonts w:hint="eastAsia"/>
        </w:rPr>
        <w:t>。</w:t>
      </w:r>
    </w:p>
    <w:bookmarkEnd w:id="195"/>
    <w:p>
      <w:pPr>
        <w:spacing w:before="65"/>
        <w:ind w:firstLine="640"/>
      </w:pPr>
    </w:p>
    <w:p>
      <w:pPr>
        <w:pStyle w:val="2"/>
      </w:pPr>
      <w:bookmarkStart w:id="199" w:name="_Toc185606075"/>
      <w:bookmarkStart w:id="200" w:name="_Toc209773051"/>
      <w:bookmarkStart w:id="201" w:name="_Toc185606089"/>
      <w:r>
        <w:rPr>
          <w:rFonts w:hint="eastAsia"/>
        </w:rPr>
        <w:t>土地综合整治与生态修复</w:t>
      </w:r>
      <w:bookmarkEnd w:id="199"/>
      <w:bookmarkEnd w:id="200"/>
    </w:p>
    <w:p>
      <w:pPr>
        <w:pStyle w:val="3"/>
        <w:spacing w:before="326" w:beforeLines="100" w:after="326" w:afterLines="100"/>
      </w:pPr>
      <w:bookmarkStart w:id="202" w:name="_Toc11093"/>
      <w:bookmarkStart w:id="203" w:name="_Hlk142899891"/>
      <w:bookmarkStart w:id="204" w:name="_Toc185606076"/>
      <w:bookmarkStart w:id="205" w:name="_Toc27152"/>
      <w:r>
        <w:rPr>
          <w:rFonts w:hint="eastAsia"/>
        </w:rPr>
        <w:t>土地综合整治</w:t>
      </w:r>
      <w:bookmarkEnd w:id="202"/>
      <w:bookmarkEnd w:id="203"/>
      <w:bookmarkEnd w:id="204"/>
    </w:p>
    <w:p>
      <w:pPr>
        <w:pStyle w:val="4"/>
      </w:pPr>
      <w:r>
        <w:rPr>
          <w:rFonts w:hint="eastAsia"/>
        </w:rPr>
        <w:t>落实</w:t>
      </w:r>
      <w:r>
        <w:t>整治</w:t>
      </w:r>
      <w:r>
        <w:rPr>
          <w:rFonts w:hint="eastAsia"/>
        </w:rPr>
        <w:t>任务</w:t>
      </w:r>
    </w:p>
    <w:p>
      <w:pPr>
        <w:spacing w:before="65"/>
        <w:ind w:firstLine="640"/>
        <w:rPr>
          <w:rFonts w:ascii="Times New Roman" w:hAnsi="Times New Roman"/>
          <w:lang w:bidi="ar"/>
        </w:rPr>
      </w:pPr>
      <w:r>
        <w:rPr>
          <w:rFonts w:hint="eastAsia"/>
        </w:rPr>
        <w:t>规划期</w:t>
      </w:r>
      <w:r>
        <w:t>内，落实</w:t>
      </w:r>
      <w:r>
        <w:rPr>
          <w:rFonts w:ascii="Times New Roman" w:hAnsi="Times New Roman"/>
          <w:lang w:bidi="ar"/>
        </w:rPr>
        <w:t>土地整治补充耕地</w:t>
      </w:r>
      <w:r>
        <w:rPr>
          <w:rFonts w:hint="eastAsia" w:ascii="Times New Roman" w:hAnsi="Times New Roman"/>
          <w:lang w:bidi="ar"/>
        </w:rPr>
        <w:t>任务</w:t>
      </w:r>
      <w:r>
        <w:rPr>
          <w:rFonts w:ascii="Times New Roman" w:hAnsi="Times New Roman"/>
          <w:lang w:bidi="ar"/>
        </w:rPr>
        <w:t>不低于</w:t>
      </w:r>
      <w:r>
        <w:rPr>
          <w:rFonts w:hint="eastAsia" w:ascii="Times New Roman" w:hAnsi="Times New Roman"/>
          <w:lang w:bidi="ar"/>
        </w:rPr>
        <w:t>153.68</w:t>
      </w:r>
      <w:r>
        <w:rPr>
          <w:rFonts w:ascii="Times New Roman" w:hAnsi="Times New Roman"/>
          <w:lang w:bidi="ar"/>
        </w:rPr>
        <w:t>公顷，</w:t>
      </w:r>
      <w:r>
        <w:rPr>
          <w:rFonts w:hint="eastAsia" w:ascii="Times New Roman" w:hAnsi="Times New Roman" w:cs="宋体"/>
          <w:lang w:bidi="ar"/>
        </w:rPr>
        <w:t>其中农用地整理补充耕地</w:t>
      </w:r>
      <w:r>
        <w:rPr>
          <w:rFonts w:ascii="Times New Roman" w:hAnsi="Times New Roman" w:cs="宋体"/>
          <w:lang w:bidi="ar"/>
        </w:rPr>
        <w:t>规模</w:t>
      </w:r>
      <w:bookmarkStart w:id="206" w:name="_Hlk208409898"/>
      <w:r>
        <w:rPr>
          <w:rFonts w:hint="eastAsia" w:ascii="Times New Roman" w:hAnsi="Times New Roman"/>
          <w:lang w:bidi="ar"/>
        </w:rPr>
        <w:t>79.64</w:t>
      </w:r>
      <w:bookmarkEnd w:id="206"/>
      <w:r>
        <w:rPr>
          <w:rFonts w:hint="eastAsia" w:ascii="Times New Roman" w:hAnsi="Times New Roman" w:cs="宋体"/>
          <w:lang w:bidi="ar"/>
        </w:rPr>
        <w:t>公顷，农村建设用地整理补充耕地规模</w:t>
      </w:r>
      <w:bookmarkStart w:id="207" w:name="_Hlk208409883"/>
      <w:r>
        <w:rPr>
          <w:rFonts w:hint="eastAsia" w:ascii="Times New Roman" w:hAnsi="Times New Roman"/>
          <w:lang w:bidi="ar"/>
        </w:rPr>
        <w:t>62.25</w:t>
      </w:r>
      <w:bookmarkEnd w:id="207"/>
      <w:r>
        <w:rPr>
          <w:rFonts w:hint="eastAsia" w:ascii="Times New Roman" w:hAnsi="Times New Roman" w:cs="宋体"/>
          <w:lang w:bidi="ar"/>
        </w:rPr>
        <w:t>公顷，耕地后备</w:t>
      </w:r>
      <w:r>
        <w:rPr>
          <w:rFonts w:ascii="Times New Roman" w:hAnsi="Times New Roman" w:cs="宋体"/>
          <w:lang w:bidi="ar"/>
        </w:rPr>
        <w:t>资源</w:t>
      </w:r>
      <w:r>
        <w:rPr>
          <w:rFonts w:hint="eastAsia" w:ascii="Times New Roman" w:hAnsi="Times New Roman" w:cs="宋体"/>
          <w:lang w:bidi="ar"/>
        </w:rPr>
        <w:t>开发补充耕地规模</w:t>
      </w:r>
      <w:r>
        <w:rPr>
          <w:rFonts w:hint="eastAsia" w:ascii="Times New Roman" w:hAnsi="Times New Roman"/>
          <w:lang w:bidi="ar"/>
        </w:rPr>
        <w:t>11.79</w:t>
      </w:r>
      <w:r>
        <w:rPr>
          <w:rFonts w:hint="eastAsia" w:ascii="Times New Roman" w:hAnsi="Times New Roman" w:cs="宋体"/>
          <w:lang w:bidi="ar"/>
        </w:rPr>
        <w:t>公顷。</w:t>
      </w:r>
      <w:r>
        <w:rPr>
          <w:rFonts w:ascii="Times New Roman" w:hAnsi="Times New Roman"/>
          <w:lang w:bidi="ar"/>
        </w:rPr>
        <w:t>区域内</w:t>
      </w:r>
      <w:r>
        <w:rPr>
          <w:rFonts w:hint="eastAsia" w:ascii="Times New Roman" w:hAnsi="Times New Roman"/>
          <w:lang w:bidi="ar"/>
        </w:rPr>
        <w:t>有条件的</w:t>
      </w:r>
      <w:r>
        <w:rPr>
          <w:rFonts w:ascii="Times New Roman" w:hAnsi="Times New Roman"/>
          <w:lang w:bidi="ar"/>
        </w:rPr>
        <w:t>永久基本农田全部建成为高标准农田。</w:t>
      </w:r>
    </w:p>
    <w:p>
      <w:pPr>
        <w:pStyle w:val="4"/>
      </w:pPr>
      <w:r>
        <w:rPr>
          <w:rFonts w:hint="eastAsia"/>
        </w:rPr>
        <w:t>整治</w:t>
      </w:r>
      <w:r>
        <w:t>重点区域</w:t>
      </w:r>
    </w:p>
    <w:p>
      <w:pPr>
        <w:ind w:firstLine="640"/>
      </w:pPr>
      <w:r>
        <w:rPr>
          <w:rFonts w:hint="eastAsia"/>
        </w:rPr>
        <w:t>1</w:t>
      </w:r>
      <w:r>
        <w:t>.</w:t>
      </w:r>
      <w:r>
        <w:rPr>
          <w:rFonts w:hint="eastAsia"/>
        </w:rPr>
        <w:t>土地</w:t>
      </w:r>
      <w:r>
        <w:t>综合整治重点区域</w:t>
      </w:r>
    </w:p>
    <w:p>
      <w:pPr>
        <w:ind w:firstLine="640"/>
      </w:pPr>
      <w:r>
        <w:rPr>
          <w:rFonts w:hint="eastAsia" w:ascii="Times New Roman" w:hAnsi="Times New Roman"/>
          <w:lang w:bidi="ar"/>
        </w:rPr>
        <w:t>包括三道河村、高庄村、黄沙河村、野獐坪村、花园村、靳河村等6</w:t>
      </w:r>
      <w:r>
        <w:rPr>
          <w:rFonts w:ascii="Times New Roman" w:hAnsi="Times New Roman"/>
          <w:lang w:bidi="ar"/>
        </w:rPr>
        <w:t>个村庄。</w:t>
      </w:r>
      <w:r>
        <w:rPr>
          <w:rFonts w:hint="eastAsia" w:ascii="Times New Roman" w:hAnsi="Times New Roman"/>
          <w:lang w:bidi="ar"/>
        </w:rPr>
        <w:t>此区域</w:t>
      </w:r>
      <w:r>
        <w:rPr>
          <w:rFonts w:ascii="Times New Roman" w:hAnsi="Times New Roman"/>
          <w:lang w:bidi="ar"/>
        </w:rPr>
        <w:t>宜</w:t>
      </w:r>
      <w:r>
        <w:rPr>
          <w:rFonts w:hint="eastAsia" w:ascii="Times New Roman" w:hAnsi="Times New Roman"/>
          <w:lang w:bidi="ar"/>
        </w:rPr>
        <w:t>整体推进农用地整理、建设用地整理和生态保护修复，优化生产、生活、生态空间，促进土地节约集约利用，改善农村人居环境，加快推进农业农村现代化。</w:t>
      </w:r>
    </w:p>
    <w:p>
      <w:pPr>
        <w:ind w:firstLine="640"/>
      </w:pPr>
      <w:r>
        <w:rPr>
          <w:rFonts w:hint="eastAsia"/>
        </w:rPr>
        <w:t>2</w:t>
      </w:r>
      <w:r>
        <w:t>.</w:t>
      </w:r>
      <w:r>
        <w:rPr>
          <w:rFonts w:hint="eastAsia"/>
        </w:rPr>
        <w:t>农用地</w:t>
      </w:r>
      <w:r>
        <w:t>整理重点区域</w:t>
      </w:r>
    </w:p>
    <w:p>
      <w:pPr>
        <w:ind w:firstLine="640"/>
      </w:pPr>
      <w:r>
        <w:rPr>
          <w:rFonts w:hint="eastAsia" w:ascii="Times New Roman" w:hAnsi="Times New Roman"/>
          <w:lang w:bidi="ar"/>
        </w:rPr>
        <w:t>包括三道河村、高庄村、黄沙河村、野獐坪村、花园村、靳河村等6</w:t>
      </w:r>
      <w:r>
        <w:rPr>
          <w:rFonts w:ascii="Times New Roman" w:hAnsi="Times New Roman"/>
          <w:lang w:bidi="ar"/>
        </w:rPr>
        <w:t>个村庄。</w:t>
      </w:r>
      <w:r>
        <w:rPr>
          <w:rFonts w:hint="eastAsia" w:ascii="Times New Roman" w:hAnsi="Times New Roman"/>
          <w:lang w:bidi="ar"/>
        </w:rPr>
        <w:t>此区域</w:t>
      </w:r>
      <w:r>
        <w:rPr>
          <w:rFonts w:ascii="Times New Roman" w:hAnsi="Times New Roman"/>
          <w:lang w:bidi="ar"/>
        </w:rPr>
        <w:t>宜</w:t>
      </w:r>
      <w:r>
        <w:rPr>
          <w:rFonts w:hint="eastAsia"/>
          <w:lang w:bidi="ar"/>
        </w:rPr>
        <w:t>统筹推进低效林草地和园林地整理、农田基础设施建设和现状耕地提质改造等，加快推进高标准农田建设，夯实农业现代化基础。</w:t>
      </w:r>
    </w:p>
    <w:p>
      <w:pPr>
        <w:ind w:firstLine="640"/>
      </w:pPr>
      <w:r>
        <w:rPr>
          <w:rFonts w:hint="eastAsia"/>
        </w:rPr>
        <w:t>3</w:t>
      </w:r>
      <w:r>
        <w:t>.</w:t>
      </w:r>
      <w:r>
        <w:rPr>
          <w:rFonts w:hint="eastAsia"/>
        </w:rPr>
        <w:t>农村</w:t>
      </w:r>
      <w:r>
        <w:t>建设用地整理重点区域</w:t>
      </w:r>
    </w:p>
    <w:p>
      <w:pPr>
        <w:ind w:firstLine="640"/>
      </w:pPr>
      <w:r>
        <w:rPr>
          <w:rFonts w:hint="eastAsia" w:ascii="Times New Roman" w:hAnsi="Times New Roman"/>
          <w:lang w:bidi="ar"/>
        </w:rPr>
        <w:t>包括野獐坪村、靳河村等2个</w:t>
      </w:r>
      <w:r>
        <w:rPr>
          <w:rFonts w:ascii="Times New Roman" w:hAnsi="Times New Roman"/>
          <w:lang w:bidi="ar"/>
        </w:rPr>
        <w:t>村庄。</w:t>
      </w:r>
      <w:r>
        <w:rPr>
          <w:rFonts w:hint="eastAsia" w:ascii="Times New Roman" w:hAnsi="Times New Roman"/>
          <w:lang w:bidi="ar"/>
        </w:rPr>
        <w:t>此区域</w:t>
      </w:r>
      <w:r>
        <w:rPr>
          <w:rFonts w:ascii="Times New Roman" w:hAnsi="Times New Roman"/>
          <w:lang w:bidi="ar"/>
        </w:rPr>
        <w:t>宜</w:t>
      </w:r>
      <w:r>
        <w:rPr>
          <w:rFonts w:hint="eastAsia" w:ascii="Times New Roman" w:hAnsi="Times New Roman"/>
          <w:lang w:bidi="ar"/>
        </w:rPr>
        <w:t>统筹农村住宅建设、产业发展、公共服务、基础设施等各类建设用地，有序开展农村宅基地、工矿废弃地以及其他低效闲置建设用地整理，优化农村建设用地布局。</w:t>
      </w:r>
    </w:p>
    <w:p>
      <w:pPr>
        <w:ind w:firstLine="640"/>
      </w:pPr>
      <w:r>
        <w:rPr>
          <w:rFonts w:hint="eastAsia"/>
        </w:rPr>
        <w:t>4</w:t>
      </w:r>
      <w:r>
        <w:t>.</w:t>
      </w:r>
      <w:r>
        <w:rPr>
          <w:rFonts w:hint="eastAsia"/>
        </w:rPr>
        <w:t>耕地</w:t>
      </w:r>
      <w:r>
        <w:t>后备资源开发重点区域</w:t>
      </w:r>
    </w:p>
    <w:p>
      <w:pPr>
        <w:ind w:firstLine="640"/>
      </w:pPr>
      <w:r>
        <w:rPr>
          <w:rFonts w:hint="eastAsia" w:ascii="Times New Roman" w:hAnsi="Times New Roman"/>
          <w:lang w:bidi="ar"/>
        </w:rPr>
        <w:t>包括大龙村、后坪村等</w:t>
      </w:r>
      <w:r>
        <w:rPr>
          <w:rFonts w:ascii="Times New Roman" w:hAnsi="Times New Roman"/>
          <w:lang w:bidi="ar"/>
        </w:rPr>
        <w:t>2个村庄</w:t>
      </w:r>
      <w:r>
        <w:rPr>
          <w:rFonts w:hint="eastAsia" w:ascii="Times New Roman" w:hAnsi="Times New Roman"/>
          <w:lang w:bidi="ar"/>
        </w:rPr>
        <w:t>范围内</w:t>
      </w:r>
      <w:r>
        <w:rPr>
          <w:rFonts w:ascii="Times New Roman" w:hAnsi="Times New Roman"/>
          <w:lang w:bidi="ar"/>
        </w:rPr>
        <w:t>适宜</w:t>
      </w:r>
      <w:r>
        <w:rPr>
          <w:rFonts w:hint="eastAsia" w:ascii="Times New Roman" w:hAnsi="Times New Roman"/>
          <w:lang w:bidi="ar"/>
        </w:rPr>
        <w:t>开发</w:t>
      </w:r>
      <w:r>
        <w:rPr>
          <w:rFonts w:ascii="Times New Roman" w:hAnsi="Times New Roman"/>
          <w:lang w:bidi="ar"/>
        </w:rPr>
        <w:t>区域。</w:t>
      </w:r>
      <w:r>
        <w:rPr>
          <w:rFonts w:hint="eastAsia" w:ascii="Times New Roman" w:hAnsi="Times New Roman"/>
          <w:lang w:bidi="ar"/>
        </w:rPr>
        <w:t>此区域</w:t>
      </w:r>
      <w:r>
        <w:rPr>
          <w:rFonts w:ascii="Times New Roman" w:hAnsi="Times New Roman"/>
          <w:lang w:bidi="ar"/>
        </w:rPr>
        <w:t>应</w:t>
      </w:r>
      <w:r>
        <w:rPr>
          <w:rFonts w:hint="eastAsia" w:ascii="Times New Roman" w:hAnsi="Times New Roman"/>
          <w:lang w:bidi="ar"/>
        </w:rPr>
        <w:t>在保护和改善生态环境的前提下，因地制宜适度开发耕地后备资源。</w:t>
      </w:r>
    </w:p>
    <w:p>
      <w:pPr>
        <w:pStyle w:val="4"/>
      </w:pPr>
      <w:r>
        <w:rPr>
          <w:rFonts w:hint="eastAsia"/>
        </w:rPr>
        <w:t>整治</w:t>
      </w:r>
      <w:r>
        <w:t>重点工程</w:t>
      </w:r>
    </w:p>
    <w:p>
      <w:pPr>
        <w:ind w:firstLine="640"/>
        <w:rPr>
          <w:bCs/>
        </w:rPr>
      </w:pPr>
      <w:r>
        <w:rPr>
          <w:rFonts w:hint="eastAsia"/>
          <w:bCs/>
        </w:rPr>
        <w:t>全域</w:t>
      </w:r>
      <w:r>
        <w:rPr>
          <w:bCs/>
        </w:rPr>
        <w:t>土地综合整治项目。</w:t>
      </w:r>
      <w:r>
        <w:rPr>
          <w:rFonts w:hint="eastAsia"/>
          <w:bCs/>
        </w:rPr>
        <w:t>七里坪乡和七里坪乡综合安排国土综合整治重点项目——马山口镇、七里坪乡蚌峪村等11个村全域土地综合整治项目</w:t>
      </w:r>
      <w:r>
        <w:rPr>
          <w:bCs/>
        </w:rPr>
        <w:t>，</w:t>
      </w:r>
      <w:r>
        <w:rPr>
          <w:rFonts w:hint="eastAsia"/>
          <w:bCs/>
        </w:rPr>
        <w:t>开展</w:t>
      </w:r>
      <w:r>
        <w:rPr>
          <w:bCs/>
        </w:rPr>
        <w:t>全域土地综合整治项目，</w:t>
      </w:r>
      <w:r>
        <w:rPr>
          <w:rFonts w:hint="eastAsia"/>
          <w:bCs/>
        </w:rPr>
        <w:t>包含农用地整治、建设用地整治、乡村生态保护修复、乡村振兴及人居环境提升等。综合</w:t>
      </w:r>
      <w:r>
        <w:rPr>
          <w:bCs/>
        </w:rPr>
        <w:t>整治过程中，</w:t>
      </w:r>
      <w:r>
        <w:rPr>
          <w:rFonts w:hint="eastAsia"/>
          <w:bCs/>
        </w:rPr>
        <w:t>以</w:t>
      </w:r>
      <w:r>
        <w:rPr>
          <w:bCs/>
        </w:rPr>
        <w:t>整治重点区域为引，分别侧重</w:t>
      </w:r>
      <w:r>
        <w:rPr>
          <w:rFonts w:hint="eastAsia"/>
          <w:bCs/>
        </w:rPr>
        <w:t>综合</w:t>
      </w:r>
      <w:r>
        <w:rPr>
          <w:bCs/>
        </w:rPr>
        <w:t>整治</w:t>
      </w:r>
      <w:r>
        <w:rPr>
          <w:rFonts w:hint="eastAsia"/>
          <w:bCs/>
        </w:rPr>
        <w:t>、</w:t>
      </w:r>
      <w:r>
        <w:rPr>
          <w:bCs/>
        </w:rPr>
        <w:t>农用地整理、农村建设用地整理、耕地后备资源开发等</w:t>
      </w:r>
      <w:r>
        <w:rPr>
          <w:rFonts w:hint="eastAsia"/>
          <w:bCs/>
        </w:rPr>
        <w:t>，分解</w:t>
      </w:r>
      <w:r>
        <w:rPr>
          <w:bCs/>
        </w:rPr>
        <w:t>补充耕地任务，完成耕地保护目标。</w:t>
      </w:r>
    </w:p>
    <w:p>
      <w:pPr>
        <w:pStyle w:val="3"/>
        <w:spacing w:before="326" w:beforeLines="100" w:after="326" w:afterLines="100"/>
      </w:pPr>
      <w:bookmarkStart w:id="208" w:name="_Toc185606077"/>
      <w:r>
        <w:rPr>
          <w:rFonts w:hint="eastAsia"/>
        </w:rPr>
        <w:t>国土空间生态修复</w:t>
      </w:r>
      <w:bookmarkEnd w:id="205"/>
      <w:bookmarkEnd w:id="208"/>
    </w:p>
    <w:p>
      <w:pPr>
        <w:pStyle w:val="4"/>
      </w:pPr>
      <w:bookmarkStart w:id="209" w:name="_Hlk150184672"/>
      <w:r>
        <w:t>落实生态修复目标</w:t>
      </w:r>
    </w:p>
    <w:p>
      <w:pPr>
        <w:ind w:firstLine="640"/>
      </w:pPr>
      <w:r>
        <w:rPr>
          <w:rFonts w:hint="eastAsia"/>
        </w:rPr>
        <w:t>七里坪乡在内乡县生态修复分区中属于北部伏牛山地生物多样性与水源涵养生态功能区。生态修复主要目标是恢复与提升山区和河流生态系统健康、稳定性和服务功能，构建“山青、水秀、林茂、景美、灾少”的生态安全格局，丘陵平原地区以“控污染、提地力、强设施、建韧性”为核心，实现农业生产与生态保护的协同发展，支撑农业生产和环境保护高质量发展，打造宜居宜业的美丽小城镇。</w:t>
      </w:r>
    </w:p>
    <w:p>
      <w:pPr>
        <w:pStyle w:val="4"/>
      </w:pPr>
      <w:r>
        <w:rPr>
          <w:rFonts w:hint="eastAsia"/>
        </w:rPr>
        <w:t>生态修复重点区域</w:t>
      </w:r>
    </w:p>
    <w:p>
      <w:pPr>
        <w:pStyle w:val="5"/>
        <w:ind w:firstLine="640"/>
      </w:pPr>
      <w:bookmarkStart w:id="210" w:name="_Hlk208410290"/>
      <w:r>
        <w:rPr>
          <w:rFonts w:hint="eastAsia"/>
        </w:rPr>
        <w:t>自然保护地生态修复重点区域</w:t>
      </w:r>
    </w:p>
    <w:p>
      <w:pPr>
        <w:ind w:firstLine="640"/>
      </w:pPr>
      <w:r>
        <w:rPr>
          <w:rFonts w:hint="eastAsia"/>
        </w:rPr>
        <w:t>健全保护管理体制，推进自然保护区整合优化，妥善解决历史遗留问题和矛盾冲突，提升自然保护区保护水平，加强自然公园监督管理，保护代表性升天系统和期间物种。加强国家级、省级自然保护区基础设施建设，强化恐龙蛋自然保护区保护。</w:t>
      </w:r>
    </w:p>
    <w:p>
      <w:pPr>
        <w:ind w:firstLine="640"/>
      </w:pPr>
      <w:r>
        <w:rPr>
          <w:rFonts w:hint="eastAsia"/>
        </w:rPr>
        <w:t>重点区域修复主要集中在县域北部伏牛山生态屏障区生态保护红线内，包括河南伏牛山国家级自然保护区、河南宝天曼国家级自然保护区、河南内乡宝天曼国家地质公园、河南内乡湍河湿地省级自然保护区。以保育保护为主，有序退出各类人为活动，不依靠人工干预或者采取最小化的人工干预措施，最大限度保留和维持原有生态系统自我调节、修复、平衡功能，以达到生态恢复的目标。严格限制人类活动，禁止开发性、生产性建设活动。原则上采取自然恢复、封山育林、人工造林的方式，促进森林、草原、湿地等生态系统自我调节。</w:t>
      </w:r>
    </w:p>
    <w:p>
      <w:pPr>
        <w:pStyle w:val="5"/>
        <w:ind w:firstLine="640"/>
      </w:pPr>
      <w:r>
        <w:rPr>
          <w:rFonts w:hint="eastAsia"/>
        </w:rPr>
        <w:t>生态水系修复重点区域</w:t>
      </w:r>
    </w:p>
    <w:p>
      <w:pPr>
        <w:ind w:firstLine="640"/>
      </w:pPr>
      <w:r>
        <w:rPr>
          <w:rFonts w:hint="eastAsia"/>
        </w:rPr>
        <w:t>系统推进水体生态修复和污染防治，实现水环境质量全面改善。到2025年，重要江河湖泊水功能区水质达标率达到100%，七里坪乡地表水体政府责任目标断面水质达到或优于Ⅳ类水质；到2035年，重要江河湖泊水功能区水质达标率达到100%，七里坪乡地表水体政府责任目标断面水质达到或优于Ⅲ类水质。</w:t>
      </w:r>
    </w:p>
    <w:p>
      <w:pPr>
        <w:ind w:firstLine="640"/>
      </w:pPr>
      <w:r>
        <w:rPr>
          <w:rFonts w:hint="eastAsia"/>
        </w:rPr>
        <w:t>水系生态修复重点区域主要为乡域内湍河及连通水库等区域。深入推进流域“清四乱”行动、入河排污口排查工作，全面遏制侵占河道、改造岸线、破坏湿地等行为，提高河道行洪能力和水体生态功能。全面推荐河长制，加强涉水空间生态管控，强化流域水生态环境保护和修复，因地制宜恢复河岸线的自然驳岸。</w:t>
      </w:r>
    </w:p>
    <w:p>
      <w:pPr>
        <w:pStyle w:val="5"/>
        <w:ind w:firstLine="640"/>
      </w:pPr>
      <w:r>
        <w:rPr>
          <w:rFonts w:hint="eastAsia"/>
        </w:rPr>
        <w:t>矿山生态修复</w:t>
      </w:r>
      <w:bookmarkStart w:id="211" w:name="OLE_LINK4"/>
      <w:r>
        <w:rPr>
          <w:rFonts w:hint="eastAsia"/>
        </w:rPr>
        <w:t>重点区域</w:t>
      </w:r>
      <w:bookmarkEnd w:id="211"/>
    </w:p>
    <w:p>
      <w:pPr>
        <w:ind w:firstLine="640"/>
      </w:pPr>
      <w:r>
        <w:rPr>
          <w:rFonts w:hint="eastAsia"/>
        </w:rPr>
        <w:t>系统推进矿山地质环境恢复和综合治理，全面提升矿山生态环境质量。到2025年，历史遗留矿山治理率不低于95%，生产矿山实行边开采边治理，矿山地质环境治理率达到95%；到2035年，全面完成历史遗留矿山生态修复，历史遗留矿山治理率达到100%。全面推进绿色矿山发展示范区建设，绿色矿山建成率达到100%。</w:t>
      </w:r>
    </w:p>
    <w:p>
      <w:pPr>
        <w:ind w:firstLine="640"/>
      </w:pPr>
      <w:r>
        <w:rPr>
          <w:rFonts w:hint="eastAsia"/>
        </w:rPr>
        <w:t>全县矿产资源丰富，开采区域分布较为广泛，矿山生态修复区域主要分布于七里坪乡靳河-杏树坪一带；按照自然恢复、转型利用、工程治理等方式，因地制宜逐点位制定生态修复治理方案，推进实现人与自然和谐共生。按照“谁破坏、谁治理，边开采、边治理”的原则，“一矿一策”的要求，逐矿山制定修复治理方案、明确修复责任主体、修复时间表，确保按期完成修复工作，加快恢复绿水青山。加强矿山地质环境保护，按照“源头预防，过程控制，闭坑达标”要求，加强矿产资源开发全过程地质环境保护与监督。按照“绿色矿山”的建设标准，实现开采方式科学化、采矿作业清洁化和矿区环境优良化。多策并举，修复后的土地宜耕则耕、宜建则建、宜景则景、宜林则林、宜渔则渔。</w:t>
      </w:r>
    </w:p>
    <w:p>
      <w:pPr>
        <w:pStyle w:val="5"/>
        <w:ind w:firstLine="640"/>
      </w:pPr>
      <w:r>
        <w:rPr>
          <w:rFonts w:hint="eastAsia"/>
        </w:rPr>
        <w:t>地质灾害治理</w:t>
      </w:r>
    </w:p>
    <w:p>
      <w:pPr>
        <w:ind w:firstLine="640"/>
      </w:pPr>
      <w:r>
        <w:rPr>
          <w:rFonts w:hint="eastAsia"/>
        </w:rPr>
        <w:t>明确地质灾害治理目标。地质灾害治理工程与生态措施结合，恢复地质灾害隐患点地质环境。规划目标年，全面建成七里坪乡地质灾害排查评价体系、监测预警体系、防治体系和应急体系。严格执行、落实地质灾害年度巡查、排查、核查制度，全面掌握地质灾害隐患的基本信息及变动情况，实施内乡县地质灾害防治规划，落实重要地质灾害隐患点专群结合监测预警措施，完成主要地质灾害隐患点的治理工作，使地质灾害得到及时监控和有效处置，最大程度地减少因地质灾害造成的人员伤亡和财产损失。</w:t>
      </w:r>
    </w:p>
    <w:p>
      <w:pPr>
        <w:ind w:firstLine="640"/>
      </w:pPr>
      <w:r>
        <w:rPr>
          <w:rFonts w:hint="eastAsia"/>
        </w:rPr>
        <w:t>重点对地质灾害高风险区进行治理</w:t>
      </w:r>
      <w:bookmarkEnd w:id="210"/>
      <w:r>
        <w:rPr>
          <w:rFonts w:hint="eastAsia"/>
        </w:rPr>
        <w:t>。</w:t>
      </w:r>
    </w:p>
    <w:p>
      <w:pPr>
        <w:pStyle w:val="4"/>
      </w:pPr>
      <w:r>
        <w:rPr>
          <w:rFonts w:hint="eastAsia"/>
        </w:rPr>
        <w:t>生态修复重点工程</w:t>
      </w:r>
    </w:p>
    <w:p>
      <w:pPr>
        <w:pStyle w:val="5"/>
        <w:numPr>
          <w:ilvl w:val="3"/>
          <w:numId w:val="4"/>
        </w:numPr>
        <w:ind w:left="0" w:firstLine="640"/>
      </w:pPr>
      <w:bookmarkStart w:id="212" w:name="_Hlk208410336"/>
      <w:r>
        <w:rPr>
          <w:rFonts w:hint="eastAsia"/>
        </w:rPr>
        <w:t>自然保护地生态修复项目</w:t>
      </w:r>
    </w:p>
    <w:p>
      <w:pPr>
        <w:ind w:firstLine="640"/>
      </w:pPr>
      <w:r>
        <w:rPr>
          <w:rFonts w:hint="eastAsia"/>
        </w:rPr>
        <w:t>重点建设伏牛山、恐龙蛋国家级自然保护区，开展恐龙蛋化石群蛋种调查和保护，在内乡县宝天曼国家级自然保护区实施重点物种抢救性保护，重点野生动植物种数保护率达到100%。加强全县湿地生态效益补偿、湿地保护管理，加强湿地公园管护和基础设施建设等工作，在内乡湍河省级湿地自然保护区开展湿地补水、水生植被恢复、水位调控、富营养化治理、外来入侵物种防控等生态修复和保护。</w:t>
      </w:r>
    </w:p>
    <w:p>
      <w:pPr>
        <w:pStyle w:val="5"/>
        <w:ind w:firstLine="640"/>
      </w:pPr>
      <w:r>
        <w:rPr>
          <w:rFonts w:hint="eastAsia"/>
        </w:rPr>
        <w:t>生态水系修复项目</w:t>
      </w:r>
    </w:p>
    <w:p>
      <w:pPr>
        <w:spacing w:before="65"/>
        <w:ind w:firstLine="640"/>
      </w:pPr>
      <w:r>
        <w:rPr>
          <w:rFonts w:hint="eastAsia"/>
        </w:rPr>
        <w:t>针对内乡县域内湍河等开展综合整治及生态建设项目，包括清淤疏浚、构建河道防洪体系、生态湿地建设、坑塘整治、水利基础设施建设等。项目总规模679.87公顷，主要集中寺坪村、流峪村、后会村、青山村、后坪村、张洼村、三道河村、大龙村等村庄。</w:t>
      </w:r>
    </w:p>
    <w:p>
      <w:pPr>
        <w:pStyle w:val="5"/>
        <w:ind w:firstLine="640"/>
      </w:pPr>
      <w:r>
        <w:rPr>
          <w:rFonts w:hint="eastAsia"/>
        </w:rPr>
        <w:t>矿山生态修复项目</w:t>
      </w:r>
    </w:p>
    <w:p>
      <w:pPr>
        <w:ind w:firstLine="640"/>
      </w:pPr>
      <w:r>
        <w:rPr>
          <w:rFonts w:hint="eastAsia"/>
        </w:rPr>
        <w:t>重点推进南水北调中线工程水源地（南阳片区）历史遗留废弃矿山生态修复示范工程项目（内乡县）；以矿产资源集中开采区为重点，通过地形重塑、废弃土地复垦、植被恢复、矿石渣清理、边坡治理、矿山土壤及水资源治理等措施，恢复矿山生态环境。项目总规模10.52公顷，主要集中于蚌峪村、后会村、青山村、张洼村。至2025年，历史遗留矿山完成上级下发任务，至2035年，历史遗留矿山实现应治尽治。</w:t>
      </w:r>
    </w:p>
    <w:p>
      <w:pPr>
        <w:pStyle w:val="5"/>
        <w:ind w:firstLine="640"/>
      </w:pPr>
      <w:r>
        <w:t>地质灾害治理项目</w:t>
      </w:r>
    </w:p>
    <w:p>
      <w:pPr>
        <w:ind w:firstLine="640"/>
      </w:pPr>
      <w:r>
        <w:rPr>
          <w:rFonts w:hint="eastAsia"/>
        </w:rPr>
        <w:t>实施重点工程建设。重点推进三道河村、靳河村、青山村的滑坡隐患点进行治理项目。</w:t>
      </w:r>
    </w:p>
    <w:p>
      <w:pPr>
        <w:pStyle w:val="5"/>
        <w:ind w:firstLine="640"/>
      </w:pPr>
      <w:r>
        <w:t>石漠化治理项目</w:t>
      </w:r>
    </w:p>
    <w:bookmarkEnd w:id="212"/>
    <w:p>
      <w:pPr>
        <w:ind w:firstLine="640"/>
        <w:sectPr>
          <w:pgSz w:w="11907" w:h="16839"/>
          <w:pgMar w:top="1440" w:right="1800" w:bottom="1440" w:left="1800" w:header="851" w:footer="680" w:gutter="0"/>
          <w:cols w:space="1135" w:num="1"/>
          <w:docGrid w:type="lines" w:linePitch="326" w:charSpace="0"/>
        </w:sectPr>
      </w:pPr>
      <w:r>
        <w:rPr>
          <w:rFonts w:hint="eastAsia"/>
        </w:rPr>
        <w:t>以石漠化区域为重点开展石漠化治理，在保护现有植被的基础上，以营造水源涵养林与水土保持林为重点，坚持人工造林、封山育林并举，宜造则造、宜封则封、宜林则林、宜灌则灌、宜草则草，遏制石漠化进一步发展。</w:t>
      </w:r>
    </w:p>
    <w:bookmarkEnd w:id="209"/>
    <w:p>
      <w:pPr>
        <w:ind w:firstLine="640"/>
      </w:pPr>
    </w:p>
    <w:p>
      <w:pPr>
        <w:pStyle w:val="2"/>
      </w:pPr>
      <w:bookmarkStart w:id="213" w:name="_Toc209773052"/>
      <w:r>
        <w:rPr>
          <w:rFonts w:hint="eastAsia"/>
        </w:rPr>
        <w:t>规划传导</w:t>
      </w:r>
      <w:bookmarkEnd w:id="201"/>
      <w:bookmarkEnd w:id="213"/>
    </w:p>
    <w:p>
      <w:pPr>
        <w:pStyle w:val="3"/>
        <w:spacing w:before="326" w:beforeLines="100" w:after="326" w:afterLines="100"/>
      </w:pPr>
      <w:bookmarkStart w:id="214" w:name="_Toc185606090"/>
      <w:r>
        <w:rPr>
          <w:rFonts w:hint="eastAsia"/>
        </w:rPr>
        <w:t>集镇区详细规划单元与指引</w:t>
      </w:r>
      <w:bookmarkEnd w:id="214"/>
    </w:p>
    <w:p>
      <w:pPr>
        <w:pStyle w:val="4"/>
      </w:pPr>
      <w:r>
        <w:rPr>
          <w:rFonts w:hint="eastAsia"/>
        </w:rPr>
        <w:t>划分集镇区详规单元</w:t>
      </w:r>
    </w:p>
    <w:p>
      <w:pPr>
        <w:spacing w:before="65"/>
        <w:ind w:firstLine="640"/>
      </w:pPr>
      <w:r>
        <w:rPr>
          <w:rFonts w:hint="eastAsia"/>
        </w:rPr>
        <w:t>根据用地功能、集镇区更新和发展需求，以城市道路等为界，划分为若干详细规划管理单元；集镇区共划定2</w:t>
      </w:r>
      <w:r>
        <w:t>个详细规划单元。</w:t>
      </w:r>
    </w:p>
    <w:p>
      <w:pPr>
        <w:pStyle w:val="4"/>
      </w:pPr>
      <w:r>
        <w:rPr>
          <w:rFonts w:hint="eastAsia"/>
        </w:rPr>
        <w:t>单元规划指引</w:t>
      </w:r>
    </w:p>
    <w:p>
      <w:pPr>
        <w:spacing w:before="163" w:beforeLines="50"/>
        <w:ind w:firstLine="640"/>
      </w:pPr>
      <w:r>
        <w:rPr>
          <w:rFonts w:hint="eastAsia"/>
        </w:rPr>
        <w:t>后坪组团单元：以提供旅游服务、商业商务、文体中心等为主要功能导向的区域，传导乡镇国土空间总体规划功能分区中商业商务区和综合服务区的功能，在统筹考虑主导功能、服务能级、服务人口、市政承载力、功能特色的基础上，坚持核心带动、集约高效、功能复合、绿色低碳的原则，打造开放复合、尺度宜人、富有活力的功能片区。北侧以仓储物流及其配套产业为主要功能导向的区域，结合产业空间布局和产业链条设置，按照效率优先、绿色低碳、安全韧性的原则优化用地布局。</w:t>
      </w:r>
    </w:p>
    <w:p>
      <w:pPr>
        <w:spacing w:before="163" w:beforeLines="50"/>
        <w:ind w:firstLine="640"/>
      </w:pPr>
      <w:r>
        <w:rPr>
          <w:rFonts w:hint="eastAsia"/>
        </w:rPr>
        <w:t>张洼组团单元：以住宅建筑和居住配套设施为主要功能导向的区域，结合单元住宅总量控制要求与用地潜力分析，按照构建生活圈要求优化居住用地和配套设施布局，推动建设尺度适宜、配套完善、邻里和谐的全龄友好社区。</w:t>
      </w:r>
    </w:p>
    <w:p>
      <w:pPr>
        <w:pStyle w:val="3"/>
        <w:spacing w:before="326" w:beforeLines="100" w:after="326" w:afterLines="100"/>
      </w:pPr>
      <w:bookmarkStart w:id="215" w:name="_Toc185606091"/>
      <w:r>
        <w:rPr>
          <w:rFonts w:hint="eastAsia"/>
        </w:rPr>
        <w:t>详细规划编制单元与指引</w:t>
      </w:r>
      <w:bookmarkEnd w:id="215"/>
    </w:p>
    <w:p>
      <w:pPr>
        <w:pStyle w:val="4"/>
      </w:pPr>
      <w:r>
        <w:rPr>
          <w:rFonts w:hint="eastAsia"/>
        </w:rPr>
        <w:t>划定乡域详细规划编制单元</w:t>
      </w:r>
    </w:p>
    <w:p>
      <w:pPr>
        <w:spacing w:before="65"/>
        <w:ind w:firstLine="640"/>
      </w:pPr>
      <w:bookmarkStart w:id="216" w:name="_Hlk200563683"/>
      <w:r>
        <w:rPr>
          <w:rFonts w:hint="eastAsia"/>
        </w:rPr>
        <w:t>全乡共划定18</w:t>
      </w:r>
      <w:r>
        <w:t>个详细规划编制单元，包括集镇区</w:t>
      </w:r>
      <w:r>
        <w:rPr>
          <w:rFonts w:hint="eastAsia"/>
        </w:rPr>
        <w:t>2</w:t>
      </w:r>
      <w:r>
        <w:t>个编制单元。以七里坪乡</w:t>
      </w:r>
      <w:bookmarkStart w:id="217" w:name="_Hlk207459430"/>
      <w:r>
        <w:t>集镇区</w:t>
      </w:r>
      <w:r>
        <w:rPr>
          <w:rFonts w:hint="eastAsia"/>
        </w:rPr>
        <w:t>规划范围</w:t>
      </w:r>
      <w:bookmarkEnd w:id="217"/>
      <w:r>
        <w:t>为依据，确定为七里坪乡集镇区编制单元,分别为</w:t>
      </w:r>
      <w:bookmarkStart w:id="218" w:name="_Hlk207459448"/>
      <w:r>
        <w:rPr>
          <w:rFonts w:hint="eastAsia"/>
        </w:rPr>
        <w:t>后坪组团QLP</w:t>
      </w:r>
      <w:r>
        <w:t>01</w:t>
      </w:r>
      <w:r>
        <w:rPr>
          <w:rFonts w:hint="eastAsia"/>
        </w:rPr>
        <w:t>、张洼组团QLP</w:t>
      </w:r>
      <w:r>
        <w:t>0</w:t>
      </w:r>
      <w:r>
        <w:rPr>
          <w:rFonts w:hint="eastAsia"/>
        </w:rPr>
        <w:t>2</w:t>
      </w:r>
      <w:r>
        <w:t>；其余为以行政村界限为边界的详规单元，分别为</w:t>
      </w:r>
      <w:r>
        <w:rPr>
          <w:rFonts w:hint="eastAsia"/>
        </w:rPr>
        <w:t>七潭</w:t>
      </w:r>
      <w:r>
        <w:t>村编制单元</w:t>
      </w:r>
      <w:r>
        <w:rPr>
          <w:rFonts w:hint="eastAsia"/>
        </w:rPr>
        <w:t>QLP</w:t>
      </w:r>
      <w:r>
        <w:t>0</w:t>
      </w:r>
      <w:r>
        <w:rPr>
          <w:rFonts w:hint="eastAsia"/>
        </w:rPr>
        <w:t>3</w:t>
      </w:r>
      <w:r>
        <w:t>、</w:t>
      </w:r>
      <w:r>
        <w:rPr>
          <w:rFonts w:hint="eastAsia"/>
        </w:rPr>
        <w:t>野獐坪村</w:t>
      </w:r>
      <w:r>
        <w:t>编制单元</w:t>
      </w:r>
      <w:r>
        <w:rPr>
          <w:rFonts w:hint="eastAsia"/>
        </w:rPr>
        <w:t>QLP</w:t>
      </w:r>
      <w:r>
        <w:t>0</w:t>
      </w:r>
      <w:r>
        <w:rPr>
          <w:rFonts w:hint="eastAsia"/>
        </w:rPr>
        <w:t>4</w:t>
      </w:r>
      <w:r>
        <w:t>、</w:t>
      </w:r>
      <w:r>
        <w:rPr>
          <w:rFonts w:hint="eastAsia"/>
        </w:rPr>
        <w:t>黄沙河村</w:t>
      </w:r>
      <w:r>
        <w:t>编制单元</w:t>
      </w:r>
      <w:r>
        <w:rPr>
          <w:rFonts w:hint="eastAsia"/>
        </w:rPr>
        <w:t>QLP</w:t>
      </w:r>
      <w:r>
        <w:t>0</w:t>
      </w:r>
      <w:r>
        <w:rPr>
          <w:rFonts w:hint="eastAsia"/>
        </w:rPr>
        <w:t>5</w:t>
      </w:r>
      <w:r>
        <w:t>、</w:t>
      </w:r>
      <w:r>
        <w:rPr>
          <w:rFonts w:hint="eastAsia"/>
        </w:rPr>
        <w:t>大龙村</w:t>
      </w:r>
      <w:r>
        <w:t>编制单元</w:t>
      </w:r>
      <w:r>
        <w:rPr>
          <w:rFonts w:hint="eastAsia"/>
        </w:rPr>
        <w:t>QLP</w:t>
      </w:r>
      <w:r>
        <w:t>0</w:t>
      </w:r>
      <w:r>
        <w:rPr>
          <w:rFonts w:hint="eastAsia"/>
        </w:rPr>
        <w:t>6</w:t>
      </w:r>
      <w:r>
        <w:t>、</w:t>
      </w:r>
      <w:r>
        <w:rPr>
          <w:rFonts w:hint="eastAsia"/>
        </w:rPr>
        <w:t>花园村</w:t>
      </w:r>
      <w:r>
        <w:t>编制单元</w:t>
      </w:r>
      <w:r>
        <w:rPr>
          <w:rFonts w:hint="eastAsia"/>
        </w:rPr>
        <w:t>QLP</w:t>
      </w:r>
      <w:r>
        <w:t>0</w:t>
      </w:r>
      <w:r>
        <w:rPr>
          <w:rFonts w:hint="eastAsia"/>
        </w:rPr>
        <w:t>7</w:t>
      </w:r>
      <w:r>
        <w:t>、</w:t>
      </w:r>
      <w:r>
        <w:rPr>
          <w:rFonts w:hint="eastAsia"/>
        </w:rPr>
        <w:t>三道河村</w:t>
      </w:r>
      <w:r>
        <w:t>编制单元</w:t>
      </w:r>
      <w:r>
        <w:rPr>
          <w:rFonts w:hint="eastAsia"/>
        </w:rPr>
        <w:t>QLP</w:t>
      </w:r>
      <w:r>
        <w:t>0</w:t>
      </w:r>
      <w:r>
        <w:rPr>
          <w:rFonts w:hint="eastAsia"/>
        </w:rPr>
        <w:t>8</w:t>
      </w:r>
      <w:r>
        <w:t>、</w:t>
      </w:r>
      <w:r>
        <w:rPr>
          <w:rFonts w:hint="eastAsia"/>
        </w:rPr>
        <w:t>高皇村</w:t>
      </w:r>
      <w:r>
        <w:t>编制单元</w:t>
      </w:r>
      <w:r>
        <w:rPr>
          <w:rFonts w:hint="eastAsia"/>
        </w:rPr>
        <w:t>QLP</w:t>
      </w:r>
      <w:r>
        <w:t>0</w:t>
      </w:r>
      <w:r>
        <w:rPr>
          <w:rFonts w:hint="eastAsia"/>
        </w:rPr>
        <w:t>9</w:t>
      </w:r>
      <w:r>
        <w:t>、</w:t>
      </w:r>
      <w:r>
        <w:rPr>
          <w:rFonts w:hint="eastAsia"/>
        </w:rPr>
        <w:t>后坪村</w:t>
      </w:r>
      <w:r>
        <w:t>编制单元</w:t>
      </w:r>
      <w:r>
        <w:rPr>
          <w:rFonts w:hint="eastAsia"/>
        </w:rPr>
        <w:t>QLP10</w:t>
      </w:r>
      <w:r>
        <w:t>、</w:t>
      </w:r>
      <w:r>
        <w:rPr>
          <w:rFonts w:hint="eastAsia"/>
        </w:rPr>
        <w:t>马尾村编制单元QLP</w:t>
      </w:r>
      <w:r>
        <w:t>1</w:t>
      </w:r>
      <w:r>
        <w:rPr>
          <w:rFonts w:hint="eastAsia"/>
        </w:rPr>
        <w:t>1</w:t>
      </w:r>
      <w:r>
        <w:t>、</w:t>
      </w:r>
      <w:r>
        <w:rPr>
          <w:rFonts w:hint="eastAsia"/>
        </w:rPr>
        <w:t>靳河村</w:t>
      </w:r>
      <w:r>
        <w:t>编制单元</w:t>
      </w:r>
      <w:r>
        <w:rPr>
          <w:rFonts w:hint="eastAsia"/>
        </w:rPr>
        <w:t>QLP</w:t>
      </w:r>
      <w:r>
        <w:t>1</w:t>
      </w:r>
      <w:r>
        <w:rPr>
          <w:rFonts w:hint="eastAsia"/>
        </w:rPr>
        <w:t>2</w:t>
      </w:r>
      <w:r>
        <w:t>、</w:t>
      </w:r>
      <w:r>
        <w:rPr>
          <w:rFonts w:hint="eastAsia"/>
        </w:rPr>
        <w:t>张洼村</w:t>
      </w:r>
      <w:r>
        <w:t>编制单元</w:t>
      </w:r>
      <w:r>
        <w:rPr>
          <w:rFonts w:hint="eastAsia"/>
        </w:rPr>
        <w:t>QLP</w:t>
      </w:r>
      <w:r>
        <w:t>1</w:t>
      </w:r>
      <w:r>
        <w:rPr>
          <w:rFonts w:hint="eastAsia"/>
        </w:rPr>
        <w:t>3</w:t>
      </w:r>
      <w:r>
        <w:t>、</w:t>
      </w:r>
      <w:r>
        <w:rPr>
          <w:rFonts w:hint="eastAsia"/>
        </w:rPr>
        <w:t>青山村</w:t>
      </w:r>
      <w:r>
        <w:t>编制单元</w:t>
      </w:r>
      <w:r>
        <w:rPr>
          <w:rFonts w:hint="eastAsia"/>
        </w:rPr>
        <w:t>QLP</w:t>
      </w:r>
      <w:r>
        <w:t>1</w:t>
      </w:r>
      <w:r>
        <w:rPr>
          <w:rFonts w:hint="eastAsia"/>
        </w:rPr>
        <w:t>4</w:t>
      </w:r>
      <w:r>
        <w:t>、</w:t>
      </w:r>
      <w:r>
        <w:rPr>
          <w:rFonts w:hint="eastAsia"/>
        </w:rPr>
        <w:t>后会村</w:t>
      </w:r>
      <w:r>
        <w:t>编制单元</w:t>
      </w:r>
      <w:r>
        <w:rPr>
          <w:rFonts w:hint="eastAsia"/>
        </w:rPr>
        <w:t>QLP</w:t>
      </w:r>
      <w:r>
        <w:t>1</w:t>
      </w:r>
      <w:r>
        <w:rPr>
          <w:rFonts w:hint="eastAsia"/>
        </w:rPr>
        <w:t>5</w:t>
      </w:r>
      <w:r>
        <w:t>、</w:t>
      </w:r>
      <w:r>
        <w:rPr>
          <w:rFonts w:hint="eastAsia"/>
        </w:rPr>
        <w:t>蚌峪村</w:t>
      </w:r>
      <w:r>
        <w:t>编制单元</w:t>
      </w:r>
      <w:r>
        <w:rPr>
          <w:rFonts w:hint="eastAsia"/>
        </w:rPr>
        <w:t>QLP</w:t>
      </w:r>
      <w:r>
        <w:t>1</w:t>
      </w:r>
      <w:r>
        <w:rPr>
          <w:rFonts w:hint="eastAsia"/>
        </w:rPr>
        <w:t>6</w:t>
      </w:r>
      <w:r>
        <w:t>、</w:t>
      </w:r>
      <w:r>
        <w:rPr>
          <w:rFonts w:hint="eastAsia"/>
        </w:rPr>
        <w:t>流峪村</w:t>
      </w:r>
      <w:r>
        <w:t>编制单元</w:t>
      </w:r>
      <w:r>
        <w:rPr>
          <w:rFonts w:hint="eastAsia"/>
        </w:rPr>
        <w:t>QLP</w:t>
      </w:r>
      <w:r>
        <w:t>1</w:t>
      </w:r>
      <w:r>
        <w:rPr>
          <w:rFonts w:hint="eastAsia"/>
        </w:rPr>
        <w:t>7</w:t>
      </w:r>
      <w:r>
        <w:t>、</w:t>
      </w:r>
      <w:r>
        <w:rPr>
          <w:rFonts w:hint="eastAsia"/>
        </w:rPr>
        <w:t>寺坪村</w:t>
      </w:r>
      <w:r>
        <w:t>编制单元</w:t>
      </w:r>
      <w:r>
        <w:rPr>
          <w:rFonts w:hint="eastAsia"/>
        </w:rPr>
        <w:t>QLP</w:t>
      </w:r>
      <w:r>
        <w:t>1</w:t>
      </w:r>
      <w:bookmarkEnd w:id="216"/>
      <w:bookmarkEnd w:id="218"/>
      <w:r>
        <w:rPr>
          <w:rFonts w:hint="eastAsia"/>
        </w:rPr>
        <w:t>8。</w:t>
      </w:r>
    </w:p>
    <w:p>
      <w:pPr>
        <w:pStyle w:val="4"/>
      </w:pPr>
      <w:r>
        <w:rPr>
          <w:rFonts w:hint="eastAsia"/>
        </w:rPr>
        <w:t>详细规划编制指引</w:t>
      </w:r>
    </w:p>
    <w:p>
      <w:pPr>
        <w:spacing w:before="65"/>
        <w:ind w:firstLine="640"/>
        <w:rPr>
          <w:lang w:bidi="ar"/>
        </w:rPr>
      </w:pPr>
      <w:bookmarkStart w:id="219" w:name="_Hlk209626891"/>
      <w:r>
        <w:rPr>
          <w:rFonts w:hint="eastAsia"/>
          <w:lang w:bidi="ar"/>
        </w:rPr>
        <w:t>全乡集镇区范围外，共涉及16</w:t>
      </w:r>
      <w:r>
        <w:rPr>
          <w:lang w:bidi="ar"/>
        </w:rPr>
        <w:t>个详细规划编制单元，</w:t>
      </w:r>
      <w:r>
        <w:rPr>
          <w:rFonts w:hint="eastAsia"/>
          <w:lang w:bidi="ar"/>
        </w:rPr>
        <w:t>根据村庄类型和发展需求选择编制“实用性”村庄规划、“通则式”村庄规划、“通则式村庄规划管理规定”和“单元”村庄规划。</w:t>
      </w:r>
    </w:p>
    <w:p>
      <w:pPr>
        <w:spacing w:before="65"/>
        <w:ind w:firstLine="640"/>
        <w:rPr>
          <w:lang w:bidi="ar"/>
        </w:rPr>
      </w:pPr>
      <w:r>
        <w:rPr>
          <w:rFonts w:hint="eastAsia"/>
          <w:lang w:bidi="ar"/>
        </w:rPr>
        <w:t>“实用性”村庄规划编制深度最深，集“策划、规划、设计、管控”四位一体，成果应符合《河南省实用性村庄规划编制导则（第二次修订）》的要求。“通则式”村庄规划内容相对简单，深度介于实用性村庄规划、“通则式村庄规划管理规定”之间，成果应符合《河南省通则式村庄规划管理规定（修订）》的要求。“通则式村庄规划管理规定”的内容最为简单，成果应符合《河南省“通则式村庄规划管理规定”编制导则（试行）》的要求。“单元”村庄规划重点是对规划范围内的村庄建设边界做优化、建设项目做安排、建筑风貌做引导，可参照《河南省实用性村庄规划编制导则（第二次修订）》要求编制涉及的规划内容，无需面面俱到</w:t>
      </w:r>
      <w:bookmarkEnd w:id="219"/>
      <w:r>
        <w:rPr>
          <w:rFonts w:hint="eastAsia"/>
          <w:lang w:bidi="ar"/>
        </w:rPr>
        <w:t>。</w:t>
      </w:r>
    </w:p>
    <w:p>
      <w:pPr>
        <w:pStyle w:val="3"/>
        <w:rPr>
          <w:lang w:bidi="ar"/>
        </w:rPr>
      </w:pPr>
      <w:r>
        <w:rPr>
          <w:rFonts w:hint="eastAsia"/>
          <w:lang w:bidi="ar"/>
        </w:rPr>
        <w:t>“通则式”村庄规划管理规定</w:t>
      </w:r>
    </w:p>
    <w:p>
      <w:pPr>
        <w:pStyle w:val="4"/>
        <w:rPr>
          <w:lang w:bidi="ar"/>
        </w:rPr>
      </w:pPr>
      <w:r>
        <w:rPr>
          <w:rFonts w:hint="eastAsia"/>
          <w:lang w:bidi="ar"/>
        </w:rPr>
        <w:t>适用范围</w:t>
      </w:r>
    </w:p>
    <w:p>
      <w:pPr>
        <w:ind w:firstLine="640"/>
        <w:rPr>
          <w:lang w:bidi="ar"/>
        </w:rPr>
        <w:sectPr>
          <w:pgSz w:w="11907" w:h="16839"/>
          <w:pgMar w:top="1440" w:right="1800" w:bottom="1440" w:left="1800" w:header="851" w:footer="680" w:gutter="0"/>
          <w:cols w:space="1135" w:num="1"/>
          <w:docGrid w:type="lines" w:linePitch="326" w:charSpace="0"/>
        </w:sectPr>
      </w:pPr>
      <w:r>
        <w:rPr>
          <w:rFonts w:hint="eastAsia"/>
          <w:lang w:bidi="ar"/>
        </w:rPr>
        <w:t>本管理规定适用于七里坪乡城镇开发边界和集镇区外，村庄规划未覆盖的乡村地区。符合条件的农民建房（新建、改建、扩建）、乡村公共服务设施、公用设施和产业项目的建设，可依据通则式村庄规划管理规定，按相关规定办理规划许可手续。已单独编制村庄规划的，可参照执行。</w:t>
      </w:r>
    </w:p>
    <w:p>
      <w:pPr>
        <w:pStyle w:val="4"/>
        <w:rPr>
          <w:lang w:bidi="ar"/>
        </w:rPr>
      </w:pPr>
      <w:r>
        <w:rPr>
          <w:rFonts w:hint="eastAsia"/>
          <w:lang w:bidi="ar"/>
        </w:rPr>
        <w:t>农业空间管控</w:t>
      </w:r>
    </w:p>
    <w:p>
      <w:pPr>
        <w:ind w:firstLine="640"/>
      </w:pPr>
      <w:r>
        <w:rPr>
          <w:rFonts w:hint="eastAsia"/>
        </w:rPr>
        <w:t>1</w:t>
      </w:r>
      <w:r>
        <w:t>.</w:t>
      </w:r>
      <w:r>
        <w:rPr>
          <w:rFonts w:hint="eastAsia"/>
        </w:rPr>
        <w:t>耕地保护</w:t>
      </w:r>
    </w:p>
    <w:p>
      <w:pPr>
        <w:ind w:firstLine="640"/>
      </w:pPr>
      <w:r>
        <w:rPr>
          <w:rFonts w:hint="eastAsia"/>
        </w:rPr>
        <w:t>耕地主要用于粮食和棉、油、糖、蔬菜等农产品及饲草饲料生产；在不破坏耕地耕作层且不造成耕地地类改变的前提下,可以适度种植其他农作物。耕地管控“八不准”、“六严禁、五不得”。</w:t>
      </w:r>
    </w:p>
    <w:tbl>
      <w:tblPr>
        <w:tblStyle w:val="31"/>
        <w:tblW w:w="87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3"/>
        <w:gridCol w:w="2913"/>
        <w:gridCol w:w="29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8739" w:type="dxa"/>
            <w:gridSpan w:val="3"/>
            <w:vAlign w:val="center"/>
          </w:tcPr>
          <w:p>
            <w:pPr>
              <w:pStyle w:val="98"/>
            </w:pPr>
            <w:r>
              <w:rPr>
                <w:rFonts w:hint="eastAsia"/>
              </w:rPr>
              <w:t>专栏14-1：耕地管控要求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2913" w:type="dxa"/>
            <w:vAlign w:val="center"/>
          </w:tcPr>
          <w:p>
            <w:pPr>
              <w:pStyle w:val="96"/>
              <w:spacing w:line="580" w:lineRule="exact"/>
              <w:jc w:val="left"/>
              <w:rPr>
                <w:sz w:val="24"/>
                <w:szCs w:val="24"/>
              </w:rPr>
            </w:pPr>
            <w:r>
              <w:rPr>
                <w:rFonts w:hint="eastAsia"/>
                <w:sz w:val="24"/>
                <w:szCs w:val="24"/>
              </w:rPr>
              <w:t>八不准</w:t>
            </w:r>
          </w:p>
        </w:tc>
        <w:tc>
          <w:tcPr>
            <w:tcW w:w="2913" w:type="dxa"/>
            <w:vAlign w:val="center"/>
          </w:tcPr>
          <w:p>
            <w:pPr>
              <w:pStyle w:val="96"/>
              <w:spacing w:line="580" w:lineRule="exact"/>
              <w:jc w:val="left"/>
              <w:rPr>
                <w:sz w:val="24"/>
                <w:szCs w:val="24"/>
              </w:rPr>
            </w:pPr>
            <w:r>
              <w:rPr>
                <w:rFonts w:hint="eastAsia"/>
                <w:sz w:val="24"/>
                <w:szCs w:val="24"/>
              </w:rPr>
              <w:t>六严禁</w:t>
            </w:r>
          </w:p>
        </w:tc>
        <w:tc>
          <w:tcPr>
            <w:tcW w:w="2913" w:type="dxa"/>
            <w:vAlign w:val="center"/>
          </w:tcPr>
          <w:p>
            <w:pPr>
              <w:pStyle w:val="96"/>
              <w:spacing w:line="580" w:lineRule="exact"/>
              <w:jc w:val="left"/>
              <w:rPr>
                <w:sz w:val="24"/>
                <w:szCs w:val="24"/>
              </w:rPr>
            </w:pPr>
            <w:r>
              <w:rPr>
                <w:rFonts w:hint="eastAsia"/>
                <w:sz w:val="24"/>
                <w:szCs w:val="24"/>
              </w:rPr>
              <w:t>五不得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6" w:hRule="atLeast"/>
          <w:jc w:val="center"/>
        </w:trPr>
        <w:tc>
          <w:tcPr>
            <w:tcW w:w="2913" w:type="dxa"/>
          </w:tcPr>
          <w:p>
            <w:pPr>
              <w:pStyle w:val="96"/>
              <w:spacing w:line="580" w:lineRule="exact"/>
              <w:jc w:val="left"/>
              <w:rPr>
                <w:sz w:val="24"/>
                <w:szCs w:val="24"/>
              </w:rPr>
            </w:pPr>
            <w:r>
              <w:rPr>
                <w:sz w:val="24"/>
                <w:szCs w:val="24"/>
              </w:rPr>
              <w:t>不准占用永久基本农田建房。</w:t>
            </w:r>
          </w:p>
          <w:p>
            <w:pPr>
              <w:pStyle w:val="96"/>
              <w:spacing w:line="580" w:lineRule="exact"/>
              <w:jc w:val="left"/>
              <w:rPr>
                <w:sz w:val="24"/>
                <w:szCs w:val="24"/>
              </w:rPr>
            </w:pPr>
            <w:r>
              <w:rPr>
                <w:sz w:val="24"/>
                <w:szCs w:val="24"/>
              </w:rPr>
              <w:t>不准强占多占耕地建房。</w:t>
            </w:r>
          </w:p>
          <w:p>
            <w:pPr>
              <w:pStyle w:val="96"/>
              <w:spacing w:line="580" w:lineRule="exact"/>
              <w:jc w:val="left"/>
              <w:rPr>
                <w:sz w:val="24"/>
                <w:szCs w:val="24"/>
              </w:rPr>
            </w:pPr>
            <w:r>
              <w:rPr>
                <w:sz w:val="24"/>
                <w:szCs w:val="24"/>
              </w:rPr>
              <w:t>不准买卖、流转耕地违法建房。</w:t>
            </w:r>
          </w:p>
          <w:p>
            <w:pPr>
              <w:pStyle w:val="96"/>
              <w:spacing w:line="580" w:lineRule="exact"/>
              <w:jc w:val="left"/>
              <w:rPr>
                <w:sz w:val="24"/>
                <w:szCs w:val="24"/>
              </w:rPr>
            </w:pPr>
            <w:r>
              <w:rPr>
                <w:sz w:val="24"/>
                <w:szCs w:val="24"/>
              </w:rPr>
              <w:t>不准在承包耕地上违法建房。</w:t>
            </w:r>
          </w:p>
          <w:p>
            <w:pPr>
              <w:pStyle w:val="96"/>
              <w:spacing w:line="580" w:lineRule="exact"/>
              <w:jc w:val="left"/>
              <w:rPr>
                <w:sz w:val="24"/>
                <w:szCs w:val="24"/>
              </w:rPr>
            </w:pPr>
            <w:r>
              <w:rPr>
                <w:sz w:val="24"/>
                <w:szCs w:val="24"/>
              </w:rPr>
              <w:t>不准巧立名目违法占用耕地建房。</w:t>
            </w:r>
          </w:p>
          <w:p>
            <w:pPr>
              <w:pStyle w:val="96"/>
              <w:spacing w:line="580" w:lineRule="exact"/>
              <w:jc w:val="left"/>
              <w:rPr>
                <w:sz w:val="24"/>
                <w:szCs w:val="24"/>
              </w:rPr>
            </w:pPr>
            <w:r>
              <w:rPr>
                <w:sz w:val="24"/>
                <w:szCs w:val="24"/>
              </w:rPr>
              <w:t>不准违反“一户一宅”规定占用耕地建房。</w:t>
            </w:r>
          </w:p>
          <w:p>
            <w:pPr>
              <w:pStyle w:val="96"/>
              <w:spacing w:line="580" w:lineRule="exact"/>
              <w:jc w:val="left"/>
              <w:rPr>
                <w:sz w:val="24"/>
                <w:szCs w:val="24"/>
              </w:rPr>
            </w:pPr>
            <w:r>
              <w:rPr>
                <w:sz w:val="24"/>
                <w:szCs w:val="24"/>
              </w:rPr>
              <w:t>不准非法出售占用耕地建的房屋。</w:t>
            </w:r>
          </w:p>
          <w:p>
            <w:pPr>
              <w:pStyle w:val="96"/>
              <w:spacing w:line="580" w:lineRule="exact"/>
              <w:jc w:val="left"/>
              <w:rPr>
                <w:sz w:val="24"/>
                <w:szCs w:val="24"/>
              </w:rPr>
            </w:pPr>
            <w:r>
              <w:rPr>
                <w:sz w:val="24"/>
                <w:szCs w:val="24"/>
              </w:rPr>
              <w:t>不准违法审批占用耕地建房。</w:t>
            </w:r>
          </w:p>
        </w:tc>
        <w:tc>
          <w:tcPr>
            <w:tcW w:w="2913" w:type="dxa"/>
          </w:tcPr>
          <w:p>
            <w:pPr>
              <w:pStyle w:val="96"/>
              <w:spacing w:line="580" w:lineRule="exact"/>
              <w:jc w:val="left"/>
              <w:rPr>
                <w:sz w:val="24"/>
                <w:szCs w:val="24"/>
              </w:rPr>
            </w:pPr>
            <w:r>
              <w:rPr>
                <w:sz w:val="24"/>
                <w:szCs w:val="24"/>
              </w:rPr>
              <w:t>严禁违规占用耕地绿化造林；</w:t>
            </w:r>
          </w:p>
          <w:p>
            <w:pPr>
              <w:pStyle w:val="96"/>
              <w:spacing w:line="580" w:lineRule="exact"/>
              <w:jc w:val="left"/>
              <w:rPr>
                <w:sz w:val="24"/>
                <w:szCs w:val="24"/>
              </w:rPr>
            </w:pPr>
            <w:r>
              <w:rPr>
                <w:sz w:val="24"/>
                <w:szCs w:val="24"/>
              </w:rPr>
              <w:t>严禁超标准建设绿色通道</w:t>
            </w:r>
          </w:p>
          <w:p>
            <w:pPr>
              <w:pStyle w:val="96"/>
              <w:spacing w:line="580" w:lineRule="exact"/>
              <w:jc w:val="left"/>
              <w:rPr>
                <w:sz w:val="24"/>
                <w:szCs w:val="24"/>
              </w:rPr>
            </w:pPr>
            <w:r>
              <w:rPr>
                <w:sz w:val="24"/>
                <w:szCs w:val="24"/>
              </w:rPr>
              <w:t>严禁违规占用耕地挖湖造景；</w:t>
            </w:r>
          </w:p>
          <w:p>
            <w:pPr>
              <w:pStyle w:val="96"/>
              <w:spacing w:line="580" w:lineRule="exact"/>
              <w:jc w:val="left"/>
              <w:rPr>
                <w:sz w:val="24"/>
                <w:szCs w:val="24"/>
              </w:rPr>
            </w:pPr>
            <w:r>
              <w:rPr>
                <w:sz w:val="24"/>
                <w:szCs w:val="24"/>
              </w:rPr>
              <w:t>严禁占用永久基本农田扩大自然保护地；</w:t>
            </w:r>
          </w:p>
          <w:p>
            <w:pPr>
              <w:pStyle w:val="96"/>
              <w:spacing w:line="580" w:lineRule="exact"/>
              <w:jc w:val="left"/>
              <w:rPr>
                <w:sz w:val="24"/>
                <w:szCs w:val="24"/>
              </w:rPr>
            </w:pPr>
            <w:r>
              <w:rPr>
                <w:sz w:val="24"/>
                <w:szCs w:val="24"/>
              </w:rPr>
              <w:t>严禁违规占用耕地从事非农建设；</w:t>
            </w:r>
          </w:p>
          <w:p>
            <w:pPr>
              <w:pStyle w:val="96"/>
              <w:spacing w:line="580" w:lineRule="exact"/>
              <w:jc w:val="left"/>
              <w:rPr>
                <w:sz w:val="24"/>
                <w:szCs w:val="24"/>
              </w:rPr>
            </w:pPr>
            <w:r>
              <w:rPr>
                <w:sz w:val="24"/>
                <w:szCs w:val="24"/>
              </w:rPr>
              <w:t>严禁违法违规批地用地。</w:t>
            </w:r>
          </w:p>
          <w:p>
            <w:pPr>
              <w:pStyle w:val="96"/>
              <w:spacing w:line="580" w:lineRule="exact"/>
              <w:jc w:val="left"/>
              <w:rPr>
                <w:sz w:val="24"/>
                <w:szCs w:val="24"/>
              </w:rPr>
            </w:pPr>
          </w:p>
        </w:tc>
        <w:tc>
          <w:tcPr>
            <w:tcW w:w="2913" w:type="dxa"/>
          </w:tcPr>
          <w:p>
            <w:pPr>
              <w:pStyle w:val="96"/>
              <w:spacing w:line="580" w:lineRule="exact"/>
              <w:jc w:val="left"/>
              <w:rPr>
                <w:sz w:val="24"/>
                <w:szCs w:val="24"/>
              </w:rPr>
            </w:pPr>
            <w:r>
              <w:rPr>
                <w:sz w:val="24"/>
                <w:szCs w:val="24"/>
              </w:rPr>
              <w:t>不得在一般耕地上挖湖造景、种植草皮；</w:t>
            </w:r>
          </w:p>
          <w:p>
            <w:pPr>
              <w:pStyle w:val="96"/>
              <w:spacing w:line="580" w:lineRule="exact"/>
              <w:jc w:val="left"/>
              <w:rPr>
                <w:sz w:val="24"/>
                <w:szCs w:val="24"/>
              </w:rPr>
            </w:pPr>
            <w:r>
              <w:rPr>
                <w:sz w:val="24"/>
                <w:szCs w:val="24"/>
              </w:rPr>
              <w:t>不得擅自扩大退耕还林还草还湖规模；</w:t>
            </w:r>
          </w:p>
          <w:p>
            <w:pPr>
              <w:pStyle w:val="96"/>
              <w:spacing w:line="580" w:lineRule="exact"/>
              <w:jc w:val="left"/>
              <w:rPr>
                <w:sz w:val="24"/>
                <w:szCs w:val="24"/>
              </w:rPr>
            </w:pPr>
            <w:r>
              <w:rPr>
                <w:sz w:val="24"/>
                <w:szCs w:val="24"/>
              </w:rPr>
              <w:t>不得违规超标准在铁路、公路等用地红线外，以及河渠两侧、水库周边占用一般耕地种树建设绿化带；</w:t>
            </w:r>
          </w:p>
          <w:p>
            <w:pPr>
              <w:pStyle w:val="96"/>
              <w:spacing w:line="580" w:lineRule="exact"/>
              <w:jc w:val="left"/>
              <w:rPr>
                <w:sz w:val="24"/>
                <w:szCs w:val="24"/>
              </w:rPr>
            </w:pPr>
            <w:r>
              <w:rPr>
                <w:sz w:val="24"/>
                <w:szCs w:val="24"/>
              </w:rPr>
              <w:t>未经批准不得占用一般耕地实施国土绿化；</w:t>
            </w:r>
          </w:p>
          <w:p>
            <w:pPr>
              <w:pStyle w:val="96"/>
              <w:spacing w:line="580" w:lineRule="exact"/>
              <w:jc w:val="left"/>
              <w:rPr>
                <w:sz w:val="24"/>
                <w:szCs w:val="24"/>
              </w:rPr>
            </w:pPr>
            <w:r>
              <w:rPr>
                <w:sz w:val="24"/>
                <w:szCs w:val="24"/>
              </w:rPr>
              <w:t>未经批准工商企业等社会资本不得将通过流转获得土地经营权的一般耕地转为林地、园地等其他农用地。</w:t>
            </w:r>
          </w:p>
        </w:tc>
      </w:tr>
    </w:tbl>
    <w:p>
      <w:pPr>
        <w:ind w:firstLine="640"/>
      </w:pPr>
      <w:r>
        <w:rPr>
          <w:rFonts w:hint="eastAsia"/>
        </w:rPr>
        <w:t>2</w:t>
      </w:r>
      <w:r>
        <w:t>.</w:t>
      </w:r>
      <w:r>
        <w:rPr>
          <w:rFonts w:hint="eastAsia"/>
        </w:rPr>
        <w:t>永久基本农田保护</w:t>
      </w:r>
    </w:p>
    <w:p>
      <w:pPr>
        <w:ind w:firstLine="640"/>
      </w:pPr>
      <w:r>
        <w:rPr>
          <w:rFonts w:hint="eastAsia"/>
        </w:rPr>
        <w:t>永久基本农田主要用于种植粮食作物，对现状种植棉、油、糖、蔬菜等非粮食作物的,可以维持不变。</w:t>
      </w:r>
    </w:p>
    <w:p>
      <w:pPr>
        <w:ind w:firstLine="640"/>
      </w:pPr>
      <w:r>
        <w:rPr>
          <w:rFonts w:hint="eastAsia"/>
        </w:rPr>
        <w:t>严禁占用永久基本农田发展林果业和挖塘养鱼；严禁占用永久基本农田种植苗木、草皮等用于绿化装饰以及其他破坏耕作层的植物；严禁占用永久基本农田挖湖造景、建设绿化带；严禁新增占用永久基本农田建设畜禽养殖设施、水产养殖设施和破坏耕作层的种植业设施。</w:t>
      </w:r>
    </w:p>
    <w:p>
      <w:pPr>
        <w:ind w:firstLine="640"/>
      </w:pPr>
      <w:r>
        <w:rPr>
          <w:rFonts w:hint="eastAsia"/>
        </w:rPr>
        <w:t>3</w:t>
      </w:r>
      <w:r>
        <w:t>.</w:t>
      </w:r>
      <w:r>
        <w:rPr>
          <w:rFonts w:hint="eastAsia"/>
        </w:rPr>
        <w:t>设施农用地</w:t>
      </w:r>
    </w:p>
    <w:p>
      <w:pPr>
        <w:ind w:firstLine="640"/>
      </w:pPr>
      <w:r>
        <w:rPr>
          <w:rFonts w:hint="eastAsia"/>
        </w:rPr>
        <w:t>设施农业用地包括农业生产中直接用于作物（含食用菌、中药材、茶叶、水果、花木等）种植和畜禽水产养殖的设施用地。其中，作物种植设施用地包括作物生产、育种、制种、初加工和为生产服务的生产场地、化验室、看护房、农资农机具存放场所等，以及与生产农产品直接关联的烘干晾晒、分拣包装、炒制、保鲜存储等设施用地，工厂化农作物（食用菌）栽培烘干、食用菌集中制棒等设施用地；畜禽水产养殖设施用地包括养殖生产及直接关联的粪污处置（含散养密集区建设的非经营性畜禽粪污集中处置站点）、检验检疫等设施用地，不包括屠宰、肉类加工、商业化畜禽粪污集中处理中心等场所用地。</w:t>
      </w:r>
    </w:p>
    <w:p>
      <w:pPr>
        <w:ind w:firstLine="640"/>
      </w:pPr>
      <w:r>
        <w:rPr>
          <w:rFonts w:hint="eastAsia"/>
        </w:rPr>
        <w:t>种植</w:t>
      </w:r>
      <w:r>
        <w:t>设施农业建设尽量利用未利用地、低效闲置的土地以及工矿废弃地等土地，不占或少占耕地，避让永久基本农田。生产设施用地按照种植规模核定用地面积。作物生产的服务和直接关联设施用地，原则上不超过用地规模的10%，确因生产需要可适当增加，但不得超过15%，其中规模化粮食种植的直接关联设施用地，由</w:t>
      </w:r>
      <w:r>
        <w:rPr>
          <w:rFonts w:hint="eastAsia"/>
        </w:rPr>
        <w:t>内乡县</w:t>
      </w:r>
      <w:r>
        <w:t>自然资源主管部门会同农业农村主管部门根据农业生产需要合理确定。看护房应为单层，用地规模控制在22.5平方米以内。</w:t>
      </w:r>
    </w:p>
    <w:p>
      <w:pPr>
        <w:ind w:firstLine="640"/>
      </w:pPr>
      <w:r>
        <w:t>畜禽水产养殖生产设施用地按照养殖规模核定用地面积。畜禽养殖的直接关联用地原则上不超过用地规模的20%，确因生产需要可适当增加，但不得超过50%；露天水产养殖池的直接关联用地原则上不超过用地规模的15%，确因生产需要可适当增加，但不得超过20%；工厂化水产养殖场的直接关联用地原则上不超过用地规模的20%，确因生产需要可适当增加，但不得超过25%。</w:t>
      </w:r>
    </w:p>
    <w:p>
      <w:pPr>
        <w:ind w:firstLine="640"/>
      </w:pPr>
      <w:r>
        <w:t>设施农业用地不再使用的，由经营者负责恢复原用途。对擅自或变相将设施农用地用于非农建设、违规占用永久基本农田、擅自扩大设施用地规模等行为，按违法用地进行查处，确保农地农用。设施农用地用于非农建设或破坏耕作层的，按建设用地有关规定办理相关手续</w:t>
      </w:r>
      <w:r>
        <w:rPr>
          <w:rFonts w:hint="eastAsia"/>
        </w:rPr>
        <w:t>。</w:t>
      </w:r>
    </w:p>
    <w:p>
      <w:pPr>
        <w:pStyle w:val="4"/>
      </w:pPr>
      <w:r>
        <w:rPr>
          <w:rFonts w:hint="eastAsia"/>
        </w:rPr>
        <w:t>生态空间管控</w:t>
      </w:r>
    </w:p>
    <w:p>
      <w:pPr>
        <w:ind w:firstLine="640"/>
      </w:pPr>
      <w:r>
        <w:rPr>
          <w:rFonts w:hint="eastAsia"/>
        </w:rPr>
        <w:t>加强生态保护红线管理，严守自然生态安全边界。</w:t>
      </w:r>
    </w:p>
    <w:tbl>
      <w:tblPr>
        <w:tblStyle w:val="31"/>
        <w:tblW w:w="84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97"/>
        <w:gridCol w:w="5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8459" w:type="dxa"/>
            <w:gridSpan w:val="2"/>
          </w:tcPr>
          <w:p>
            <w:pPr>
              <w:pStyle w:val="98"/>
              <w:ind w:firstLine="560"/>
              <w:rPr>
                <w:lang w:bidi="ar"/>
              </w:rPr>
            </w:pPr>
            <w:r>
              <w:rPr>
                <w:rFonts w:hint="eastAsia"/>
                <w:lang w:bidi="ar"/>
              </w:rPr>
              <w:t>专栏14</w:t>
            </w:r>
            <w:r>
              <w:rPr>
                <w:lang w:bidi="ar"/>
              </w:rPr>
              <w:t>-2</w:t>
            </w:r>
            <w:r>
              <w:rPr>
                <w:rFonts w:hint="eastAsia"/>
                <w:lang w:bidi="ar"/>
              </w:rPr>
              <w:t>：生态保护红线管控要求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3397" w:type="dxa"/>
            <w:vAlign w:val="center"/>
          </w:tcPr>
          <w:p>
            <w:pPr>
              <w:pStyle w:val="96"/>
              <w:spacing w:line="580" w:lineRule="exact"/>
              <w:rPr>
                <w:sz w:val="24"/>
                <w:szCs w:val="24"/>
                <w:lang w:bidi="ar"/>
              </w:rPr>
            </w:pPr>
            <w:r>
              <w:rPr>
                <w:rFonts w:hint="eastAsia"/>
                <w:sz w:val="24"/>
                <w:szCs w:val="24"/>
                <w:lang w:bidi="ar"/>
              </w:rPr>
              <w:t>生态红线管控要求</w:t>
            </w:r>
          </w:p>
        </w:tc>
        <w:tc>
          <w:tcPr>
            <w:tcW w:w="5062" w:type="dxa"/>
            <w:vAlign w:val="center"/>
          </w:tcPr>
          <w:p>
            <w:pPr>
              <w:pStyle w:val="96"/>
              <w:spacing w:line="580" w:lineRule="exact"/>
              <w:rPr>
                <w:sz w:val="24"/>
                <w:szCs w:val="24"/>
                <w:lang w:bidi="ar"/>
              </w:rPr>
            </w:pPr>
            <w:r>
              <w:rPr>
                <w:rFonts w:hint="eastAsia"/>
                <w:sz w:val="24"/>
                <w:szCs w:val="24"/>
                <w:lang w:bidi="ar"/>
              </w:rPr>
              <w:t>有限人为活动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3397" w:type="dxa"/>
          </w:tcPr>
          <w:p>
            <w:pPr>
              <w:pStyle w:val="96"/>
              <w:spacing w:line="580" w:lineRule="exact"/>
              <w:jc w:val="left"/>
              <w:rPr>
                <w:sz w:val="24"/>
                <w:szCs w:val="24"/>
                <w:lang w:bidi="ar"/>
              </w:rPr>
            </w:pPr>
            <w:r>
              <w:rPr>
                <w:rFonts w:hint="eastAsia"/>
                <w:sz w:val="24"/>
                <w:szCs w:val="24"/>
                <w:lang w:bidi="ar"/>
              </w:rPr>
              <w:t>生态保护红线内核心保护区内，禁止一切人为活动，现有村庄须有序退出。</w:t>
            </w:r>
          </w:p>
          <w:p>
            <w:pPr>
              <w:pStyle w:val="96"/>
              <w:spacing w:line="580" w:lineRule="exact"/>
              <w:jc w:val="left"/>
              <w:rPr>
                <w:sz w:val="24"/>
                <w:szCs w:val="24"/>
                <w:lang w:bidi="ar"/>
              </w:rPr>
            </w:pPr>
            <w:r>
              <w:rPr>
                <w:rFonts w:hint="eastAsia"/>
                <w:sz w:val="24"/>
                <w:szCs w:val="24"/>
                <w:lang w:bidi="ar"/>
              </w:rPr>
              <w:t>一般控制区内禁止开发性、生产性建设活动，在符合法律法规的前提下，仅允许以下对生态功能不造成破坏的有限人为活动。</w:t>
            </w:r>
          </w:p>
          <w:p>
            <w:pPr>
              <w:pStyle w:val="96"/>
              <w:spacing w:line="580" w:lineRule="exact"/>
              <w:jc w:val="left"/>
              <w:rPr>
                <w:sz w:val="24"/>
                <w:szCs w:val="24"/>
                <w:lang w:bidi="ar"/>
              </w:rPr>
            </w:pPr>
            <w:r>
              <w:rPr>
                <w:rFonts w:hint="eastAsia"/>
                <w:sz w:val="24"/>
                <w:szCs w:val="24"/>
                <w:lang w:bidi="ar"/>
              </w:rPr>
              <w:t>国家重大项目或有限人为活动涉及新增建设用地涉及生态红线的，须按有关规定进行论证和并办理相关手续。 </w:t>
            </w:r>
          </w:p>
          <w:p>
            <w:pPr>
              <w:pStyle w:val="96"/>
              <w:spacing w:line="580" w:lineRule="exact"/>
              <w:jc w:val="left"/>
              <w:rPr>
                <w:sz w:val="24"/>
                <w:szCs w:val="24"/>
                <w:lang w:bidi="ar"/>
              </w:rPr>
            </w:pPr>
            <w:r>
              <w:rPr>
                <w:rFonts w:hint="eastAsia"/>
                <w:sz w:val="24"/>
                <w:szCs w:val="24"/>
                <w:lang w:bidi="ar"/>
              </w:rPr>
              <w:t>生态保护红线内涉及自然保护区、风景名胜区、饮用水水源保护区等区域，依照相关法律法规执行。</w:t>
            </w:r>
          </w:p>
          <w:p>
            <w:pPr>
              <w:pStyle w:val="96"/>
              <w:spacing w:line="580" w:lineRule="exact"/>
              <w:jc w:val="left"/>
              <w:rPr>
                <w:sz w:val="24"/>
                <w:szCs w:val="24"/>
                <w:lang w:bidi="ar"/>
              </w:rPr>
            </w:pPr>
            <w:r>
              <w:rPr>
                <w:rFonts w:hint="eastAsia"/>
                <w:sz w:val="24"/>
                <w:szCs w:val="24"/>
                <w:lang w:bidi="ar"/>
              </w:rPr>
              <w:t>生态红线内已有水电、风电、光伏等设施，按照相关法律法规规定进行管理，严禁扩大现有规模与范围，项目到期后由建设单位负责做好生态修复。</w:t>
            </w:r>
          </w:p>
        </w:tc>
        <w:tc>
          <w:tcPr>
            <w:tcW w:w="5062" w:type="dxa"/>
          </w:tcPr>
          <w:p>
            <w:pPr>
              <w:pStyle w:val="96"/>
              <w:spacing w:line="580" w:lineRule="exact"/>
              <w:jc w:val="left"/>
              <w:rPr>
                <w:sz w:val="24"/>
                <w:szCs w:val="24"/>
                <w:lang w:bidi="ar"/>
              </w:rPr>
            </w:pPr>
            <w:r>
              <w:rPr>
                <w:rFonts w:hint="eastAsia"/>
                <w:sz w:val="24"/>
                <w:szCs w:val="24"/>
                <w:lang w:bidi="ar"/>
              </w:rPr>
              <w:t>管护巡护、保护执法、科学研究、调查监测、测绘导航、防灾减灾救灾、军事国防、疫情防控等活动及相关的必要设施修筑。</w:t>
            </w:r>
          </w:p>
          <w:p>
            <w:pPr>
              <w:pStyle w:val="96"/>
              <w:spacing w:line="580" w:lineRule="exact"/>
              <w:jc w:val="left"/>
              <w:rPr>
                <w:sz w:val="24"/>
                <w:szCs w:val="24"/>
                <w:lang w:bidi="ar"/>
              </w:rPr>
            </w:pPr>
            <w:r>
              <w:rPr>
                <w:rFonts w:hint="eastAsia"/>
                <w:sz w:val="24"/>
                <w:szCs w:val="24"/>
                <w:lang w:bidi="ar"/>
              </w:rPr>
              <w:t>原住居民和其他合法权益主体，允许在不扩大现有建设用地、耕地、水产养殖规模和放牧强度的前提下，开展种植、放牧、养殖等活动，修筑生产生活设施。</w:t>
            </w:r>
          </w:p>
          <w:p>
            <w:pPr>
              <w:pStyle w:val="96"/>
              <w:spacing w:line="580" w:lineRule="exact"/>
              <w:jc w:val="left"/>
              <w:rPr>
                <w:sz w:val="24"/>
                <w:szCs w:val="24"/>
                <w:lang w:bidi="ar"/>
              </w:rPr>
            </w:pPr>
            <w:r>
              <w:rPr>
                <w:rFonts w:hint="eastAsia"/>
                <w:sz w:val="24"/>
                <w:szCs w:val="24"/>
                <w:lang w:bidi="ar"/>
              </w:rPr>
              <w:t>经依法批准的考古调查发掘、古生物化石调查发掘、标本采集和文物保护活动。</w:t>
            </w:r>
          </w:p>
          <w:p>
            <w:pPr>
              <w:pStyle w:val="96"/>
              <w:spacing w:line="580" w:lineRule="exact"/>
              <w:jc w:val="left"/>
              <w:rPr>
                <w:sz w:val="24"/>
                <w:szCs w:val="24"/>
                <w:lang w:bidi="ar"/>
              </w:rPr>
            </w:pPr>
            <w:r>
              <w:rPr>
                <w:rFonts w:hint="eastAsia"/>
                <w:sz w:val="24"/>
                <w:szCs w:val="24"/>
                <w:lang w:bidi="ar"/>
              </w:rPr>
              <w:t>按规定对人工商品林进行抚育采伐，或以提升森林质量、优化栖息地、建设生物防火隔离带等为目的的树种更新，依法开展的竹林采伐经营。</w:t>
            </w:r>
          </w:p>
          <w:p>
            <w:pPr>
              <w:pStyle w:val="96"/>
              <w:spacing w:line="580" w:lineRule="exact"/>
              <w:jc w:val="left"/>
              <w:rPr>
                <w:sz w:val="24"/>
                <w:szCs w:val="24"/>
                <w:lang w:bidi="ar"/>
              </w:rPr>
            </w:pPr>
            <w:r>
              <w:rPr>
                <w:rFonts w:hint="eastAsia"/>
                <w:sz w:val="24"/>
                <w:szCs w:val="24"/>
                <w:lang w:bidi="ar"/>
              </w:rPr>
              <w:t>不破坏生态功能的适度参观旅游、科普宣教及符合相关规划的配套性服务设施和相关的必要公共设施建设及维护。</w:t>
            </w:r>
          </w:p>
          <w:p>
            <w:pPr>
              <w:pStyle w:val="96"/>
              <w:spacing w:line="580" w:lineRule="exact"/>
              <w:jc w:val="left"/>
              <w:rPr>
                <w:sz w:val="24"/>
                <w:szCs w:val="24"/>
                <w:lang w:bidi="ar"/>
              </w:rPr>
            </w:pPr>
            <w:r>
              <w:rPr>
                <w:rFonts w:hint="eastAsia"/>
                <w:sz w:val="24"/>
                <w:szCs w:val="24"/>
                <w:lang w:bidi="ar"/>
              </w:rPr>
              <w:t>必须且无法避让、符合县级以上国土空间规划的线性基础设施、通讯和防洪、供水设施建设和船舶航行、航道疏浚清淤等活动；已有的合法水利、交通运输等设施运行维护改造。</w:t>
            </w:r>
          </w:p>
          <w:p>
            <w:pPr>
              <w:pStyle w:val="96"/>
              <w:spacing w:line="580" w:lineRule="exact"/>
              <w:jc w:val="left"/>
              <w:rPr>
                <w:sz w:val="24"/>
                <w:szCs w:val="24"/>
                <w:lang w:bidi="ar"/>
              </w:rPr>
            </w:pPr>
            <w:r>
              <w:rPr>
                <w:rFonts w:hint="eastAsia"/>
                <w:sz w:val="24"/>
                <w:szCs w:val="24"/>
                <w:lang w:bidi="ar"/>
              </w:rPr>
              <w:t>地质调查与矿产资源勘查等公益性工作。</w:t>
            </w:r>
          </w:p>
          <w:p>
            <w:pPr>
              <w:pStyle w:val="96"/>
              <w:spacing w:line="580" w:lineRule="exact"/>
              <w:jc w:val="left"/>
              <w:rPr>
                <w:sz w:val="24"/>
                <w:szCs w:val="24"/>
                <w:lang w:bidi="ar"/>
              </w:rPr>
            </w:pPr>
            <w:r>
              <w:rPr>
                <w:rFonts w:hint="eastAsia"/>
                <w:sz w:val="24"/>
                <w:szCs w:val="24"/>
                <w:lang w:bidi="ar"/>
              </w:rPr>
              <w:t>依据县级以上国土空间规划和生态保护修复专项规划开展的生态修复。</w:t>
            </w:r>
          </w:p>
        </w:tc>
      </w:tr>
    </w:tbl>
    <w:p>
      <w:pPr>
        <w:ind w:firstLine="640"/>
      </w:pPr>
      <w:r>
        <w:rPr>
          <w:rFonts w:hint="eastAsia"/>
        </w:rPr>
        <w:t>水域、林地、草地等生态空间，原则上不允许进行开发性、生产性建设，已有的、不符合资源环境保护要求的建设项目，应限期搬迁。</w:t>
      </w:r>
    </w:p>
    <w:p>
      <w:pPr>
        <w:ind w:firstLine="640"/>
      </w:pPr>
      <w:r>
        <w:rPr>
          <w:rFonts w:hint="eastAsia"/>
        </w:rPr>
        <w:t>禁止任何单位和个人危害、破坏林地，不得擅自毁林开垦和毁林采矿、采石、采砂、取士、造墓、修筑工程设施及其他造成毁坏林地的行为。涉及建设占用林地等生态空间的，须办理林地等相关手续。鼓励利用宜林荒山、荒地、荒滩、废弃地造林。</w:t>
      </w:r>
    </w:p>
    <w:p>
      <w:pPr>
        <w:pStyle w:val="4"/>
        <w:rPr>
          <w:lang w:bidi="ar"/>
        </w:rPr>
      </w:pPr>
      <w:r>
        <w:rPr>
          <w:rFonts w:hint="eastAsia"/>
          <w:lang w:bidi="ar"/>
        </w:rPr>
        <w:t>建设空间管控</w:t>
      </w:r>
    </w:p>
    <w:p>
      <w:pPr>
        <w:ind w:firstLine="640"/>
      </w:pPr>
      <w:r>
        <w:rPr>
          <w:rFonts w:hint="eastAsia"/>
        </w:rPr>
        <w:t>1</w:t>
      </w:r>
      <w:r>
        <w:t>.</w:t>
      </w:r>
      <w:r>
        <w:rPr>
          <w:rFonts w:hint="eastAsia"/>
        </w:rPr>
        <w:t>村庄建设用地管控</w:t>
      </w:r>
    </w:p>
    <w:p>
      <w:pPr>
        <w:ind w:firstLine="640"/>
      </w:pPr>
      <w:r>
        <w:rPr>
          <w:rFonts w:hint="eastAsia"/>
        </w:rPr>
        <w:t>村庄建设项目应当位于村庄建设边界内，符合乡国土空间规划明确的国土空间用途管制规则和建设管控要求。</w:t>
      </w:r>
    </w:p>
    <w:p>
      <w:pPr>
        <w:ind w:firstLine="640"/>
      </w:pPr>
      <w:r>
        <w:rPr>
          <w:rFonts w:hint="eastAsia"/>
        </w:rPr>
        <w:t>位于村庄建设边界外拟撤并搬迁村庄部分，不得进行翻建、扩建、改建。</w:t>
      </w:r>
    </w:p>
    <w:p>
      <w:pPr>
        <w:ind w:firstLine="640"/>
      </w:pPr>
      <w:r>
        <w:rPr>
          <w:rFonts w:hint="eastAsia"/>
        </w:rPr>
        <w:t>位于村庄建设边界内但属于撤并搬迁类村庄部分，可以进行加固、维修，但不能进行翻建、扩建、改建。</w:t>
      </w:r>
    </w:p>
    <w:p>
      <w:pPr>
        <w:ind w:firstLine="640"/>
      </w:pPr>
      <w:r>
        <w:t>村庄建设项目位于自然保护地、风景名胜区、文物保护范围和建设控制地带、历史文化名村、传统村落等区域的,还须符合相关专项规划。</w:t>
      </w:r>
    </w:p>
    <w:p>
      <w:pPr>
        <w:ind w:firstLine="640"/>
      </w:pPr>
      <w:r>
        <w:t>村庄建设项目选址位置应当遵循的一般原则：</w:t>
      </w:r>
      <w:r>
        <w:rPr>
          <w:rFonts w:hint="eastAsia"/>
        </w:rPr>
        <w:t>应选址在地质条件较好、环境适宜、交通方便的地段。坚持节约集约用地，充分利用村内空闲地、废弃地，满足消防、抗震、防洪要求，不得阻碍交通、侵占公共用地和邻里通道，妥善处理给水、排水、日照、采光、通风等方面的相邻关系。严格控制切坡建房，确因用地因难需要切坡的，应当在乡政府指导下，按照有关技术规范做好坡体防护工作，确保安全。</w:t>
      </w:r>
    </w:p>
    <w:p>
      <w:pPr>
        <w:ind w:firstLine="640"/>
      </w:pPr>
      <w:r>
        <w:t>村庄建设项目不得在下列地点或地段选址：</w:t>
      </w:r>
      <w:r>
        <w:rPr>
          <w:rFonts w:hint="eastAsia"/>
        </w:rPr>
        <w:t>山体滑坡、泥石流、危岩、塌陷等地质灾害易发区或次生灾害隐患易发地段。洪涝灾害危险地段。文物保护区。生态保护红线、永久基本农田保护区、永久基本农田储备区、生态资源保护区、饮用水源一级保护区、风景名胜区核心保护区、自然保护区核心区和缓冲区、历史文化核心保护范围内。输油、输气管道上、高压供电走廊下。危险化学品生产企业、危险化学品储存仓库或危房旁边。河道管理范围和水库、渠道的控制区范围内。法律、法规禁止建设建（构）筑物的其他区域。</w:t>
      </w:r>
    </w:p>
    <w:p>
      <w:pPr>
        <w:ind w:firstLine="640"/>
        <w:rPr>
          <w:lang w:bidi="ar"/>
        </w:rPr>
      </w:pPr>
      <w:r>
        <w:rPr>
          <w:lang w:bidi="ar"/>
        </w:rPr>
        <w:t>在高铁、国道、省道等交通干线两侧新建农村建筑，必须满足以下铁路、公路</w:t>
      </w:r>
      <w:r>
        <w:rPr>
          <w:rFonts w:hint="eastAsia"/>
          <w:lang w:bidi="ar"/>
        </w:rPr>
        <w:t>控制距离</w:t>
      </w:r>
      <w:r>
        <w:rPr>
          <w:lang w:bidi="ar"/>
        </w:rPr>
        <w:t>要求：</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0"/>
        <w:gridCol w:w="5266"/>
        <w:gridCol w:w="1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3"/>
          </w:tcPr>
          <w:p>
            <w:pPr>
              <w:pStyle w:val="98"/>
              <w:rPr>
                <w:lang w:bidi="ar"/>
              </w:rPr>
            </w:pPr>
            <w:r>
              <w:rPr>
                <w:rFonts w:hint="eastAsia"/>
                <w:lang w:bidi="ar"/>
              </w:rPr>
              <w:t>专栏14</w:t>
            </w:r>
            <w:r>
              <w:rPr>
                <w:lang w:bidi="ar"/>
              </w:rPr>
              <w:t>-3</w:t>
            </w:r>
            <w:r>
              <w:rPr>
                <w:rFonts w:hint="eastAsia"/>
                <w:lang w:bidi="ar"/>
              </w:rPr>
              <w:t>：建筑退让铁路的控制距离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pct"/>
          </w:tcPr>
          <w:p>
            <w:pPr>
              <w:pStyle w:val="96"/>
              <w:spacing w:line="580" w:lineRule="exact"/>
              <w:rPr>
                <w:sz w:val="24"/>
                <w:szCs w:val="24"/>
              </w:rPr>
            </w:pPr>
            <w:r>
              <w:rPr>
                <w:rFonts w:hint="eastAsia"/>
                <w:sz w:val="24"/>
                <w:szCs w:val="24"/>
              </w:rPr>
              <w:t>铁路等级</w:t>
            </w:r>
          </w:p>
        </w:tc>
        <w:tc>
          <w:tcPr>
            <w:tcW w:w="3089" w:type="pct"/>
          </w:tcPr>
          <w:p>
            <w:pPr>
              <w:pStyle w:val="96"/>
              <w:spacing w:line="580" w:lineRule="exact"/>
              <w:rPr>
                <w:sz w:val="24"/>
                <w:szCs w:val="24"/>
              </w:rPr>
            </w:pPr>
            <w:r>
              <w:rPr>
                <w:rFonts w:hint="eastAsia"/>
                <w:sz w:val="24"/>
                <w:szCs w:val="24"/>
              </w:rPr>
              <w:t>建筑边缘与铁路路基外侧的距离（米）</w:t>
            </w:r>
          </w:p>
        </w:tc>
        <w:tc>
          <w:tcPr>
            <w:tcW w:w="1061" w:type="pct"/>
          </w:tcPr>
          <w:p>
            <w:pPr>
              <w:pStyle w:val="96"/>
              <w:spacing w:line="580" w:lineRule="exact"/>
              <w:rPr>
                <w:sz w:val="24"/>
                <w:szCs w:val="24"/>
              </w:rPr>
            </w:pPr>
            <w:r>
              <w:rPr>
                <w:rFonts w:hint="eastAsia"/>
                <w:sz w:val="24"/>
                <w:szCs w:val="24"/>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pct"/>
          </w:tcPr>
          <w:p>
            <w:pPr>
              <w:pStyle w:val="96"/>
              <w:spacing w:line="580" w:lineRule="exact"/>
              <w:rPr>
                <w:sz w:val="24"/>
                <w:szCs w:val="24"/>
              </w:rPr>
            </w:pPr>
            <w:r>
              <w:rPr>
                <w:rFonts w:hint="eastAsia"/>
                <w:sz w:val="24"/>
                <w:szCs w:val="24"/>
              </w:rPr>
              <w:t>高铁</w:t>
            </w:r>
          </w:p>
        </w:tc>
        <w:tc>
          <w:tcPr>
            <w:tcW w:w="3089" w:type="pct"/>
          </w:tcPr>
          <w:p>
            <w:pPr>
              <w:pStyle w:val="96"/>
              <w:spacing w:line="580" w:lineRule="exact"/>
              <w:rPr>
                <w:sz w:val="24"/>
                <w:szCs w:val="24"/>
              </w:rPr>
            </w:pPr>
            <w:r>
              <w:rPr>
                <w:rFonts w:hint="eastAsia"/>
                <w:sz w:val="24"/>
                <w:szCs w:val="24"/>
              </w:rPr>
              <w:t>不低于50米</w:t>
            </w:r>
          </w:p>
        </w:tc>
        <w:tc>
          <w:tcPr>
            <w:tcW w:w="1061" w:type="pct"/>
          </w:tcPr>
          <w:p>
            <w:pPr>
              <w:pStyle w:val="96"/>
              <w:spacing w:line="580" w:lineRule="exact"/>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1" w:type="pct"/>
          </w:tcPr>
          <w:p>
            <w:pPr>
              <w:pStyle w:val="96"/>
              <w:spacing w:line="580" w:lineRule="exact"/>
              <w:rPr>
                <w:sz w:val="24"/>
                <w:szCs w:val="24"/>
              </w:rPr>
            </w:pPr>
            <w:r>
              <w:rPr>
                <w:rFonts w:hint="eastAsia"/>
                <w:sz w:val="24"/>
                <w:szCs w:val="24"/>
              </w:rPr>
              <w:t>铁路干线</w:t>
            </w:r>
          </w:p>
        </w:tc>
        <w:tc>
          <w:tcPr>
            <w:tcW w:w="3089" w:type="pct"/>
          </w:tcPr>
          <w:p>
            <w:pPr>
              <w:pStyle w:val="96"/>
              <w:spacing w:line="580" w:lineRule="exact"/>
              <w:rPr>
                <w:sz w:val="24"/>
                <w:szCs w:val="24"/>
              </w:rPr>
            </w:pPr>
            <w:r>
              <w:rPr>
                <w:rFonts w:hint="eastAsia"/>
                <w:sz w:val="24"/>
                <w:szCs w:val="24"/>
              </w:rPr>
              <w:t>不低于30米</w:t>
            </w:r>
          </w:p>
        </w:tc>
        <w:tc>
          <w:tcPr>
            <w:tcW w:w="1061" w:type="pct"/>
          </w:tcPr>
          <w:p>
            <w:pPr>
              <w:pStyle w:val="96"/>
              <w:spacing w:line="580" w:lineRule="exact"/>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pct"/>
          </w:tcPr>
          <w:p>
            <w:pPr>
              <w:pStyle w:val="96"/>
              <w:spacing w:line="580" w:lineRule="exact"/>
              <w:rPr>
                <w:sz w:val="24"/>
                <w:szCs w:val="24"/>
              </w:rPr>
            </w:pPr>
            <w:r>
              <w:rPr>
                <w:rFonts w:hint="eastAsia"/>
                <w:sz w:val="24"/>
                <w:szCs w:val="24"/>
              </w:rPr>
              <w:t>铁路支线</w:t>
            </w:r>
          </w:p>
        </w:tc>
        <w:tc>
          <w:tcPr>
            <w:tcW w:w="3089" w:type="pct"/>
          </w:tcPr>
          <w:p>
            <w:pPr>
              <w:pStyle w:val="96"/>
              <w:spacing w:line="580" w:lineRule="exact"/>
              <w:rPr>
                <w:sz w:val="24"/>
                <w:szCs w:val="24"/>
              </w:rPr>
            </w:pPr>
            <w:r>
              <w:rPr>
                <w:rFonts w:hint="eastAsia"/>
                <w:sz w:val="24"/>
                <w:szCs w:val="24"/>
              </w:rPr>
              <w:t>不低于20米</w:t>
            </w:r>
          </w:p>
        </w:tc>
        <w:tc>
          <w:tcPr>
            <w:tcW w:w="1061" w:type="pct"/>
          </w:tcPr>
          <w:p>
            <w:pPr>
              <w:pStyle w:val="96"/>
              <w:spacing w:line="580" w:lineRule="exact"/>
              <w:rPr>
                <w:sz w:val="24"/>
                <w:szCs w:val="24"/>
              </w:rPr>
            </w:pPr>
          </w:p>
        </w:tc>
      </w:tr>
    </w:tbl>
    <w:p>
      <w:pPr>
        <w:ind w:firstLine="640"/>
        <w:rPr>
          <w:lang w:bidi="ar"/>
        </w:rPr>
      </w:pP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0"/>
        <w:gridCol w:w="5266"/>
        <w:gridCol w:w="1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3"/>
            <w:vAlign w:val="center"/>
          </w:tcPr>
          <w:p>
            <w:pPr>
              <w:pStyle w:val="98"/>
              <w:rPr>
                <w:lang w:bidi="ar"/>
              </w:rPr>
            </w:pPr>
            <w:r>
              <w:rPr>
                <w:rFonts w:hint="eastAsia"/>
                <w:lang w:bidi="ar"/>
              </w:rPr>
              <w:t>专栏14</w:t>
            </w:r>
            <w:r>
              <w:rPr>
                <w:lang w:bidi="ar"/>
              </w:rPr>
              <w:t>-4</w:t>
            </w:r>
            <w:r>
              <w:rPr>
                <w:rFonts w:hint="eastAsia"/>
                <w:lang w:bidi="ar"/>
              </w:rPr>
              <w:t>：建筑退让公路的控制距离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1" w:type="pct"/>
            <w:vAlign w:val="center"/>
          </w:tcPr>
          <w:p>
            <w:pPr>
              <w:pStyle w:val="96"/>
              <w:spacing w:line="580" w:lineRule="exact"/>
              <w:rPr>
                <w:sz w:val="24"/>
                <w:szCs w:val="24"/>
                <w:lang w:bidi="ar"/>
              </w:rPr>
            </w:pPr>
            <w:r>
              <w:rPr>
                <w:rFonts w:hint="eastAsia"/>
                <w:sz w:val="24"/>
                <w:szCs w:val="24"/>
                <w:lang w:bidi="ar"/>
              </w:rPr>
              <w:t>公路等级</w:t>
            </w:r>
          </w:p>
        </w:tc>
        <w:tc>
          <w:tcPr>
            <w:tcW w:w="3089" w:type="pct"/>
            <w:vAlign w:val="center"/>
          </w:tcPr>
          <w:p>
            <w:pPr>
              <w:pStyle w:val="96"/>
              <w:spacing w:line="580" w:lineRule="exact"/>
              <w:rPr>
                <w:sz w:val="24"/>
                <w:szCs w:val="24"/>
                <w:lang w:bidi="ar"/>
              </w:rPr>
            </w:pPr>
            <w:r>
              <w:rPr>
                <w:rFonts w:hint="eastAsia"/>
                <w:sz w:val="24"/>
                <w:szCs w:val="24"/>
                <w:lang w:bidi="ar"/>
              </w:rPr>
              <w:t>建筑边缘与公路边沟外侧的距离（米）</w:t>
            </w:r>
          </w:p>
        </w:tc>
        <w:tc>
          <w:tcPr>
            <w:tcW w:w="1061" w:type="pct"/>
            <w:vAlign w:val="center"/>
          </w:tcPr>
          <w:p>
            <w:pPr>
              <w:pStyle w:val="96"/>
              <w:spacing w:line="580" w:lineRule="exact"/>
              <w:rPr>
                <w:sz w:val="24"/>
                <w:szCs w:val="24"/>
                <w:lang w:bidi="ar"/>
              </w:rPr>
            </w:pPr>
            <w:r>
              <w:rPr>
                <w:rFonts w:hint="eastAsia"/>
                <w:sz w:val="24"/>
                <w:szCs w:val="24"/>
                <w:lang w:bidi="ar"/>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1" w:type="pct"/>
            <w:vAlign w:val="center"/>
          </w:tcPr>
          <w:p>
            <w:pPr>
              <w:pStyle w:val="96"/>
              <w:spacing w:line="580" w:lineRule="exact"/>
              <w:rPr>
                <w:sz w:val="24"/>
                <w:szCs w:val="24"/>
                <w:lang w:bidi="ar"/>
              </w:rPr>
            </w:pPr>
            <w:r>
              <w:rPr>
                <w:rFonts w:hint="eastAsia"/>
                <w:sz w:val="24"/>
                <w:szCs w:val="24"/>
                <w:lang w:bidi="ar"/>
              </w:rPr>
              <w:t>高速</w:t>
            </w:r>
          </w:p>
        </w:tc>
        <w:tc>
          <w:tcPr>
            <w:tcW w:w="3089" w:type="pct"/>
            <w:vAlign w:val="center"/>
          </w:tcPr>
          <w:p>
            <w:pPr>
              <w:pStyle w:val="96"/>
              <w:spacing w:line="580" w:lineRule="exact"/>
              <w:rPr>
                <w:sz w:val="24"/>
                <w:szCs w:val="24"/>
                <w:lang w:bidi="ar"/>
              </w:rPr>
            </w:pPr>
            <w:r>
              <w:rPr>
                <w:rFonts w:hint="eastAsia"/>
                <w:sz w:val="24"/>
                <w:szCs w:val="24"/>
                <w:lang w:bidi="ar"/>
              </w:rPr>
              <w:t>不少于</w:t>
            </w:r>
            <w:r>
              <w:rPr>
                <w:sz w:val="24"/>
                <w:szCs w:val="24"/>
                <w:lang w:bidi="ar"/>
              </w:rPr>
              <w:t>3</w:t>
            </w:r>
            <w:r>
              <w:rPr>
                <w:rFonts w:hint="eastAsia"/>
                <w:sz w:val="24"/>
                <w:szCs w:val="24"/>
                <w:lang w:bidi="ar"/>
              </w:rPr>
              <w:t>0米</w:t>
            </w:r>
          </w:p>
        </w:tc>
        <w:tc>
          <w:tcPr>
            <w:tcW w:w="1061" w:type="pct"/>
            <w:vAlign w:val="center"/>
          </w:tcPr>
          <w:p>
            <w:pPr>
              <w:pStyle w:val="96"/>
              <w:spacing w:line="580" w:lineRule="exact"/>
              <w:rPr>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51" w:type="pct"/>
            <w:vAlign w:val="center"/>
          </w:tcPr>
          <w:p>
            <w:pPr>
              <w:pStyle w:val="96"/>
              <w:spacing w:line="580" w:lineRule="exact"/>
              <w:rPr>
                <w:sz w:val="24"/>
                <w:szCs w:val="24"/>
                <w:lang w:bidi="ar"/>
              </w:rPr>
            </w:pPr>
            <w:r>
              <w:rPr>
                <w:rFonts w:hint="eastAsia"/>
                <w:sz w:val="24"/>
                <w:szCs w:val="24"/>
                <w:lang w:bidi="ar"/>
              </w:rPr>
              <w:t>国道</w:t>
            </w:r>
          </w:p>
        </w:tc>
        <w:tc>
          <w:tcPr>
            <w:tcW w:w="3089" w:type="pct"/>
            <w:vAlign w:val="center"/>
          </w:tcPr>
          <w:p>
            <w:pPr>
              <w:pStyle w:val="96"/>
              <w:spacing w:line="580" w:lineRule="exact"/>
              <w:rPr>
                <w:sz w:val="24"/>
                <w:szCs w:val="24"/>
                <w:lang w:bidi="ar"/>
              </w:rPr>
            </w:pPr>
            <w:r>
              <w:rPr>
                <w:rFonts w:hint="eastAsia"/>
                <w:sz w:val="24"/>
                <w:szCs w:val="24"/>
                <w:lang w:bidi="ar"/>
              </w:rPr>
              <w:t>不少于20米</w:t>
            </w:r>
          </w:p>
        </w:tc>
        <w:tc>
          <w:tcPr>
            <w:tcW w:w="1061" w:type="pct"/>
            <w:vAlign w:val="center"/>
          </w:tcPr>
          <w:p>
            <w:pPr>
              <w:pStyle w:val="96"/>
              <w:spacing w:line="580" w:lineRule="exact"/>
              <w:rPr>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1" w:type="pct"/>
            <w:vAlign w:val="center"/>
          </w:tcPr>
          <w:p>
            <w:pPr>
              <w:pStyle w:val="96"/>
              <w:spacing w:line="580" w:lineRule="exact"/>
              <w:rPr>
                <w:sz w:val="24"/>
                <w:szCs w:val="24"/>
                <w:lang w:bidi="ar"/>
              </w:rPr>
            </w:pPr>
            <w:r>
              <w:rPr>
                <w:rFonts w:hint="eastAsia"/>
                <w:sz w:val="24"/>
                <w:szCs w:val="24"/>
                <w:lang w:bidi="ar"/>
              </w:rPr>
              <w:t>省道</w:t>
            </w:r>
          </w:p>
        </w:tc>
        <w:tc>
          <w:tcPr>
            <w:tcW w:w="3089" w:type="pct"/>
            <w:vAlign w:val="center"/>
          </w:tcPr>
          <w:p>
            <w:pPr>
              <w:pStyle w:val="96"/>
              <w:spacing w:line="580" w:lineRule="exact"/>
              <w:rPr>
                <w:sz w:val="24"/>
                <w:szCs w:val="24"/>
                <w:lang w:bidi="ar"/>
              </w:rPr>
            </w:pPr>
            <w:r>
              <w:rPr>
                <w:rFonts w:hint="eastAsia"/>
                <w:sz w:val="24"/>
                <w:szCs w:val="24"/>
                <w:lang w:bidi="ar"/>
              </w:rPr>
              <w:t>不少于15米</w:t>
            </w:r>
          </w:p>
        </w:tc>
        <w:tc>
          <w:tcPr>
            <w:tcW w:w="1061" w:type="pct"/>
            <w:vAlign w:val="center"/>
          </w:tcPr>
          <w:p>
            <w:pPr>
              <w:pStyle w:val="96"/>
              <w:spacing w:line="580" w:lineRule="exact"/>
              <w:rPr>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1" w:type="pct"/>
            <w:vAlign w:val="center"/>
          </w:tcPr>
          <w:p>
            <w:pPr>
              <w:pStyle w:val="96"/>
              <w:spacing w:line="580" w:lineRule="exact"/>
              <w:rPr>
                <w:sz w:val="24"/>
                <w:szCs w:val="24"/>
                <w:lang w:bidi="ar"/>
              </w:rPr>
            </w:pPr>
            <w:r>
              <w:rPr>
                <w:rFonts w:hint="eastAsia"/>
                <w:sz w:val="24"/>
                <w:szCs w:val="24"/>
                <w:lang w:bidi="ar"/>
              </w:rPr>
              <w:t>县道</w:t>
            </w:r>
          </w:p>
        </w:tc>
        <w:tc>
          <w:tcPr>
            <w:tcW w:w="3089" w:type="pct"/>
            <w:vAlign w:val="center"/>
          </w:tcPr>
          <w:p>
            <w:pPr>
              <w:pStyle w:val="96"/>
              <w:spacing w:line="580" w:lineRule="exact"/>
              <w:rPr>
                <w:sz w:val="24"/>
                <w:szCs w:val="24"/>
                <w:lang w:bidi="ar"/>
              </w:rPr>
            </w:pPr>
            <w:r>
              <w:rPr>
                <w:rFonts w:hint="eastAsia"/>
                <w:sz w:val="24"/>
                <w:szCs w:val="24"/>
                <w:lang w:bidi="ar"/>
              </w:rPr>
              <w:t>不少于10米</w:t>
            </w:r>
          </w:p>
        </w:tc>
        <w:tc>
          <w:tcPr>
            <w:tcW w:w="1061" w:type="pct"/>
            <w:vAlign w:val="center"/>
          </w:tcPr>
          <w:p>
            <w:pPr>
              <w:pStyle w:val="96"/>
              <w:spacing w:line="580" w:lineRule="exact"/>
              <w:rPr>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1" w:type="pct"/>
            <w:vAlign w:val="center"/>
          </w:tcPr>
          <w:p>
            <w:pPr>
              <w:pStyle w:val="96"/>
              <w:spacing w:line="580" w:lineRule="exact"/>
              <w:rPr>
                <w:sz w:val="24"/>
                <w:szCs w:val="24"/>
                <w:lang w:bidi="ar"/>
              </w:rPr>
            </w:pPr>
            <w:r>
              <w:rPr>
                <w:rFonts w:hint="eastAsia"/>
                <w:sz w:val="24"/>
                <w:szCs w:val="24"/>
                <w:lang w:bidi="ar"/>
              </w:rPr>
              <w:t>乡道</w:t>
            </w:r>
          </w:p>
        </w:tc>
        <w:tc>
          <w:tcPr>
            <w:tcW w:w="3089" w:type="pct"/>
            <w:vAlign w:val="center"/>
          </w:tcPr>
          <w:p>
            <w:pPr>
              <w:pStyle w:val="96"/>
              <w:spacing w:line="580" w:lineRule="exact"/>
              <w:rPr>
                <w:sz w:val="24"/>
                <w:szCs w:val="24"/>
                <w:lang w:bidi="ar"/>
              </w:rPr>
            </w:pPr>
            <w:r>
              <w:rPr>
                <w:rFonts w:hint="eastAsia"/>
                <w:sz w:val="24"/>
                <w:szCs w:val="24"/>
                <w:lang w:bidi="ar"/>
              </w:rPr>
              <w:t>不少于5米</w:t>
            </w:r>
          </w:p>
        </w:tc>
        <w:tc>
          <w:tcPr>
            <w:tcW w:w="1061" w:type="pct"/>
            <w:vAlign w:val="center"/>
          </w:tcPr>
          <w:p>
            <w:pPr>
              <w:pStyle w:val="96"/>
              <w:spacing w:line="580" w:lineRule="exact"/>
              <w:rPr>
                <w:sz w:val="24"/>
                <w:szCs w:val="24"/>
                <w:lang w:bidi="ar"/>
              </w:rPr>
            </w:pPr>
          </w:p>
        </w:tc>
      </w:tr>
    </w:tbl>
    <w:p>
      <w:pPr>
        <w:ind w:firstLine="640"/>
      </w:pPr>
      <w:r>
        <w:t>乡村范围内各类建筑退河道（水库）管护范围线不得小于5米，且应结合防洪、生态、水系及其他专项规划进行合理控制。</w:t>
      </w:r>
    </w:p>
    <w:p>
      <w:pPr>
        <w:ind w:firstLine="640"/>
      </w:pPr>
      <w:r>
        <w:t>2.农村村民自建住房管控</w:t>
      </w:r>
    </w:p>
    <w:p>
      <w:pPr>
        <w:ind w:firstLine="640"/>
      </w:pPr>
      <w:r>
        <w:t>村庄建设边界内建设用地优先保障村民自建住房用地，住宅用地不足的不得安排其他产业用地。</w:t>
      </w:r>
      <w:r>
        <w:rPr>
          <w:rFonts w:hint="eastAsia"/>
        </w:rPr>
        <w:t>村庄用地规划按住宅用地、村庄公共设施、公益事业、产业用地顺序保障。</w:t>
      </w:r>
    </w:p>
    <w:p>
      <w:pPr>
        <w:ind w:firstLine="640"/>
      </w:pPr>
      <w:r>
        <w:t>农村村民自建住房建设主体应符合农村宅基地申请条件。</w:t>
      </w:r>
      <w:r>
        <w:rPr>
          <w:rFonts w:hint="eastAsia"/>
        </w:rPr>
        <w:t>农村村民一户只能拥有一处宅基地。新建宅基地</w:t>
      </w:r>
      <w:r>
        <w:t>每户宅基地面积不得超过167平方米。</w:t>
      </w:r>
    </w:p>
    <w:p>
      <w:pPr>
        <w:ind w:firstLine="640"/>
      </w:pPr>
      <w:r>
        <w:rPr>
          <w:rFonts w:hint="eastAsia"/>
        </w:rPr>
        <w:t>利用村内原宅基地改造、翻建的，应符合村规民约，与周边住宅建筑对齐，不得扩大用地规模。涉及妨碍村庄道路等公共空间的，须按村规民约退出。</w:t>
      </w:r>
    </w:p>
    <w:p>
      <w:pPr>
        <w:ind w:firstLine="640"/>
      </w:pPr>
      <w:r>
        <w:rPr>
          <w:rFonts w:hint="eastAsia"/>
        </w:rPr>
        <w:t>村民按照规划另选址建房的，无偿退回原有宅基地。</w:t>
      </w:r>
    </w:p>
    <w:p>
      <w:pPr>
        <w:ind w:firstLine="640"/>
      </w:pPr>
      <w:r>
        <w:t>村村民自建住房建筑一般以两层为主，最高不超过三层，建筑限高12米。</w:t>
      </w:r>
    </w:p>
    <w:p>
      <w:pPr>
        <w:ind w:firstLine="640"/>
      </w:pPr>
      <w:r>
        <w:rPr>
          <w:rFonts w:hint="eastAsia"/>
        </w:rPr>
        <w:t>各村村民自建住房在不超建筑限高</w:t>
      </w:r>
      <w:r>
        <w:t>12米的前提下，可根据本村规民约、风土人情、地理环境特点等因素合理确定各村住宅层高及限高，并体现在本村村庄规划或村规民约中。</w:t>
      </w:r>
    </w:p>
    <w:p>
      <w:pPr>
        <w:ind w:firstLine="640"/>
      </w:pPr>
      <w:r>
        <w:rPr>
          <w:rFonts w:hint="eastAsia"/>
        </w:rPr>
        <w:t>对于机场、风景名胜区、文物保护区、传统村落保护区等特殊地段的村民自建住宅，建筑限高还须符合其他相关部门的专项规定。</w:t>
      </w:r>
    </w:p>
    <w:p>
      <w:pPr>
        <w:ind w:firstLine="640"/>
      </w:pPr>
      <w:r>
        <w:rPr>
          <w:rFonts w:hint="eastAsia"/>
        </w:rPr>
        <w:t>平原地区室内外高差不宜大于</w:t>
      </w:r>
      <w:r>
        <w:t>0.45米、院落和街巷高差不宜大于0.3米</w:t>
      </w:r>
      <w:r>
        <w:rPr>
          <w:rFonts w:hint="eastAsia" w:ascii="仿宋_GB2312" w:hAnsi="仿宋_GB2312" w:cs="仿宋_GB2312"/>
        </w:rPr>
        <w:t>。</w:t>
      </w:r>
    </w:p>
    <w:p>
      <w:pPr>
        <w:ind w:firstLine="640"/>
      </w:pPr>
      <w:r>
        <w:t>农村村民自建住宅建筑临距应符合村规民约，不妨害相邻权、地役权，应保证相邻利益方房屋的正常采光和通行要求，并符合《农村防火规范（GB50039-2010）》规定。</w:t>
      </w:r>
      <w:r>
        <w:rPr>
          <w:rFonts w:hint="eastAsia"/>
        </w:rPr>
        <w:t>村民联排自建住房（并山）可不考虑山墙建筑间距。</w:t>
      </w:r>
    </w:p>
    <w:p>
      <w:pPr>
        <w:ind w:firstLine="640"/>
      </w:pPr>
      <w:r>
        <w:t>农村村民自建住宅临村内道路进行住宅建设，宜按下列原则退让道路。</w:t>
      </w:r>
      <w:r>
        <w:rPr>
          <w:rFonts w:hint="eastAsia"/>
        </w:rPr>
        <w:t>新建村民自建住房临路方向应与同侧相邻建筑外墙面边界齐平，保证沿路建筑的整齐美观。临路方向退缩距离如有村规民约的，按照村规民约约定退让距离执行。村规民约没有约定的，按照正向临路方向退缩不宜小于</w:t>
      </w:r>
      <w:r>
        <w:t>2米(以道路边线为基准)，侧向临路方向退缩不宜小于1米(以道路中边线为基准)规定执行。</w:t>
      </w:r>
      <w:r>
        <w:rPr>
          <w:rFonts w:hint="eastAsia"/>
        </w:rPr>
        <w:t>村民自建住房与其他公共建筑、企业、仓储等建筑间距离，须符合建筑防火规范。</w:t>
      </w:r>
    </w:p>
    <w:p>
      <w:pPr>
        <w:ind w:firstLine="640"/>
      </w:pPr>
      <w:r>
        <w:t>农村村民自建住房可按照</w:t>
      </w:r>
      <w:r>
        <w:rPr>
          <w:rFonts w:hint="eastAsia"/>
        </w:rPr>
        <w:t>村庄规划推荐</w:t>
      </w:r>
      <w:r>
        <w:t>的农村住房设计图集建设或自行聘请设计单位进行。自行设计的，建筑风貌应与本村建筑风貌一致，符合村规民约，尊重本村居民居住习惯。村民自建低层经营性建筑或三层（含）以上住宅的，必须由有资质建筑设计单位进行设计，并按有关建筑规范要求施工。</w:t>
      </w:r>
    </w:p>
    <w:p>
      <w:pPr>
        <w:ind w:firstLine="640"/>
      </w:pPr>
      <w:r>
        <w:t>鼓励开展“空心村”、闲置用地整治，集约节约用地。为节约集约用地，对宅基地特别紧张的村庄，集体经济组织可通过综合整治，本着村民自愿的原则，统筹建设多层村民集中住宅楼，实现户有所居。</w:t>
      </w:r>
      <w:r>
        <w:rPr>
          <w:rFonts w:hint="eastAsia"/>
        </w:rPr>
        <w:t>村民集中住宅楼只限本村村民，不得对外销售、租赁。</w:t>
      </w:r>
    </w:p>
    <w:p>
      <w:pPr>
        <w:ind w:firstLine="640"/>
      </w:pPr>
      <w:r>
        <w:t>村民集中住宅楼、保障性租赁住房可按下列指标控制：</w:t>
      </w:r>
    </w:p>
    <w:tbl>
      <w:tblPr>
        <w:tblStyle w:val="31"/>
        <w:tblpPr w:leftFromText="180" w:rightFromText="180" w:vertAnchor="text" w:horzAnchor="page" w:tblpXSpec="center" w:tblpY="286"/>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44"/>
        <w:gridCol w:w="1328"/>
        <w:gridCol w:w="1464"/>
        <w:gridCol w:w="1464"/>
        <w:gridCol w:w="21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jc w:val="center"/>
        </w:trPr>
        <w:tc>
          <w:tcPr>
            <w:tcW w:w="5000" w:type="pct"/>
            <w:gridSpan w:val="5"/>
          </w:tcPr>
          <w:p>
            <w:pPr>
              <w:pStyle w:val="98"/>
            </w:pPr>
            <w:r>
              <w:rPr>
                <w:rFonts w:hint="eastAsia"/>
              </w:rPr>
              <w:t>专栏14</w:t>
            </w:r>
            <w:r>
              <w:t>-5</w:t>
            </w:r>
            <w:r>
              <w:rPr>
                <w:rFonts w:hint="eastAsia"/>
                <w:lang w:bidi="ar"/>
              </w:rPr>
              <w:t>：</w:t>
            </w:r>
            <w:r>
              <w:rPr>
                <w:rFonts w:hint="eastAsia"/>
              </w:rPr>
              <w:t>村庄集中住宅楼、保障性租赁住房建设指标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jc w:val="center"/>
        </w:trPr>
        <w:tc>
          <w:tcPr>
            <w:tcW w:w="1258" w:type="pct"/>
          </w:tcPr>
          <w:p>
            <w:pPr>
              <w:pStyle w:val="96"/>
              <w:spacing w:line="580" w:lineRule="exact"/>
              <w:rPr>
                <w:sz w:val="24"/>
                <w:szCs w:val="24"/>
              </w:rPr>
            </w:pPr>
            <w:r>
              <w:rPr>
                <w:rFonts w:hint="eastAsia"/>
                <w:sz w:val="24"/>
                <w:szCs w:val="24"/>
              </w:rPr>
              <w:t>容积率</w:t>
            </w:r>
          </w:p>
        </w:tc>
        <w:tc>
          <w:tcPr>
            <w:tcW w:w="779" w:type="pct"/>
          </w:tcPr>
          <w:p>
            <w:pPr>
              <w:pStyle w:val="96"/>
              <w:spacing w:line="580" w:lineRule="exact"/>
              <w:rPr>
                <w:sz w:val="24"/>
                <w:szCs w:val="24"/>
              </w:rPr>
            </w:pPr>
            <w:r>
              <w:rPr>
                <w:rFonts w:hint="eastAsia"/>
                <w:sz w:val="24"/>
                <w:szCs w:val="24"/>
              </w:rPr>
              <w:t>建筑密度</w:t>
            </w:r>
          </w:p>
        </w:tc>
        <w:tc>
          <w:tcPr>
            <w:tcW w:w="859" w:type="pct"/>
          </w:tcPr>
          <w:p>
            <w:pPr>
              <w:pStyle w:val="96"/>
              <w:spacing w:line="580" w:lineRule="exact"/>
              <w:rPr>
                <w:sz w:val="24"/>
                <w:szCs w:val="24"/>
              </w:rPr>
            </w:pPr>
            <w:r>
              <w:rPr>
                <w:rFonts w:hint="eastAsia"/>
                <w:sz w:val="24"/>
                <w:szCs w:val="24"/>
              </w:rPr>
              <w:t>绿化率</w:t>
            </w:r>
          </w:p>
        </w:tc>
        <w:tc>
          <w:tcPr>
            <w:tcW w:w="859" w:type="pct"/>
          </w:tcPr>
          <w:p>
            <w:pPr>
              <w:pStyle w:val="96"/>
              <w:spacing w:line="580" w:lineRule="exact"/>
              <w:rPr>
                <w:sz w:val="24"/>
                <w:szCs w:val="24"/>
              </w:rPr>
            </w:pPr>
            <w:r>
              <w:rPr>
                <w:rFonts w:hint="eastAsia"/>
                <w:sz w:val="24"/>
                <w:szCs w:val="24"/>
              </w:rPr>
              <w:t>建筑高度</w:t>
            </w:r>
          </w:p>
        </w:tc>
        <w:tc>
          <w:tcPr>
            <w:tcW w:w="1245" w:type="pct"/>
          </w:tcPr>
          <w:p>
            <w:pPr>
              <w:pStyle w:val="96"/>
              <w:spacing w:line="580" w:lineRule="exact"/>
              <w:rPr>
                <w:sz w:val="24"/>
                <w:szCs w:val="24"/>
              </w:rPr>
            </w:pPr>
            <w:r>
              <w:rPr>
                <w:rFonts w:hint="eastAsia"/>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1258" w:type="pct"/>
          </w:tcPr>
          <w:p>
            <w:pPr>
              <w:pStyle w:val="96"/>
              <w:spacing w:line="580" w:lineRule="exact"/>
              <w:rPr>
                <w:sz w:val="24"/>
                <w:szCs w:val="24"/>
              </w:rPr>
            </w:pPr>
            <w:r>
              <w:rPr>
                <w:rFonts w:hint="eastAsia"/>
                <w:sz w:val="24"/>
                <w:szCs w:val="24"/>
              </w:rPr>
              <w:t>1.0-1.5</w:t>
            </w:r>
          </w:p>
        </w:tc>
        <w:tc>
          <w:tcPr>
            <w:tcW w:w="779" w:type="pct"/>
          </w:tcPr>
          <w:p>
            <w:pPr>
              <w:pStyle w:val="96"/>
              <w:spacing w:line="580" w:lineRule="exact"/>
              <w:rPr>
                <w:sz w:val="24"/>
                <w:szCs w:val="24"/>
              </w:rPr>
            </w:pPr>
            <w:r>
              <w:rPr>
                <w:rFonts w:hint="eastAsia"/>
                <w:sz w:val="24"/>
                <w:szCs w:val="24"/>
              </w:rPr>
              <w:t>＜35%</w:t>
            </w:r>
          </w:p>
        </w:tc>
        <w:tc>
          <w:tcPr>
            <w:tcW w:w="859" w:type="pct"/>
          </w:tcPr>
          <w:p>
            <w:pPr>
              <w:pStyle w:val="96"/>
              <w:spacing w:line="580" w:lineRule="exact"/>
              <w:rPr>
                <w:sz w:val="24"/>
                <w:szCs w:val="24"/>
              </w:rPr>
            </w:pPr>
            <w:r>
              <w:rPr>
                <w:rFonts w:hint="eastAsia"/>
                <w:sz w:val="24"/>
                <w:szCs w:val="24"/>
              </w:rPr>
              <w:t>＞30%</w:t>
            </w:r>
          </w:p>
        </w:tc>
        <w:tc>
          <w:tcPr>
            <w:tcW w:w="859" w:type="pct"/>
          </w:tcPr>
          <w:p>
            <w:pPr>
              <w:pStyle w:val="96"/>
              <w:spacing w:line="580" w:lineRule="exact"/>
              <w:rPr>
                <w:sz w:val="24"/>
                <w:szCs w:val="24"/>
              </w:rPr>
            </w:pPr>
            <w:r>
              <w:rPr>
                <w:rFonts w:hint="eastAsia"/>
                <w:sz w:val="24"/>
                <w:szCs w:val="24"/>
              </w:rPr>
              <w:t>＜24米</w:t>
            </w:r>
          </w:p>
        </w:tc>
        <w:tc>
          <w:tcPr>
            <w:tcW w:w="1245" w:type="pct"/>
          </w:tcPr>
          <w:p>
            <w:pPr>
              <w:pStyle w:val="96"/>
              <w:spacing w:line="580" w:lineRule="exact"/>
              <w:rPr>
                <w:sz w:val="24"/>
                <w:szCs w:val="24"/>
              </w:rPr>
            </w:pPr>
            <w:r>
              <w:rPr>
                <w:rFonts w:hint="eastAsia"/>
                <w:sz w:val="24"/>
                <w:szCs w:val="24"/>
              </w:rPr>
              <w:t>建议不超6层</w:t>
            </w:r>
          </w:p>
        </w:tc>
      </w:tr>
    </w:tbl>
    <w:p>
      <w:pPr>
        <w:ind w:firstLine="640"/>
      </w:pPr>
      <w:r>
        <w:t>村民集中住宅楼、保障性租赁住房建筑间距、建筑退让及其他配套设施设置可参照城市居住区有关标准执行。</w:t>
      </w:r>
    </w:p>
    <w:p>
      <w:pPr>
        <w:ind w:firstLine="640"/>
      </w:pPr>
      <w:r>
        <w:rPr>
          <w:rFonts w:hint="eastAsia"/>
        </w:rPr>
        <w:t>3</w:t>
      </w:r>
      <w:r>
        <w:t>.</w:t>
      </w:r>
      <w:r>
        <w:rPr>
          <w:rFonts w:hint="eastAsia"/>
        </w:rPr>
        <w:t>村庄基础设施</w:t>
      </w:r>
    </w:p>
    <w:p>
      <w:pPr>
        <w:ind w:firstLine="640"/>
      </w:pPr>
      <w:r>
        <w:t>落实</w:t>
      </w:r>
      <w:r>
        <w:rPr>
          <w:rFonts w:hint="eastAsia"/>
        </w:rPr>
        <w:t>乡</w:t>
      </w:r>
      <w:r>
        <w:t>国土空间规划规划确定的区域性基础设施，在梳理村庄现状设施的基础上，结合实际需求，明确道路、给排水、环卫等设施的设置要求。</w:t>
      </w:r>
    </w:p>
    <w:p>
      <w:pPr>
        <w:ind w:firstLine="640"/>
      </w:pP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3"/>
        <w:gridCol w:w="2352"/>
        <w:gridCol w:w="1938"/>
        <w:gridCol w:w="1476"/>
        <w:gridCol w:w="11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00" w:type="pct"/>
            <w:gridSpan w:val="5"/>
            <w:vAlign w:val="center"/>
          </w:tcPr>
          <w:p>
            <w:pPr>
              <w:pStyle w:val="98"/>
              <w:rPr>
                <w:lang w:bidi="ar"/>
              </w:rPr>
            </w:pPr>
            <w:r>
              <w:rPr>
                <w:rFonts w:hint="eastAsia"/>
                <w:lang w:bidi="ar"/>
              </w:rPr>
              <w:t>专栏14</w:t>
            </w:r>
            <w:r>
              <w:rPr>
                <w:lang w:bidi="ar"/>
              </w:rPr>
              <w:t>-6</w:t>
            </w:r>
            <w:r>
              <w:rPr>
                <w:rFonts w:hint="eastAsia"/>
                <w:lang w:bidi="ar"/>
              </w:rPr>
              <w:t>：村庄基础设施分类及项目基本配置表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46" w:type="pct"/>
            <w:vMerge w:val="restart"/>
            <w:vAlign w:val="center"/>
          </w:tcPr>
          <w:p>
            <w:pPr>
              <w:pStyle w:val="96"/>
              <w:spacing w:line="580" w:lineRule="exact"/>
              <w:rPr>
                <w:sz w:val="24"/>
                <w:szCs w:val="24"/>
                <w:lang w:bidi="ar"/>
              </w:rPr>
            </w:pPr>
            <w:r>
              <w:rPr>
                <w:rFonts w:hint="eastAsia"/>
                <w:sz w:val="24"/>
                <w:szCs w:val="24"/>
                <w:lang w:bidi="ar"/>
              </w:rPr>
              <w:t>类别</w:t>
            </w:r>
          </w:p>
        </w:tc>
        <w:tc>
          <w:tcPr>
            <w:tcW w:w="1380" w:type="pct"/>
            <w:vMerge w:val="restart"/>
            <w:vAlign w:val="center"/>
          </w:tcPr>
          <w:p>
            <w:pPr>
              <w:pStyle w:val="96"/>
              <w:spacing w:line="580" w:lineRule="exact"/>
              <w:rPr>
                <w:sz w:val="24"/>
                <w:szCs w:val="24"/>
                <w:lang w:bidi="ar"/>
              </w:rPr>
            </w:pPr>
            <w:r>
              <w:rPr>
                <w:rFonts w:hint="eastAsia"/>
                <w:sz w:val="24"/>
                <w:szCs w:val="24"/>
                <w:lang w:bidi="ar"/>
              </w:rPr>
              <w:t>项目</w:t>
            </w:r>
          </w:p>
        </w:tc>
        <w:tc>
          <w:tcPr>
            <w:tcW w:w="2674" w:type="pct"/>
            <w:gridSpan w:val="3"/>
            <w:vAlign w:val="center"/>
          </w:tcPr>
          <w:p>
            <w:pPr>
              <w:pStyle w:val="96"/>
              <w:spacing w:line="580" w:lineRule="exact"/>
              <w:rPr>
                <w:sz w:val="24"/>
                <w:szCs w:val="24"/>
                <w:lang w:bidi="ar"/>
              </w:rPr>
            </w:pPr>
            <w:r>
              <w:rPr>
                <w:rFonts w:hint="eastAsia"/>
                <w:sz w:val="24"/>
                <w:szCs w:val="24"/>
                <w:lang w:bidi="ar"/>
              </w:rPr>
              <w:t>基础设施项目配置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46" w:type="pct"/>
            <w:vMerge w:val="continue"/>
          </w:tcPr>
          <w:p>
            <w:pPr>
              <w:pStyle w:val="96"/>
              <w:spacing w:line="580" w:lineRule="exact"/>
              <w:rPr>
                <w:sz w:val="24"/>
                <w:szCs w:val="24"/>
                <w:lang w:bidi="ar"/>
              </w:rPr>
            </w:pPr>
          </w:p>
        </w:tc>
        <w:tc>
          <w:tcPr>
            <w:tcW w:w="1380" w:type="pct"/>
            <w:vMerge w:val="continue"/>
          </w:tcPr>
          <w:p>
            <w:pPr>
              <w:pStyle w:val="96"/>
              <w:spacing w:line="580" w:lineRule="exact"/>
              <w:rPr>
                <w:sz w:val="24"/>
                <w:szCs w:val="24"/>
                <w:lang w:bidi="ar"/>
              </w:rPr>
            </w:pPr>
          </w:p>
        </w:tc>
        <w:tc>
          <w:tcPr>
            <w:tcW w:w="1137" w:type="pct"/>
          </w:tcPr>
          <w:p>
            <w:pPr>
              <w:pStyle w:val="96"/>
              <w:spacing w:line="580" w:lineRule="exact"/>
              <w:rPr>
                <w:sz w:val="24"/>
                <w:szCs w:val="24"/>
                <w:lang w:bidi="ar"/>
              </w:rPr>
            </w:pPr>
            <w:r>
              <w:rPr>
                <w:rFonts w:hint="eastAsia"/>
                <w:sz w:val="24"/>
                <w:szCs w:val="24"/>
                <w:lang w:bidi="ar"/>
              </w:rPr>
              <w:t>集聚提升类</w:t>
            </w:r>
          </w:p>
        </w:tc>
        <w:tc>
          <w:tcPr>
            <w:tcW w:w="866" w:type="pct"/>
          </w:tcPr>
          <w:p>
            <w:pPr>
              <w:pStyle w:val="96"/>
              <w:spacing w:line="580" w:lineRule="exact"/>
              <w:rPr>
                <w:sz w:val="24"/>
                <w:szCs w:val="24"/>
                <w:lang w:bidi="ar"/>
              </w:rPr>
            </w:pPr>
            <w:r>
              <w:rPr>
                <w:rFonts w:hint="eastAsia"/>
                <w:sz w:val="24"/>
                <w:szCs w:val="24"/>
                <w:lang w:bidi="ar"/>
              </w:rPr>
              <w:t>特色保护类</w:t>
            </w:r>
          </w:p>
        </w:tc>
        <w:tc>
          <w:tcPr>
            <w:tcW w:w="671" w:type="pct"/>
          </w:tcPr>
          <w:p>
            <w:pPr>
              <w:pStyle w:val="96"/>
              <w:spacing w:line="580" w:lineRule="exact"/>
              <w:rPr>
                <w:sz w:val="24"/>
                <w:szCs w:val="24"/>
                <w:lang w:bidi="ar"/>
              </w:rPr>
            </w:pPr>
            <w:r>
              <w:rPr>
                <w:rFonts w:hint="eastAsia"/>
                <w:sz w:val="24"/>
                <w:szCs w:val="24"/>
                <w:lang w:bidi="ar"/>
              </w:rPr>
              <w:t>整治改善类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46" w:type="pct"/>
            <w:vMerge w:val="restart"/>
            <w:vAlign w:val="center"/>
          </w:tcPr>
          <w:p>
            <w:pPr>
              <w:pStyle w:val="96"/>
              <w:spacing w:line="580" w:lineRule="exact"/>
              <w:rPr>
                <w:sz w:val="24"/>
                <w:szCs w:val="24"/>
                <w:lang w:bidi="ar"/>
              </w:rPr>
            </w:pPr>
            <w:r>
              <w:rPr>
                <w:rFonts w:hint="eastAsia"/>
                <w:sz w:val="24"/>
                <w:szCs w:val="24"/>
                <w:lang w:bidi="ar"/>
              </w:rPr>
              <w:t>道路交通</w:t>
            </w:r>
          </w:p>
        </w:tc>
        <w:tc>
          <w:tcPr>
            <w:tcW w:w="1380" w:type="pct"/>
          </w:tcPr>
          <w:p>
            <w:pPr>
              <w:pStyle w:val="96"/>
              <w:spacing w:line="580" w:lineRule="exact"/>
              <w:rPr>
                <w:sz w:val="24"/>
                <w:szCs w:val="24"/>
                <w:lang w:bidi="ar"/>
              </w:rPr>
            </w:pPr>
            <w:r>
              <w:rPr>
                <w:rFonts w:hint="eastAsia"/>
                <w:sz w:val="24"/>
                <w:szCs w:val="24"/>
                <w:lang w:bidi="ar"/>
              </w:rPr>
              <w:t>公交站点</w:t>
            </w:r>
          </w:p>
        </w:tc>
        <w:tc>
          <w:tcPr>
            <w:tcW w:w="1137" w:type="pct"/>
          </w:tcPr>
          <w:p>
            <w:pPr>
              <w:pStyle w:val="96"/>
              <w:spacing w:line="580" w:lineRule="exact"/>
              <w:rPr>
                <w:sz w:val="24"/>
                <w:szCs w:val="24"/>
                <w:lang w:bidi="ar"/>
              </w:rPr>
            </w:pPr>
            <w:r>
              <w:rPr>
                <w:rFonts w:hint="eastAsia"/>
                <w:sz w:val="24"/>
                <w:szCs w:val="24"/>
                <w:lang w:bidi="ar"/>
              </w:rPr>
              <w:t>●</w:t>
            </w:r>
          </w:p>
        </w:tc>
        <w:tc>
          <w:tcPr>
            <w:tcW w:w="866" w:type="pct"/>
          </w:tcPr>
          <w:p>
            <w:pPr>
              <w:pStyle w:val="96"/>
              <w:spacing w:line="580" w:lineRule="exact"/>
              <w:rPr>
                <w:sz w:val="24"/>
                <w:szCs w:val="24"/>
                <w:lang w:bidi="ar"/>
              </w:rPr>
            </w:pPr>
            <w:r>
              <w:rPr>
                <w:rFonts w:hint="eastAsia"/>
                <w:sz w:val="24"/>
                <w:szCs w:val="24"/>
                <w:lang w:bidi="ar"/>
              </w:rPr>
              <w:t>○</w:t>
            </w:r>
          </w:p>
        </w:tc>
        <w:tc>
          <w:tcPr>
            <w:tcW w:w="671" w:type="pct"/>
          </w:tcPr>
          <w:p>
            <w:pPr>
              <w:pStyle w:val="96"/>
              <w:spacing w:line="580" w:lineRule="exact"/>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46" w:type="pct"/>
            <w:vMerge w:val="continue"/>
            <w:vAlign w:val="center"/>
          </w:tcPr>
          <w:p>
            <w:pPr>
              <w:pStyle w:val="96"/>
              <w:spacing w:line="580" w:lineRule="exact"/>
              <w:rPr>
                <w:sz w:val="24"/>
                <w:szCs w:val="24"/>
                <w:lang w:bidi="ar"/>
              </w:rPr>
            </w:pPr>
          </w:p>
        </w:tc>
        <w:tc>
          <w:tcPr>
            <w:tcW w:w="1380" w:type="pct"/>
          </w:tcPr>
          <w:p>
            <w:pPr>
              <w:pStyle w:val="96"/>
              <w:spacing w:line="580" w:lineRule="exact"/>
              <w:rPr>
                <w:sz w:val="24"/>
                <w:szCs w:val="24"/>
                <w:lang w:bidi="ar"/>
              </w:rPr>
            </w:pPr>
            <w:r>
              <w:rPr>
                <w:rFonts w:hint="eastAsia"/>
                <w:sz w:val="24"/>
                <w:szCs w:val="24"/>
                <w:lang w:bidi="ar"/>
              </w:rPr>
              <w:t>停车场</w:t>
            </w:r>
          </w:p>
        </w:tc>
        <w:tc>
          <w:tcPr>
            <w:tcW w:w="1137" w:type="pct"/>
          </w:tcPr>
          <w:p>
            <w:pPr>
              <w:pStyle w:val="96"/>
              <w:spacing w:line="580" w:lineRule="exact"/>
              <w:rPr>
                <w:sz w:val="24"/>
                <w:szCs w:val="24"/>
                <w:lang w:bidi="ar"/>
              </w:rPr>
            </w:pPr>
            <w:r>
              <w:rPr>
                <w:rFonts w:hint="eastAsia"/>
                <w:sz w:val="24"/>
                <w:szCs w:val="24"/>
                <w:lang w:bidi="ar"/>
              </w:rPr>
              <w:t>●</w:t>
            </w:r>
          </w:p>
        </w:tc>
        <w:tc>
          <w:tcPr>
            <w:tcW w:w="866" w:type="pct"/>
          </w:tcPr>
          <w:p>
            <w:pPr>
              <w:pStyle w:val="96"/>
              <w:spacing w:line="580" w:lineRule="exact"/>
              <w:rPr>
                <w:sz w:val="24"/>
                <w:szCs w:val="24"/>
                <w:lang w:bidi="ar"/>
              </w:rPr>
            </w:pPr>
            <w:r>
              <w:rPr>
                <w:rFonts w:hint="eastAsia"/>
                <w:sz w:val="24"/>
                <w:szCs w:val="24"/>
                <w:lang w:bidi="ar"/>
              </w:rPr>
              <w:t>●</w:t>
            </w:r>
          </w:p>
        </w:tc>
        <w:tc>
          <w:tcPr>
            <w:tcW w:w="671" w:type="pct"/>
          </w:tcPr>
          <w:p>
            <w:pPr>
              <w:pStyle w:val="96"/>
              <w:spacing w:line="580" w:lineRule="exact"/>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46" w:type="pct"/>
            <w:vMerge w:val="restart"/>
            <w:vAlign w:val="center"/>
          </w:tcPr>
          <w:p>
            <w:pPr>
              <w:pStyle w:val="96"/>
              <w:spacing w:line="580" w:lineRule="exact"/>
              <w:rPr>
                <w:sz w:val="24"/>
                <w:szCs w:val="24"/>
                <w:lang w:bidi="ar"/>
              </w:rPr>
            </w:pPr>
            <w:r>
              <w:rPr>
                <w:rFonts w:hint="eastAsia"/>
                <w:sz w:val="24"/>
                <w:szCs w:val="24"/>
                <w:lang w:bidi="ar"/>
              </w:rPr>
              <w:t>市政设施</w:t>
            </w:r>
          </w:p>
        </w:tc>
        <w:tc>
          <w:tcPr>
            <w:tcW w:w="1380" w:type="pct"/>
          </w:tcPr>
          <w:p>
            <w:pPr>
              <w:pStyle w:val="96"/>
              <w:spacing w:line="580" w:lineRule="exact"/>
              <w:rPr>
                <w:sz w:val="24"/>
                <w:szCs w:val="24"/>
                <w:lang w:bidi="ar"/>
              </w:rPr>
            </w:pPr>
            <w:r>
              <w:rPr>
                <w:rFonts w:hint="eastAsia"/>
                <w:sz w:val="24"/>
                <w:szCs w:val="24"/>
                <w:lang w:bidi="ar"/>
              </w:rPr>
              <w:t>变压器，配电室</w:t>
            </w:r>
          </w:p>
        </w:tc>
        <w:tc>
          <w:tcPr>
            <w:tcW w:w="1137" w:type="pct"/>
          </w:tcPr>
          <w:p>
            <w:pPr>
              <w:pStyle w:val="96"/>
              <w:spacing w:line="580" w:lineRule="exact"/>
              <w:rPr>
                <w:sz w:val="24"/>
                <w:szCs w:val="24"/>
                <w:lang w:bidi="ar"/>
              </w:rPr>
            </w:pPr>
            <w:r>
              <w:rPr>
                <w:rFonts w:hint="eastAsia"/>
                <w:sz w:val="24"/>
                <w:szCs w:val="24"/>
                <w:lang w:bidi="ar"/>
              </w:rPr>
              <w:t>●</w:t>
            </w:r>
          </w:p>
        </w:tc>
        <w:tc>
          <w:tcPr>
            <w:tcW w:w="866" w:type="pct"/>
          </w:tcPr>
          <w:p>
            <w:pPr>
              <w:pStyle w:val="96"/>
              <w:spacing w:line="580" w:lineRule="exact"/>
              <w:rPr>
                <w:sz w:val="24"/>
                <w:szCs w:val="24"/>
                <w:lang w:bidi="ar"/>
              </w:rPr>
            </w:pPr>
            <w:r>
              <w:rPr>
                <w:rFonts w:hint="eastAsia"/>
                <w:sz w:val="24"/>
                <w:szCs w:val="24"/>
                <w:lang w:bidi="ar"/>
              </w:rPr>
              <w:t>●</w:t>
            </w:r>
          </w:p>
        </w:tc>
        <w:tc>
          <w:tcPr>
            <w:tcW w:w="671" w:type="pct"/>
          </w:tcPr>
          <w:p>
            <w:pPr>
              <w:pStyle w:val="96"/>
              <w:spacing w:line="580" w:lineRule="exact"/>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46" w:type="pct"/>
            <w:vMerge w:val="continue"/>
            <w:vAlign w:val="center"/>
          </w:tcPr>
          <w:p>
            <w:pPr>
              <w:pStyle w:val="96"/>
              <w:spacing w:line="580" w:lineRule="exact"/>
              <w:rPr>
                <w:sz w:val="24"/>
                <w:szCs w:val="24"/>
                <w:lang w:bidi="ar"/>
              </w:rPr>
            </w:pPr>
          </w:p>
        </w:tc>
        <w:tc>
          <w:tcPr>
            <w:tcW w:w="1380" w:type="pct"/>
          </w:tcPr>
          <w:p>
            <w:pPr>
              <w:pStyle w:val="96"/>
              <w:spacing w:line="580" w:lineRule="exact"/>
              <w:rPr>
                <w:sz w:val="24"/>
                <w:szCs w:val="24"/>
                <w:lang w:bidi="ar"/>
              </w:rPr>
            </w:pPr>
            <w:r>
              <w:rPr>
                <w:rFonts w:hint="eastAsia"/>
                <w:sz w:val="24"/>
                <w:szCs w:val="24"/>
                <w:lang w:bidi="ar"/>
              </w:rPr>
              <w:t>污水处理设施</w:t>
            </w:r>
          </w:p>
        </w:tc>
        <w:tc>
          <w:tcPr>
            <w:tcW w:w="1137" w:type="pct"/>
          </w:tcPr>
          <w:p>
            <w:pPr>
              <w:pStyle w:val="96"/>
              <w:spacing w:line="580" w:lineRule="exact"/>
              <w:rPr>
                <w:sz w:val="24"/>
                <w:szCs w:val="24"/>
                <w:lang w:bidi="ar"/>
              </w:rPr>
            </w:pPr>
            <w:r>
              <w:rPr>
                <w:rFonts w:hint="eastAsia"/>
                <w:sz w:val="24"/>
                <w:szCs w:val="24"/>
                <w:lang w:bidi="ar"/>
              </w:rPr>
              <w:t>●</w:t>
            </w:r>
          </w:p>
        </w:tc>
        <w:tc>
          <w:tcPr>
            <w:tcW w:w="866" w:type="pct"/>
          </w:tcPr>
          <w:p>
            <w:pPr>
              <w:pStyle w:val="96"/>
              <w:spacing w:line="580" w:lineRule="exact"/>
              <w:rPr>
                <w:sz w:val="24"/>
                <w:szCs w:val="24"/>
                <w:lang w:bidi="ar"/>
              </w:rPr>
            </w:pPr>
            <w:r>
              <w:rPr>
                <w:rFonts w:hint="eastAsia"/>
                <w:sz w:val="24"/>
                <w:szCs w:val="24"/>
                <w:lang w:bidi="ar"/>
              </w:rPr>
              <w:t>●</w:t>
            </w:r>
          </w:p>
        </w:tc>
        <w:tc>
          <w:tcPr>
            <w:tcW w:w="671" w:type="pct"/>
          </w:tcPr>
          <w:p>
            <w:pPr>
              <w:pStyle w:val="96"/>
              <w:spacing w:line="580" w:lineRule="exact"/>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46" w:type="pct"/>
            <w:vMerge w:val="continue"/>
            <w:vAlign w:val="center"/>
          </w:tcPr>
          <w:p>
            <w:pPr>
              <w:pStyle w:val="96"/>
              <w:spacing w:line="580" w:lineRule="exact"/>
              <w:rPr>
                <w:sz w:val="24"/>
                <w:szCs w:val="24"/>
                <w:lang w:bidi="ar"/>
              </w:rPr>
            </w:pPr>
          </w:p>
        </w:tc>
        <w:tc>
          <w:tcPr>
            <w:tcW w:w="1380" w:type="pct"/>
          </w:tcPr>
          <w:p>
            <w:pPr>
              <w:pStyle w:val="96"/>
              <w:spacing w:line="580" w:lineRule="exact"/>
              <w:rPr>
                <w:sz w:val="24"/>
                <w:szCs w:val="24"/>
                <w:lang w:bidi="ar"/>
              </w:rPr>
            </w:pPr>
            <w:r>
              <w:rPr>
                <w:rFonts w:hint="eastAsia"/>
                <w:sz w:val="24"/>
                <w:szCs w:val="24"/>
                <w:lang w:bidi="ar"/>
              </w:rPr>
              <w:t>水泵房</w:t>
            </w:r>
          </w:p>
        </w:tc>
        <w:tc>
          <w:tcPr>
            <w:tcW w:w="2674" w:type="pct"/>
            <w:gridSpan w:val="3"/>
          </w:tcPr>
          <w:p>
            <w:pPr>
              <w:pStyle w:val="96"/>
              <w:spacing w:line="580" w:lineRule="exact"/>
              <w:rPr>
                <w:sz w:val="24"/>
                <w:szCs w:val="24"/>
                <w:lang w:bidi="ar"/>
              </w:rPr>
            </w:pPr>
            <w:r>
              <w:rPr>
                <w:rFonts w:hint="eastAsia"/>
                <w:sz w:val="24"/>
                <w:szCs w:val="24"/>
                <w:lang w:bidi="ar"/>
              </w:rPr>
              <w:t>非集中供水村庄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46" w:type="pct"/>
            <w:vMerge w:val="restart"/>
            <w:vAlign w:val="center"/>
          </w:tcPr>
          <w:p>
            <w:pPr>
              <w:pStyle w:val="96"/>
              <w:spacing w:line="580" w:lineRule="exact"/>
              <w:rPr>
                <w:sz w:val="24"/>
                <w:szCs w:val="24"/>
                <w:lang w:bidi="ar"/>
              </w:rPr>
            </w:pPr>
            <w:r>
              <w:rPr>
                <w:rFonts w:hint="eastAsia"/>
                <w:sz w:val="24"/>
                <w:szCs w:val="24"/>
                <w:lang w:bidi="ar"/>
              </w:rPr>
              <w:t>环境卫生</w:t>
            </w:r>
          </w:p>
        </w:tc>
        <w:tc>
          <w:tcPr>
            <w:tcW w:w="1380" w:type="pct"/>
          </w:tcPr>
          <w:p>
            <w:pPr>
              <w:pStyle w:val="96"/>
              <w:spacing w:line="580" w:lineRule="exact"/>
              <w:rPr>
                <w:sz w:val="24"/>
                <w:szCs w:val="24"/>
                <w:lang w:bidi="ar"/>
              </w:rPr>
            </w:pPr>
            <w:r>
              <w:rPr>
                <w:rFonts w:hint="eastAsia"/>
                <w:sz w:val="24"/>
                <w:szCs w:val="24"/>
                <w:lang w:bidi="ar"/>
              </w:rPr>
              <w:t>垃圾收集点</w:t>
            </w:r>
          </w:p>
        </w:tc>
        <w:tc>
          <w:tcPr>
            <w:tcW w:w="1137" w:type="pct"/>
          </w:tcPr>
          <w:p>
            <w:pPr>
              <w:pStyle w:val="96"/>
              <w:spacing w:line="580" w:lineRule="exact"/>
              <w:rPr>
                <w:sz w:val="24"/>
                <w:szCs w:val="24"/>
                <w:lang w:bidi="ar"/>
              </w:rPr>
            </w:pPr>
            <w:r>
              <w:rPr>
                <w:rFonts w:hint="eastAsia"/>
                <w:sz w:val="24"/>
                <w:szCs w:val="24"/>
                <w:lang w:bidi="ar"/>
              </w:rPr>
              <w:t>●</w:t>
            </w:r>
          </w:p>
        </w:tc>
        <w:tc>
          <w:tcPr>
            <w:tcW w:w="866" w:type="pct"/>
          </w:tcPr>
          <w:p>
            <w:pPr>
              <w:pStyle w:val="96"/>
              <w:spacing w:line="580" w:lineRule="exact"/>
              <w:rPr>
                <w:sz w:val="24"/>
                <w:szCs w:val="24"/>
                <w:lang w:bidi="ar"/>
              </w:rPr>
            </w:pPr>
            <w:r>
              <w:rPr>
                <w:rFonts w:hint="eastAsia"/>
                <w:sz w:val="24"/>
                <w:szCs w:val="24"/>
                <w:lang w:bidi="ar"/>
              </w:rPr>
              <w:t>●</w:t>
            </w:r>
          </w:p>
        </w:tc>
        <w:tc>
          <w:tcPr>
            <w:tcW w:w="671" w:type="pct"/>
          </w:tcPr>
          <w:p>
            <w:pPr>
              <w:pStyle w:val="96"/>
              <w:spacing w:line="580" w:lineRule="exact"/>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6" w:type="pct"/>
            <w:vMerge w:val="continue"/>
          </w:tcPr>
          <w:p>
            <w:pPr>
              <w:pStyle w:val="96"/>
              <w:spacing w:line="580" w:lineRule="exact"/>
              <w:rPr>
                <w:sz w:val="24"/>
                <w:szCs w:val="24"/>
                <w:lang w:bidi="ar"/>
              </w:rPr>
            </w:pPr>
          </w:p>
        </w:tc>
        <w:tc>
          <w:tcPr>
            <w:tcW w:w="1380" w:type="pct"/>
          </w:tcPr>
          <w:p>
            <w:pPr>
              <w:pStyle w:val="96"/>
              <w:spacing w:line="580" w:lineRule="exact"/>
              <w:rPr>
                <w:sz w:val="24"/>
                <w:szCs w:val="24"/>
                <w:lang w:bidi="ar"/>
              </w:rPr>
            </w:pPr>
            <w:r>
              <w:rPr>
                <w:rFonts w:hint="eastAsia"/>
                <w:sz w:val="24"/>
                <w:szCs w:val="24"/>
                <w:lang w:bidi="ar"/>
              </w:rPr>
              <w:t>公厕</w:t>
            </w:r>
          </w:p>
        </w:tc>
        <w:tc>
          <w:tcPr>
            <w:tcW w:w="1137" w:type="pct"/>
          </w:tcPr>
          <w:p>
            <w:pPr>
              <w:pStyle w:val="96"/>
              <w:spacing w:line="580" w:lineRule="exact"/>
              <w:rPr>
                <w:sz w:val="24"/>
                <w:szCs w:val="24"/>
                <w:lang w:bidi="ar"/>
              </w:rPr>
            </w:pPr>
            <w:r>
              <w:rPr>
                <w:rFonts w:hint="eastAsia"/>
                <w:sz w:val="24"/>
                <w:szCs w:val="24"/>
                <w:lang w:bidi="ar"/>
              </w:rPr>
              <w:t>●</w:t>
            </w:r>
          </w:p>
        </w:tc>
        <w:tc>
          <w:tcPr>
            <w:tcW w:w="866" w:type="pct"/>
          </w:tcPr>
          <w:p>
            <w:pPr>
              <w:pStyle w:val="96"/>
              <w:spacing w:line="580" w:lineRule="exact"/>
              <w:rPr>
                <w:sz w:val="24"/>
                <w:szCs w:val="24"/>
                <w:lang w:bidi="ar"/>
              </w:rPr>
            </w:pPr>
            <w:r>
              <w:rPr>
                <w:rFonts w:hint="eastAsia"/>
                <w:sz w:val="24"/>
                <w:szCs w:val="24"/>
                <w:lang w:bidi="ar"/>
              </w:rPr>
              <w:t>●</w:t>
            </w:r>
          </w:p>
        </w:tc>
        <w:tc>
          <w:tcPr>
            <w:tcW w:w="671" w:type="pct"/>
          </w:tcPr>
          <w:p>
            <w:pPr>
              <w:pStyle w:val="96"/>
              <w:spacing w:line="580" w:lineRule="exact"/>
              <w:rPr>
                <w:sz w:val="24"/>
                <w:szCs w:val="24"/>
                <w:lang w:bidi="ar"/>
              </w:rPr>
            </w:pPr>
            <w:r>
              <w:rPr>
                <w:rFonts w:hint="eastAsia"/>
                <w:sz w:val="24"/>
                <w:szCs w:val="24"/>
                <w:lang w:bidi="ar"/>
              </w:rPr>
              <w:t>○</w:t>
            </w:r>
          </w:p>
        </w:tc>
      </w:tr>
    </w:tbl>
    <w:p>
      <w:pPr>
        <w:autoSpaceDE w:val="0"/>
        <w:autoSpaceDN w:val="0"/>
        <w:ind w:firstLine="420"/>
        <w:jc w:val="left"/>
        <w:rPr>
          <w:rFonts w:ascii="楷体" w:hAnsi="楷体" w:eastAsia="楷体" w:cs="楷体"/>
          <w:color w:val="000000"/>
          <w:kern w:val="0"/>
          <w:sz w:val="21"/>
          <w:szCs w:val="21"/>
        </w:rPr>
      </w:pPr>
      <w:r>
        <w:rPr>
          <w:rFonts w:hint="eastAsia" w:ascii="楷体" w:hAnsi="楷体" w:eastAsia="楷体" w:cs="楷体"/>
          <w:color w:val="000000"/>
          <w:kern w:val="0"/>
          <w:sz w:val="21"/>
          <w:szCs w:val="21"/>
        </w:rPr>
        <w:t>注： ●——为应设的内容  ○——为可设的内容</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9"/>
        <w:gridCol w:w="1456"/>
        <w:gridCol w:w="3205"/>
        <w:gridCol w:w="2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tcPr>
          <w:p>
            <w:pPr>
              <w:pStyle w:val="98"/>
              <w:rPr>
                <w:lang w:bidi="ar"/>
              </w:rPr>
            </w:pPr>
            <w:r>
              <w:rPr>
                <w:rFonts w:hint="eastAsia"/>
                <w:lang w:bidi="ar"/>
              </w:rPr>
              <w:t>专栏14</w:t>
            </w:r>
            <w:r>
              <w:rPr>
                <w:lang w:bidi="ar"/>
              </w:rPr>
              <w:t>-7</w:t>
            </w:r>
            <w:r>
              <w:rPr>
                <w:rFonts w:hint="eastAsia"/>
                <w:lang w:bidi="ar"/>
              </w:rPr>
              <w:t>：村庄基础设施配置内容表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Pr>
          <w:p>
            <w:pPr>
              <w:pStyle w:val="96"/>
              <w:spacing w:line="580" w:lineRule="exact"/>
              <w:rPr>
                <w:sz w:val="24"/>
                <w:szCs w:val="24"/>
                <w:lang w:bidi="ar"/>
              </w:rPr>
            </w:pPr>
            <w:r>
              <w:rPr>
                <w:rFonts w:hint="eastAsia"/>
                <w:sz w:val="24"/>
                <w:szCs w:val="24"/>
                <w:lang w:bidi="ar"/>
              </w:rPr>
              <w:t>类别</w:t>
            </w:r>
          </w:p>
        </w:tc>
        <w:tc>
          <w:tcPr>
            <w:tcW w:w="854" w:type="pct"/>
          </w:tcPr>
          <w:p>
            <w:pPr>
              <w:pStyle w:val="96"/>
              <w:spacing w:line="580" w:lineRule="exact"/>
              <w:rPr>
                <w:sz w:val="24"/>
                <w:szCs w:val="24"/>
                <w:lang w:bidi="ar"/>
              </w:rPr>
            </w:pPr>
            <w:r>
              <w:rPr>
                <w:rFonts w:hint="eastAsia"/>
                <w:sz w:val="24"/>
                <w:szCs w:val="24"/>
                <w:lang w:bidi="ar"/>
              </w:rPr>
              <w:t>项目</w:t>
            </w:r>
          </w:p>
        </w:tc>
        <w:tc>
          <w:tcPr>
            <w:tcW w:w="1880" w:type="pct"/>
          </w:tcPr>
          <w:p>
            <w:pPr>
              <w:pStyle w:val="96"/>
              <w:spacing w:line="580" w:lineRule="exact"/>
              <w:rPr>
                <w:sz w:val="24"/>
                <w:szCs w:val="24"/>
                <w:lang w:bidi="ar"/>
              </w:rPr>
            </w:pPr>
            <w:r>
              <w:rPr>
                <w:rFonts w:hint="eastAsia"/>
                <w:sz w:val="24"/>
                <w:szCs w:val="24"/>
                <w:lang w:bidi="ar"/>
              </w:rPr>
              <w:t>配置方式</w:t>
            </w:r>
          </w:p>
        </w:tc>
        <w:tc>
          <w:tcPr>
            <w:tcW w:w="1757" w:type="pct"/>
          </w:tcPr>
          <w:p>
            <w:pPr>
              <w:pStyle w:val="96"/>
              <w:spacing w:line="580" w:lineRule="exact"/>
              <w:rPr>
                <w:sz w:val="24"/>
                <w:szCs w:val="24"/>
                <w:lang w:bidi="ar"/>
              </w:rPr>
            </w:pPr>
            <w:r>
              <w:rPr>
                <w:rFonts w:hint="eastAsia"/>
                <w:sz w:val="24"/>
                <w:szCs w:val="24"/>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vMerge w:val="restart"/>
            <w:vAlign w:val="center"/>
          </w:tcPr>
          <w:p>
            <w:pPr>
              <w:pStyle w:val="96"/>
              <w:spacing w:line="580" w:lineRule="exact"/>
              <w:rPr>
                <w:sz w:val="24"/>
                <w:szCs w:val="24"/>
                <w:lang w:bidi="ar"/>
              </w:rPr>
            </w:pPr>
            <w:r>
              <w:rPr>
                <w:rFonts w:hint="eastAsia"/>
                <w:sz w:val="24"/>
                <w:szCs w:val="24"/>
                <w:lang w:bidi="ar"/>
              </w:rPr>
              <w:t>道路交通</w:t>
            </w:r>
          </w:p>
        </w:tc>
        <w:tc>
          <w:tcPr>
            <w:tcW w:w="854" w:type="pct"/>
            <w:vAlign w:val="center"/>
          </w:tcPr>
          <w:p>
            <w:pPr>
              <w:pStyle w:val="96"/>
              <w:spacing w:line="580" w:lineRule="exact"/>
              <w:rPr>
                <w:sz w:val="24"/>
                <w:szCs w:val="24"/>
                <w:lang w:bidi="ar"/>
              </w:rPr>
            </w:pPr>
            <w:r>
              <w:rPr>
                <w:rFonts w:hint="eastAsia"/>
                <w:sz w:val="24"/>
                <w:szCs w:val="24"/>
                <w:lang w:bidi="ar"/>
              </w:rPr>
              <w:t>公交站点</w:t>
            </w:r>
          </w:p>
        </w:tc>
        <w:tc>
          <w:tcPr>
            <w:tcW w:w="1880" w:type="pct"/>
            <w:vAlign w:val="center"/>
          </w:tcPr>
          <w:p>
            <w:pPr>
              <w:pStyle w:val="96"/>
              <w:spacing w:line="580" w:lineRule="exact"/>
              <w:rPr>
                <w:sz w:val="24"/>
                <w:szCs w:val="24"/>
                <w:lang w:bidi="ar"/>
              </w:rPr>
            </w:pPr>
            <w:r>
              <w:rPr>
                <w:rFonts w:hint="eastAsia"/>
                <w:sz w:val="24"/>
                <w:szCs w:val="24"/>
                <w:lang w:bidi="ar"/>
              </w:rPr>
              <w:t>满足公交车辆运行安全要求，同时尽可能不影响其他交通工具在道路的通行。</w:t>
            </w:r>
          </w:p>
        </w:tc>
        <w:tc>
          <w:tcPr>
            <w:tcW w:w="1757" w:type="pct"/>
          </w:tcPr>
          <w:p>
            <w:pPr>
              <w:pStyle w:val="96"/>
              <w:spacing w:line="580" w:lineRule="exact"/>
              <w:rPr>
                <w:sz w:val="24"/>
                <w:szCs w:val="24"/>
                <w:lang w:bidi="ar"/>
              </w:rPr>
            </w:pPr>
            <w:r>
              <w:rPr>
                <w:rFonts w:hint="eastAsia"/>
                <w:sz w:val="24"/>
                <w:szCs w:val="24"/>
                <w:lang w:bidi="ar"/>
              </w:rPr>
              <w:t>宜设置在道路使用面积较富裕而人口又比较集中的村居点或村委会附近。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0" w:type="pct"/>
            <w:vMerge w:val="continue"/>
            <w:vAlign w:val="center"/>
          </w:tcPr>
          <w:p>
            <w:pPr>
              <w:pStyle w:val="96"/>
              <w:spacing w:line="580" w:lineRule="exact"/>
              <w:rPr>
                <w:sz w:val="24"/>
                <w:szCs w:val="24"/>
                <w:lang w:bidi="ar"/>
              </w:rPr>
            </w:pPr>
          </w:p>
        </w:tc>
        <w:tc>
          <w:tcPr>
            <w:tcW w:w="854" w:type="pct"/>
            <w:vAlign w:val="center"/>
          </w:tcPr>
          <w:p>
            <w:pPr>
              <w:pStyle w:val="96"/>
              <w:spacing w:line="580" w:lineRule="exact"/>
              <w:rPr>
                <w:sz w:val="24"/>
                <w:szCs w:val="24"/>
                <w:lang w:bidi="ar"/>
              </w:rPr>
            </w:pPr>
            <w:r>
              <w:rPr>
                <w:rFonts w:hint="eastAsia"/>
                <w:sz w:val="24"/>
                <w:szCs w:val="24"/>
                <w:lang w:bidi="ar"/>
              </w:rPr>
              <w:t>停车场</w:t>
            </w:r>
          </w:p>
        </w:tc>
        <w:tc>
          <w:tcPr>
            <w:tcW w:w="1880" w:type="pct"/>
            <w:vAlign w:val="center"/>
          </w:tcPr>
          <w:p>
            <w:pPr>
              <w:pStyle w:val="96"/>
              <w:spacing w:line="580" w:lineRule="exact"/>
              <w:rPr>
                <w:sz w:val="24"/>
                <w:szCs w:val="24"/>
                <w:lang w:bidi="ar"/>
              </w:rPr>
            </w:pPr>
            <w:r>
              <w:rPr>
                <w:rFonts w:hint="eastAsia"/>
                <w:sz w:val="24"/>
                <w:szCs w:val="24"/>
                <w:lang w:bidi="ar"/>
              </w:rPr>
              <w:t>结合村庄实际，灵活设施</w:t>
            </w:r>
          </w:p>
        </w:tc>
        <w:tc>
          <w:tcPr>
            <w:tcW w:w="1757" w:type="pct"/>
          </w:tcPr>
          <w:p>
            <w:pPr>
              <w:pStyle w:val="96"/>
              <w:spacing w:line="580" w:lineRule="exact"/>
              <w:rPr>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0" w:type="pct"/>
            <w:vMerge w:val="restart"/>
            <w:vAlign w:val="center"/>
          </w:tcPr>
          <w:p>
            <w:pPr>
              <w:pStyle w:val="96"/>
              <w:spacing w:line="580" w:lineRule="exact"/>
              <w:rPr>
                <w:sz w:val="24"/>
                <w:szCs w:val="24"/>
                <w:lang w:bidi="ar"/>
              </w:rPr>
            </w:pPr>
            <w:r>
              <w:rPr>
                <w:rFonts w:hint="eastAsia"/>
                <w:sz w:val="24"/>
                <w:szCs w:val="24"/>
                <w:lang w:bidi="ar"/>
              </w:rPr>
              <w:t>市政设施</w:t>
            </w:r>
          </w:p>
        </w:tc>
        <w:tc>
          <w:tcPr>
            <w:tcW w:w="854" w:type="pct"/>
            <w:vAlign w:val="center"/>
          </w:tcPr>
          <w:p>
            <w:pPr>
              <w:pStyle w:val="96"/>
              <w:spacing w:line="580" w:lineRule="exact"/>
              <w:rPr>
                <w:sz w:val="24"/>
                <w:szCs w:val="24"/>
                <w:lang w:bidi="ar"/>
              </w:rPr>
            </w:pPr>
            <w:r>
              <w:rPr>
                <w:rFonts w:hint="eastAsia"/>
                <w:sz w:val="24"/>
                <w:szCs w:val="24"/>
                <w:lang w:bidi="ar"/>
              </w:rPr>
              <w:t>变压器、配电室</w:t>
            </w:r>
          </w:p>
        </w:tc>
        <w:tc>
          <w:tcPr>
            <w:tcW w:w="1880" w:type="pct"/>
            <w:vAlign w:val="center"/>
          </w:tcPr>
          <w:p>
            <w:pPr>
              <w:pStyle w:val="96"/>
              <w:spacing w:line="580" w:lineRule="exact"/>
              <w:jc w:val="left"/>
              <w:rPr>
                <w:sz w:val="24"/>
                <w:szCs w:val="24"/>
                <w:lang w:bidi="ar"/>
              </w:rPr>
            </w:pPr>
            <w:r>
              <w:rPr>
                <w:rFonts w:hint="eastAsia"/>
                <w:sz w:val="24"/>
                <w:szCs w:val="24"/>
                <w:lang w:bidi="ar"/>
              </w:rPr>
              <w:t>供电半径以不超过500m为宜。</w:t>
            </w:r>
          </w:p>
        </w:tc>
        <w:tc>
          <w:tcPr>
            <w:tcW w:w="1757" w:type="pct"/>
          </w:tcPr>
          <w:p>
            <w:pPr>
              <w:pStyle w:val="96"/>
              <w:spacing w:line="580" w:lineRule="exact"/>
              <w:rPr>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trPr>
        <w:tc>
          <w:tcPr>
            <w:tcW w:w="510" w:type="pct"/>
            <w:vMerge w:val="continue"/>
            <w:vAlign w:val="center"/>
          </w:tcPr>
          <w:p>
            <w:pPr>
              <w:pStyle w:val="96"/>
              <w:spacing w:line="580" w:lineRule="exact"/>
              <w:rPr>
                <w:sz w:val="24"/>
                <w:szCs w:val="24"/>
                <w:lang w:bidi="ar"/>
              </w:rPr>
            </w:pPr>
          </w:p>
        </w:tc>
        <w:tc>
          <w:tcPr>
            <w:tcW w:w="854" w:type="pct"/>
            <w:vAlign w:val="center"/>
          </w:tcPr>
          <w:p>
            <w:pPr>
              <w:pStyle w:val="96"/>
              <w:spacing w:line="580" w:lineRule="exact"/>
              <w:rPr>
                <w:sz w:val="24"/>
                <w:szCs w:val="24"/>
                <w:lang w:bidi="ar"/>
              </w:rPr>
            </w:pPr>
            <w:r>
              <w:rPr>
                <w:rFonts w:hint="eastAsia"/>
                <w:sz w:val="24"/>
                <w:szCs w:val="24"/>
                <w:lang w:bidi="ar"/>
              </w:rPr>
              <w:t>村庄排水</w:t>
            </w:r>
          </w:p>
        </w:tc>
        <w:tc>
          <w:tcPr>
            <w:tcW w:w="1880" w:type="pct"/>
            <w:vAlign w:val="center"/>
          </w:tcPr>
          <w:p>
            <w:pPr>
              <w:pStyle w:val="96"/>
              <w:spacing w:line="580" w:lineRule="exact"/>
              <w:jc w:val="left"/>
              <w:rPr>
                <w:sz w:val="24"/>
                <w:szCs w:val="24"/>
                <w:lang w:bidi="ar"/>
              </w:rPr>
            </w:pPr>
            <w:r>
              <w:rPr>
                <w:rFonts w:hint="eastAsia"/>
                <w:sz w:val="24"/>
                <w:szCs w:val="24"/>
                <w:lang w:bidi="ar"/>
              </w:rPr>
              <w:t>污水量按生活用水量的75%～90%计算。</w:t>
            </w:r>
          </w:p>
        </w:tc>
        <w:tc>
          <w:tcPr>
            <w:tcW w:w="1757" w:type="pct"/>
          </w:tcPr>
          <w:p>
            <w:pPr>
              <w:pStyle w:val="96"/>
              <w:spacing w:line="580" w:lineRule="exact"/>
              <w:jc w:val="left"/>
              <w:rPr>
                <w:sz w:val="24"/>
                <w:szCs w:val="24"/>
                <w:lang w:bidi="ar"/>
              </w:rPr>
            </w:pPr>
            <w:r>
              <w:rPr>
                <w:rFonts w:hint="eastAsia"/>
                <w:sz w:val="24"/>
                <w:szCs w:val="24"/>
                <w:lang w:bidi="ar"/>
              </w:rPr>
              <w:t>鼓励雨水采用自然下渗或排水明沟等方式收集，污水根据不同村庄实际，采用盖板渠、管网等方式进行收集。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trPr>
        <w:tc>
          <w:tcPr>
            <w:tcW w:w="510" w:type="pct"/>
            <w:vMerge w:val="continue"/>
            <w:vAlign w:val="center"/>
          </w:tcPr>
          <w:p>
            <w:pPr>
              <w:pStyle w:val="96"/>
              <w:spacing w:line="580" w:lineRule="exact"/>
              <w:rPr>
                <w:sz w:val="24"/>
                <w:szCs w:val="24"/>
                <w:lang w:bidi="ar"/>
              </w:rPr>
            </w:pPr>
          </w:p>
        </w:tc>
        <w:tc>
          <w:tcPr>
            <w:tcW w:w="854" w:type="pct"/>
            <w:vAlign w:val="center"/>
          </w:tcPr>
          <w:p>
            <w:pPr>
              <w:pStyle w:val="96"/>
              <w:spacing w:line="580" w:lineRule="exact"/>
              <w:rPr>
                <w:sz w:val="24"/>
                <w:szCs w:val="24"/>
                <w:lang w:bidi="ar"/>
              </w:rPr>
            </w:pPr>
            <w:r>
              <w:rPr>
                <w:rFonts w:hint="eastAsia"/>
                <w:sz w:val="24"/>
                <w:szCs w:val="24"/>
                <w:lang w:bidi="ar"/>
              </w:rPr>
              <w:t>水泵房</w:t>
            </w:r>
          </w:p>
        </w:tc>
        <w:tc>
          <w:tcPr>
            <w:tcW w:w="1880" w:type="pct"/>
            <w:vAlign w:val="center"/>
          </w:tcPr>
          <w:p>
            <w:pPr>
              <w:pStyle w:val="96"/>
              <w:spacing w:line="580" w:lineRule="exact"/>
              <w:jc w:val="left"/>
              <w:rPr>
                <w:sz w:val="24"/>
                <w:szCs w:val="24"/>
                <w:lang w:bidi="ar"/>
              </w:rPr>
            </w:pPr>
            <w:r>
              <w:rPr>
                <w:rFonts w:hint="eastAsia"/>
                <w:sz w:val="24"/>
                <w:szCs w:val="24"/>
                <w:lang w:bidi="ar"/>
              </w:rPr>
              <w:t>泵房的主要通道宽度不应小于1.2米。</w:t>
            </w:r>
          </w:p>
        </w:tc>
        <w:tc>
          <w:tcPr>
            <w:tcW w:w="1757" w:type="pct"/>
            <w:vAlign w:val="center"/>
          </w:tcPr>
          <w:p>
            <w:pPr>
              <w:pStyle w:val="96"/>
              <w:spacing w:line="580" w:lineRule="exact"/>
              <w:rPr>
                <w:sz w:val="24"/>
                <w:szCs w:val="24"/>
                <w:lang w:bidi="ar"/>
              </w:rPr>
            </w:pPr>
            <w:r>
              <w:rPr>
                <w:rFonts w:hint="eastAsia"/>
                <w:sz w:val="24"/>
                <w:szCs w:val="24"/>
                <w:lang w:bidi="ar"/>
              </w:rPr>
              <w:t>非集中供水村庄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510" w:type="pct"/>
            <w:vMerge w:val="restart"/>
            <w:vAlign w:val="center"/>
          </w:tcPr>
          <w:p>
            <w:pPr>
              <w:pStyle w:val="96"/>
              <w:spacing w:line="580" w:lineRule="exact"/>
              <w:rPr>
                <w:sz w:val="24"/>
                <w:szCs w:val="24"/>
                <w:lang w:bidi="ar"/>
              </w:rPr>
            </w:pPr>
            <w:r>
              <w:rPr>
                <w:rFonts w:hint="eastAsia"/>
                <w:sz w:val="24"/>
                <w:szCs w:val="24"/>
                <w:lang w:bidi="ar"/>
              </w:rPr>
              <w:t>环境卫生</w:t>
            </w:r>
          </w:p>
        </w:tc>
        <w:tc>
          <w:tcPr>
            <w:tcW w:w="854" w:type="pct"/>
            <w:vAlign w:val="center"/>
          </w:tcPr>
          <w:p>
            <w:pPr>
              <w:pStyle w:val="96"/>
              <w:spacing w:line="580" w:lineRule="exact"/>
              <w:rPr>
                <w:sz w:val="24"/>
                <w:szCs w:val="24"/>
                <w:lang w:bidi="ar"/>
              </w:rPr>
            </w:pPr>
            <w:r>
              <w:rPr>
                <w:rFonts w:hint="eastAsia"/>
                <w:sz w:val="24"/>
                <w:szCs w:val="24"/>
                <w:lang w:bidi="ar"/>
              </w:rPr>
              <w:t>垃圾筒</w:t>
            </w:r>
          </w:p>
        </w:tc>
        <w:tc>
          <w:tcPr>
            <w:tcW w:w="1880" w:type="pct"/>
            <w:vAlign w:val="center"/>
          </w:tcPr>
          <w:p>
            <w:pPr>
              <w:pStyle w:val="96"/>
              <w:spacing w:line="580" w:lineRule="exact"/>
              <w:rPr>
                <w:sz w:val="24"/>
                <w:szCs w:val="24"/>
                <w:lang w:bidi="ar"/>
              </w:rPr>
            </w:pPr>
            <w:r>
              <w:rPr>
                <w:rFonts w:hint="eastAsia"/>
                <w:sz w:val="24"/>
                <w:szCs w:val="24"/>
                <w:lang w:bidi="ar"/>
              </w:rPr>
              <w:t>服务半径一般不超过70m。</w:t>
            </w:r>
          </w:p>
        </w:tc>
        <w:tc>
          <w:tcPr>
            <w:tcW w:w="1757" w:type="pct"/>
            <w:vAlign w:val="center"/>
          </w:tcPr>
          <w:p>
            <w:pPr>
              <w:pStyle w:val="96"/>
              <w:spacing w:line="580" w:lineRule="exact"/>
              <w:rPr>
                <w:sz w:val="24"/>
                <w:szCs w:val="24"/>
                <w:lang w:bidi="ar"/>
              </w:rPr>
            </w:pPr>
            <w:r>
              <w:rPr>
                <w:rFonts w:hint="eastAsia"/>
                <w:sz w:val="24"/>
                <w:szCs w:val="24"/>
                <w:lang w:bidi="ar"/>
              </w:rPr>
              <w:t>五星支部村庄服务半径一般不超过50m。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510" w:type="pct"/>
            <w:vMerge w:val="continue"/>
            <w:vAlign w:val="center"/>
          </w:tcPr>
          <w:p>
            <w:pPr>
              <w:pStyle w:val="96"/>
              <w:spacing w:line="580" w:lineRule="exact"/>
              <w:rPr>
                <w:sz w:val="24"/>
                <w:szCs w:val="24"/>
                <w:lang w:bidi="ar"/>
              </w:rPr>
            </w:pPr>
          </w:p>
        </w:tc>
        <w:tc>
          <w:tcPr>
            <w:tcW w:w="854" w:type="pct"/>
            <w:vAlign w:val="center"/>
          </w:tcPr>
          <w:p>
            <w:pPr>
              <w:pStyle w:val="96"/>
              <w:spacing w:line="580" w:lineRule="exact"/>
              <w:rPr>
                <w:sz w:val="24"/>
                <w:szCs w:val="24"/>
                <w:lang w:bidi="ar"/>
              </w:rPr>
            </w:pPr>
            <w:r>
              <w:rPr>
                <w:rFonts w:hint="eastAsia"/>
                <w:sz w:val="24"/>
                <w:szCs w:val="24"/>
                <w:lang w:bidi="ar"/>
              </w:rPr>
              <w:t>公厕</w:t>
            </w:r>
          </w:p>
        </w:tc>
        <w:tc>
          <w:tcPr>
            <w:tcW w:w="1880" w:type="pct"/>
            <w:vAlign w:val="center"/>
          </w:tcPr>
          <w:p>
            <w:pPr>
              <w:pStyle w:val="96"/>
              <w:spacing w:line="580" w:lineRule="exact"/>
              <w:rPr>
                <w:sz w:val="24"/>
                <w:szCs w:val="24"/>
                <w:lang w:bidi="ar"/>
              </w:rPr>
            </w:pPr>
            <w:r>
              <w:rPr>
                <w:rFonts w:hint="eastAsia"/>
                <w:sz w:val="24"/>
                <w:szCs w:val="24"/>
                <w:lang w:bidi="ar"/>
              </w:rPr>
              <w:t>每村至少设置一个。</w:t>
            </w:r>
          </w:p>
        </w:tc>
        <w:tc>
          <w:tcPr>
            <w:tcW w:w="1757" w:type="pct"/>
            <w:vAlign w:val="center"/>
          </w:tcPr>
          <w:p>
            <w:pPr>
              <w:pStyle w:val="96"/>
              <w:spacing w:line="580" w:lineRule="exact"/>
              <w:jc w:val="left"/>
              <w:rPr>
                <w:sz w:val="24"/>
                <w:szCs w:val="24"/>
                <w:lang w:bidi="ar"/>
              </w:rPr>
            </w:pPr>
            <w:r>
              <w:rPr>
                <w:rFonts w:hint="eastAsia"/>
                <w:sz w:val="24"/>
                <w:szCs w:val="24"/>
                <w:lang w:bidi="ar"/>
              </w:rPr>
              <w:t>建筑面积不大于60平米。</w:t>
            </w:r>
          </w:p>
        </w:tc>
      </w:tr>
    </w:tbl>
    <w:p>
      <w:pPr>
        <w:ind w:firstLine="640"/>
        <w:rPr>
          <w:lang w:bidi="ar"/>
        </w:rPr>
      </w:pPr>
      <w:r>
        <w:rPr>
          <w:rFonts w:hint="eastAsia"/>
          <w:lang w:bidi="ar"/>
        </w:rPr>
        <w:t>4</w:t>
      </w:r>
      <w:r>
        <w:rPr>
          <w:lang w:bidi="ar"/>
        </w:rPr>
        <w:t>.</w:t>
      </w:r>
      <w:r>
        <w:rPr>
          <w:rFonts w:hint="eastAsia"/>
          <w:lang w:bidi="ar"/>
        </w:rPr>
        <w:t>村庄公共服务设施</w:t>
      </w:r>
    </w:p>
    <w:p>
      <w:pPr>
        <w:ind w:firstLine="640"/>
        <w:rPr>
          <w:lang w:bidi="ar"/>
        </w:rPr>
      </w:pPr>
      <w:r>
        <w:rPr>
          <w:rFonts w:hint="eastAsia"/>
          <w:lang w:bidi="ar"/>
        </w:rPr>
        <w:t>公共服务设施应根据村庄分类、当地村民的生产生活习惯和地域乡土风貌特色设置。可参照下表设置。</w:t>
      </w:r>
    </w:p>
    <w:tbl>
      <w:tblPr>
        <w:tblStyle w:val="31"/>
        <w:tblW w:w="84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3"/>
        <w:gridCol w:w="1983"/>
        <w:gridCol w:w="1558"/>
        <w:gridCol w:w="1417"/>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99" w:type="dxa"/>
            <w:gridSpan w:val="5"/>
            <w:vAlign w:val="center"/>
          </w:tcPr>
          <w:p>
            <w:pPr>
              <w:pStyle w:val="98"/>
              <w:rPr>
                <w:lang w:bidi="ar"/>
              </w:rPr>
            </w:pPr>
            <w:r>
              <w:rPr>
                <w:rFonts w:hint="eastAsia"/>
                <w:lang w:bidi="ar"/>
              </w:rPr>
              <w:t>专栏14</w:t>
            </w:r>
            <w:r>
              <w:rPr>
                <w:lang w:bidi="ar"/>
              </w:rPr>
              <w:t>-8</w:t>
            </w:r>
            <w:r>
              <w:rPr>
                <w:rFonts w:hint="eastAsia"/>
                <w:lang w:bidi="ar"/>
              </w:rPr>
              <w:t>：村庄公共服务设施分类及项目基本配置表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spacing w:line="580" w:lineRule="exact"/>
              <w:rPr>
                <w:sz w:val="24"/>
                <w:szCs w:val="24"/>
                <w:lang w:bidi="ar"/>
              </w:rPr>
            </w:pPr>
            <w:r>
              <w:rPr>
                <w:rFonts w:hint="eastAsia"/>
                <w:sz w:val="24"/>
                <w:szCs w:val="24"/>
                <w:lang w:bidi="ar"/>
              </w:rPr>
              <w:t>类别</w:t>
            </w:r>
          </w:p>
        </w:tc>
        <w:tc>
          <w:tcPr>
            <w:tcW w:w="1983" w:type="dxa"/>
            <w:vMerge w:val="restart"/>
            <w:vAlign w:val="center"/>
          </w:tcPr>
          <w:p>
            <w:pPr>
              <w:pStyle w:val="96"/>
              <w:spacing w:line="580" w:lineRule="exact"/>
              <w:rPr>
                <w:sz w:val="24"/>
                <w:szCs w:val="24"/>
                <w:lang w:bidi="ar"/>
              </w:rPr>
            </w:pPr>
            <w:r>
              <w:rPr>
                <w:rFonts w:hint="eastAsia"/>
                <w:sz w:val="24"/>
                <w:szCs w:val="24"/>
                <w:lang w:bidi="ar"/>
              </w:rPr>
              <w:t>项目</w:t>
            </w:r>
          </w:p>
        </w:tc>
        <w:tc>
          <w:tcPr>
            <w:tcW w:w="4393" w:type="dxa"/>
            <w:gridSpan w:val="3"/>
          </w:tcPr>
          <w:p>
            <w:pPr>
              <w:pStyle w:val="96"/>
              <w:spacing w:line="580" w:lineRule="exact"/>
              <w:rPr>
                <w:sz w:val="24"/>
                <w:szCs w:val="24"/>
                <w:lang w:bidi="ar"/>
              </w:rPr>
            </w:pPr>
            <w:r>
              <w:rPr>
                <w:rFonts w:hint="eastAsia"/>
                <w:sz w:val="24"/>
                <w:szCs w:val="24"/>
                <w:lang w:bidi="ar"/>
              </w:rPr>
              <w:t>公共设施项目配置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tcPr>
          <w:p>
            <w:pPr>
              <w:pStyle w:val="96"/>
              <w:spacing w:line="580" w:lineRule="exact"/>
              <w:rPr>
                <w:sz w:val="24"/>
                <w:szCs w:val="24"/>
                <w:lang w:bidi="ar"/>
              </w:rPr>
            </w:pPr>
          </w:p>
        </w:tc>
        <w:tc>
          <w:tcPr>
            <w:tcW w:w="1983" w:type="dxa"/>
            <w:vMerge w:val="continue"/>
          </w:tcPr>
          <w:p>
            <w:pPr>
              <w:pStyle w:val="96"/>
              <w:spacing w:line="580" w:lineRule="exact"/>
              <w:rPr>
                <w:sz w:val="24"/>
                <w:szCs w:val="24"/>
                <w:lang w:bidi="ar"/>
              </w:rPr>
            </w:pPr>
          </w:p>
        </w:tc>
        <w:tc>
          <w:tcPr>
            <w:tcW w:w="1558" w:type="dxa"/>
          </w:tcPr>
          <w:p>
            <w:pPr>
              <w:pStyle w:val="96"/>
              <w:spacing w:line="580" w:lineRule="exact"/>
              <w:rPr>
                <w:sz w:val="24"/>
                <w:szCs w:val="24"/>
                <w:lang w:bidi="ar"/>
              </w:rPr>
            </w:pPr>
            <w:r>
              <w:rPr>
                <w:rFonts w:hint="eastAsia"/>
                <w:sz w:val="24"/>
                <w:szCs w:val="24"/>
                <w:lang w:bidi="ar"/>
              </w:rPr>
              <w:t>集聚提升类</w:t>
            </w:r>
          </w:p>
        </w:tc>
        <w:tc>
          <w:tcPr>
            <w:tcW w:w="1417" w:type="dxa"/>
          </w:tcPr>
          <w:p>
            <w:pPr>
              <w:pStyle w:val="96"/>
              <w:spacing w:line="580" w:lineRule="exact"/>
              <w:rPr>
                <w:sz w:val="24"/>
                <w:szCs w:val="24"/>
                <w:lang w:bidi="ar"/>
              </w:rPr>
            </w:pPr>
            <w:r>
              <w:rPr>
                <w:rFonts w:hint="eastAsia"/>
                <w:sz w:val="24"/>
                <w:szCs w:val="24"/>
                <w:lang w:bidi="ar"/>
              </w:rPr>
              <w:t>特色保护类</w:t>
            </w:r>
          </w:p>
        </w:tc>
        <w:tc>
          <w:tcPr>
            <w:tcW w:w="1418" w:type="dxa"/>
          </w:tcPr>
          <w:p>
            <w:pPr>
              <w:pStyle w:val="96"/>
              <w:spacing w:line="580" w:lineRule="exact"/>
              <w:rPr>
                <w:sz w:val="24"/>
                <w:szCs w:val="24"/>
                <w:lang w:bidi="ar"/>
              </w:rPr>
            </w:pPr>
            <w:r>
              <w:rPr>
                <w:rFonts w:hint="eastAsia"/>
                <w:sz w:val="24"/>
                <w:szCs w:val="24"/>
                <w:lang w:bidi="ar"/>
              </w:rPr>
              <w:t>整治改善类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spacing w:line="580" w:lineRule="exact"/>
              <w:rPr>
                <w:sz w:val="24"/>
                <w:szCs w:val="24"/>
                <w:lang w:bidi="ar"/>
              </w:rPr>
            </w:pPr>
            <w:r>
              <w:rPr>
                <w:rFonts w:hint="eastAsia"/>
                <w:sz w:val="24"/>
                <w:szCs w:val="24"/>
                <w:lang w:bidi="ar"/>
              </w:rPr>
              <w:t>行政管理</w:t>
            </w:r>
          </w:p>
        </w:tc>
        <w:tc>
          <w:tcPr>
            <w:tcW w:w="1983" w:type="dxa"/>
            <w:vAlign w:val="center"/>
          </w:tcPr>
          <w:p>
            <w:pPr>
              <w:pStyle w:val="96"/>
              <w:spacing w:line="580" w:lineRule="exact"/>
              <w:rPr>
                <w:sz w:val="24"/>
                <w:szCs w:val="24"/>
                <w:lang w:bidi="ar"/>
              </w:rPr>
            </w:pPr>
            <w:r>
              <w:rPr>
                <w:rFonts w:hint="eastAsia"/>
                <w:sz w:val="24"/>
                <w:szCs w:val="24"/>
                <w:lang w:bidi="ar"/>
              </w:rPr>
              <w:t>村委会</w:t>
            </w:r>
          </w:p>
        </w:tc>
        <w:tc>
          <w:tcPr>
            <w:tcW w:w="1558" w:type="dxa"/>
            <w:vAlign w:val="center"/>
          </w:tcPr>
          <w:p>
            <w:pPr>
              <w:pStyle w:val="96"/>
              <w:spacing w:line="580" w:lineRule="exact"/>
              <w:rPr>
                <w:sz w:val="24"/>
                <w:szCs w:val="24"/>
                <w:lang w:bidi="ar"/>
              </w:rPr>
            </w:pPr>
            <w:r>
              <w:rPr>
                <w:rFonts w:hint="eastAsia"/>
                <w:sz w:val="24"/>
                <w:szCs w:val="24"/>
                <w:lang w:bidi="ar"/>
              </w:rPr>
              <w:t>●</w:t>
            </w:r>
          </w:p>
        </w:tc>
        <w:tc>
          <w:tcPr>
            <w:tcW w:w="1417" w:type="dxa"/>
            <w:vAlign w:val="center"/>
          </w:tcPr>
          <w:p>
            <w:pPr>
              <w:pStyle w:val="96"/>
              <w:spacing w:line="580" w:lineRule="exact"/>
              <w:rPr>
                <w:sz w:val="24"/>
                <w:szCs w:val="24"/>
                <w:lang w:bidi="ar"/>
              </w:rPr>
            </w:pPr>
            <w:r>
              <w:rPr>
                <w:rFonts w:hint="eastAsia"/>
                <w:sz w:val="24"/>
                <w:szCs w:val="24"/>
                <w:lang w:bidi="ar"/>
              </w:rPr>
              <w:t>●</w:t>
            </w:r>
          </w:p>
        </w:tc>
        <w:tc>
          <w:tcPr>
            <w:tcW w:w="1418" w:type="dxa"/>
            <w:vAlign w:val="center"/>
          </w:tcPr>
          <w:p>
            <w:pPr>
              <w:pStyle w:val="96"/>
              <w:spacing w:line="580" w:lineRule="exact"/>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spacing w:line="580" w:lineRule="exact"/>
              <w:rPr>
                <w:sz w:val="24"/>
                <w:szCs w:val="24"/>
                <w:lang w:bidi="ar"/>
              </w:rPr>
            </w:pPr>
            <w:r>
              <w:rPr>
                <w:rFonts w:hint="eastAsia"/>
                <w:sz w:val="24"/>
                <w:szCs w:val="24"/>
                <w:lang w:bidi="ar"/>
              </w:rPr>
              <w:t>教育机构</w:t>
            </w:r>
          </w:p>
        </w:tc>
        <w:tc>
          <w:tcPr>
            <w:tcW w:w="1983" w:type="dxa"/>
            <w:vAlign w:val="center"/>
          </w:tcPr>
          <w:p>
            <w:pPr>
              <w:pStyle w:val="96"/>
              <w:spacing w:line="580" w:lineRule="exact"/>
              <w:rPr>
                <w:sz w:val="24"/>
                <w:szCs w:val="24"/>
                <w:lang w:bidi="ar"/>
              </w:rPr>
            </w:pPr>
            <w:r>
              <w:rPr>
                <w:rFonts w:hint="eastAsia"/>
                <w:sz w:val="24"/>
                <w:szCs w:val="24"/>
                <w:lang w:bidi="ar"/>
              </w:rPr>
              <w:t>小学</w:t>
            </w:r>
          </w:p>
        </w:tc>
        <w:tc>
          <w:tcPr>
            <w:tcW w:w="1558" w:type="dxa"/>
            <w:vAlign w:val="center"/>
          </w:tcPr>
          <w:p>
            <w:pPr>
              <w:pStyle w:val="96"/>
              <w:spacing w:line="580" w:lineRule="exact"/>
              <w:rPr>
                <w:sz w:val="24"/>
                <w:szCs w:val="24"/>
                <w:lang w:bidi="ar"/>
              </w:rPr>
            </w:pPr>
            <w:r>
              <w:rPr>
                <w:rFonts w:hint="eastAsia"/>
                <w:sz w:val="24"/>
                <w:szCs w:val="24"/>
                <w:lang w:bidi="ar"/>
              </w:rPr>
              <w:t>○</w:t>
            </w:r>
          </w:p>
        </w:tc>
        <w:tc>
          <w:tcPr>
            <w:tcW w:w="1417" w:type="dxa"/>
            <w:vAlign w:val="center"/>
          </w:tcPr>
          <w:p>
            <w:pPr>
              <w:pStyle w:val="96"/>
              <w:spacing w:line="580" w:lineRule="exact"/>
              <w:rPr>
                <w:sz w:val="24"/>
                <w:szCs w:val="24"/>
                <w:lang w:bidi="ar"/>
              </w:rPr>
            </w:pPr>
            <w:r>
              <w:rPr>
                <w:rFonts w:hint="eastAsia"/>
                <w:sz w:val="24"/>
                <w:szCs w:val="24"/>
                <w:lang w:bidi="ar"/>
              </w:rPr>
              <w:t>○</w:t>
            </w:r>
          </w:p>
        </w:tc>
        <w:tc>
          <w:tcPr>
            <w:tcW w:w="1418" w:type="dxa"/>
            <w:vAlign w:val="center"/>
          </w:tcPr>
          <w:p>
            <w:pPr>
              <w:pStyle w:val="96"/>
              <w:spacing w:line="580" w:lineRule="exact"/>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spacing w:line="580" w:lineRule="exact"/>
              <w:rPr>
                <w:sz w:val="24"/>
                <w:szCs w:val="24"/>
                <w:lang w:bidi="ar"/>
              </w:rPr>
            </w:pPr>
          </w:p>
        </w:tc>
        <w:tc>
          <w:tcPr>
            <w:tcW w:w="1983" w:type="dxa"/>
            <w:vAlign w:val="center"/>
          </w:tcPr>
          <w:p>
            <w:pPr>
              <w:pStyle w:val="96"/>
              <w:spacing w:line="580" w:lineRule="exact"/>
              <w:rPr>
                <w:sz w:val="24"/>
                <w:szCs w:val="24"/>
                <w:lang w:bidi="ar"/>
              </w:rPr>
            </w:pPr>
            <w:r>
              <w:rPr>
                <w:rFonts w:hint="eastAsia"/>
                <w:sz w:val="24"/>
                <w:szCs w:val="24"/>
                <w:lang w:bidi="ar"/>
              </w:rPr>
              <w:t>幼儿园</w:t>
            </w:r>
          </w:p>
        </w:tc>
        <w:tc>
          <w:tcPr>
            <w:tcW w:w="1558" w:type="dxa"/>
            <w:vAlign w:val="center"/>
          </w:tcPr>
          <w:p>
            <w:pPr>
              <w:pStyle w:val="96"/>
              <w:spacing w:line="580" w:lineRule="exact"/>
              <w:rPr>
                <w:sz w:val="24"/>
                <w:szCs w:val="24"/>
                <w:lang w:bidi="ar"/>
              </w:rPr>
            </w:pPr>
            <w:r>
              <w:rPr>
                <w:rFonts w:hint="eastAsia"/>
                <w:sz w:val="24"/>
                <w:szCs w:val="24"/>
                <w:lang w:bidi="ar"/>
              </w:rPr>
              <w:t>○</w:t>
            </w:r>
          </w:p>
        </w:tc>
        <w:tc>
          <w:tcPr>
            <w:tcW w:w="1417" w:type="dxa"/>
            <w:vAlign w:val="center"/>
          </w:tcPr>
          <w:p>
            <w:pPr>
              <w:pStyle w:val="96"/>
              <w:spacing w:line="580" w:lineRule="exact"/>
              <w:rPr>
                <w:sz w:val="24"/>
                <w:szCs w:val="24"/>
                <w:lang w:bidi="ar"/>
              </w:rPr>
            </w:pPr>
            <w:r>
              <w:rPr>
                <w:rFonts w:hint="eastAsia"/>
                <w:sz w:val="24"/>
                <w:szCs w:val="24"/>
                <w:lang w:bidi="ar"/>
              </w:rPr>
              <w:t>○</w:t>
            </w:r>
          </w:p>
        </w:tc>
        <w:tc>
          <w:tcPr>
            <w:tcW w:w="1418" w:type="dxa"/>
            <w:vAlign w:val="center"/>
          </w:tcPr>
          <w:p>
            <w:pPr>
              <w:pStyle w:val="96"/>
              <w:spacing w:line="580" w:lineRule="exact"/>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spacing w:line="580" w:lineRule="exact"/>
              <w:rPr>
                <w:sz w:val="24"/>
                <w:szCs w:val="24"/>
                <w:lang w:bidi="ar"/>
              </w:rPr>
            </w:pPr>
          </w:p>
        </w:tc>
        <w:tc>
          <w:tcPr>
            <w:tcW w:w="1983" w:type="dxa"/>
            <w:vAlign w:val="center"/>
          </w:tcPr>
          <w:p>
            <w:pPr>
              <w:pStyle w:val="96"/>
              <w:spacing w:line="580" w:lineRule="exact"/>
              <w:rPr>
                <w:sz w:val="24"/>
                <w:szCs w:val="24"/>
                <w:lang w:bidi="ar"/>
              </w:rPr>
            </w:pPr>
            <w:r>
              <w:rPr>
                <w:rFonts w:hint="eastAsia"/>
                <w:sz w:val="24"/>
                <w:szCs w:val="24"/>
                <w:lang w:bidi="ar"/>
              </w:rPr>
              <w:t>托儿所</w:t>
            </w:r>
          </w:p>
        </w:tc>
        <w:tc>
          <w:tcPr>
            <w:tcW w:w="1558" w:type="dxa"/>
            <w:vAlign w:val="center"/>
          </w:tcPr>
          <w:p>
            <w:pPr>
              <w:pStyle w:val="96"/>
              <w:spacing w:line="580" w:lineRule="exact"/>
              <w:rPr>
                <w:sz w:val="24"/>
                <w:szCs w:val="24"/>
                <w:lang w:bidi="ar"/>
              </w:rPr>
            </w:pPr>
            <w:r>
              <w:rPr>
                <w:rFonts w:hint="eastAsia"/>
                <w:sz w:val="24"/>
                <w:szCs w:val="24"/>
                <w:lang w:bidi="ar"/>
              </w:rPr>
              <w:t>○</w:t>
            </w:r>
          </w:p>
        </w:tc>
        <w:tc>
          <w:tcPr>
            <w:tcW w:w="1417" w:type="dxa"/>
            <w:vAlign w:val="center"/>
          </w:tcPr>
          <w:p>
            <w:pPr>
              <w:pStyle w:val="96"/>
              <w:spacing w:line="580" w:lineRule="exact"/>
              <w:rPr>
                <w:sz w:val="24"/>
                <w:szCs w:val="24"/>
                <w:lang w:bidi="ar"/>
              </w:rPr>
            </w:pPr>
            <w:r>
              <w:rPr>
                <w:rFonts w:hint="eastAsia"/>
                <w:sz w:val="24"/>
                <w:szCs w:val="24"/>
                <w:lang w:bidi="ar"/>
              </w:rPr>
              <w:t>○</w:t>
            </w:r>
          </w:p>
        </w:tc>
        <w:tc>
          <w:tcPr>
            <w:tcW w:w="1418" w:type="dxa"/>
            <w:vAlign w:val="center"/>
          </w:tcPr>
          <w:p>
            <w:pPr>
              <w:pStyle w:val="96"/>
              <w:spacing w:line="580" w:lineRule="exact"/>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spacing w:line="580" w:lineRule="exact"/>
              <w:rPr>
                <w:sz w:val="24"/>
                <w:szCs w:val="24"/>
                <w:lang w:bidi="ar"/>
              </w:rPr>
            </w:pPr>
            <w:r>
              <w:rPr>
                <w:rFonts w:hint="eastAsia"/>
                <w:sz w:val="24"/>
                <w:szCs w:val="24"/>
                <w:lang w:bidi="ar"/>
              </w:rPr>
              <w:t>文化科技</w:t>
            </w:r>
          </w:p>
        </w:tc>
        <w:tc>
          <w:tcPr>
            <w:tcW w:w="1983" w:type="dxa"/>
            <w:vAlign w:val="center"/>
          </w:tcPr>
          <w:p>
            <w:pPr>
              <w:pStyle w:val="96"/>
              <w:spacing w:line="580" w:lineRule="exact"/>
              <w:rPr>
                <w:sz w:val="24"/>
                <w:szCs w:val="24"/>
                <w:lang w:bidi="ar"/>
              </w:rPr>
            </w:pPr>
            <w:r>
              <w:rPr>
                <w:rFonts w:hint="eastAsia"/>
                <w:sz w:val="24"/>
                <w:szCs w:val="24"/>
                <w:lang w:bidi="ar"/>
              </w:rPr>
              <w:t>文化大院</w:t>
            </w:r>
          </w:p>
        </w:tc>
        <w:tc>
          <w:tcPr>
            <w:tcW w:w="1558" w:type="dxa"/>
            <w:vAlign w:val="center"/>
          </w:tcPr>
          <w:p>
            <w:pPr>
              <w:pStyle w:val="96"/>
              <w:spacing w:line="580" w:lineRule="exact"/>
              <w:rPr>
                <w:sz w:val="24"/>
                <w:szCs w:val="24"/>
                <w:lang w:bidi="ar"/>
              </w:rPr>
            </w:pPr>
            <w:r>
              <w:rPr>
                <w:rFonts w:hint="eastAsia"/>
                <w:sz w:val="24"/>
                <w:szCs w:val="24"/>
                <w:lang w:bidi="ar"/>
              </w:rPr>
              <w:t>●</w:t>
            </w:r>
          </w:p>
        </w:tc>
        <w:tc>
          <w:tcPr>
            <w:tcW w:w="1417" w:type="dxa"/>
            <w:vAlign w:val="center"/>
          </w:tcPr>
          <w:p>
            <w:pPr>
              <w:pStyle w:val="96"/>
              <w:spacing w:line="580" w:lineRule="exact"/>
              <w:rPr>
                <w:sz w:val="24"/>
                <w:szCs w:val="24"/>
                <w:lang w:bidi="ar"/>
              </w:rPr>
            </w:pPr>
            <w:r>
              <w:rPr>
                <w:rFonts w:hint="eastAsia"/>
                <w:sz w:val="24"/>
                <w:szCs w:val="24"/>
                <w:lang w:bidi="ar"/>
              </w:rPr>
              <w:t>●</w:t>
            </w:r>
          </w:p>
        </w:tc>
        <w:tc>
          <w:tcPr>
            <w:tcW w:w="1418" w:type="dxa"/>
            <w:vAlign w:val="center"/>
          </w:tcPr>
          <w:p>
            <w:pPr>
              <w:pStyle w:val="96"/>
              <w:spacing w:line="580" w:lineRule="exact"/>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spacing w:line="580" w:lineRule="exact"/>
              <w:rPr>
                <w:sz w:val="24"/>
                <w:szCs w:val="24"/>
                <w:lang w:bidi="ar"/>
              </w:rPr>
            </w:pPr>
            <w:r>
              <w:rPr>
                <w:rFonts w:hint="eastAsia"/>
                <w:sz w:val="24"/>
                <w:szCs w:val="24"/>
                <w:lang w:bidi="ar"/>
              </w:rPr>
              <w:t>体育设施</w:t>
            </w:r>
          </w:p>
        </w:tc>
        <w:tc>
          <w:tcPr>
            <w:tcW w:w="1983" w:type="dxa"/>
            <w:vAlign w:val="center"/>
          </w:tcPr>
          <w:p>
            <w:pPr>
              <w:pStyle w:val="96"/>
              <w:spacing w:line="580" w:lineRule="exact"/>
              <w:rPr>
                <w:sz w:val="24"/>
                <w:szCs w:val="24"/>
                <w:lang w:bidi="ar"/>
              </w:rPr>
            </w:pPr>
            <w:r>
              <w:rPr>
                <w:rFonts w:hint="eastAsia"/>
                <w:sz w:val="24"/>
                <w:szCs w:val="24"/>
                <w:lang w:bidi="ar"/>
              </w:rPr>
              <w:t>休闲运动广场</w:t>
            </w:r>
          </w:p>
        </w:tc>
        <w:tc>
          <w:tcPr>
            <w:tcW w:w="1558" w:type="dxa"/>
            <w:vAlign w:val="center"/>
          </w:tcPr>
          <w:p>
            <w:pPr>
              <w:pStyle w:val="96"/>
              <w:spacing w:line="580" w:lineRule="exact"/>
              <w:rPr>
                <w:sz w:val="24"/>
                <w:szCs w:val="24"/>
                <w:lang w:bidi="ar"/>
              </w:rPr>
            </w:pPr>
            <w:r>
              <w:rPr>
                <w:rFonts w:hint="eastAsia"/>
                <w:sz w:val="24"/>
                <w:szCs w:val="24"/>
                <w:lang w:bidi="ar"/>
              </w:rPr>
              <w:t>●</w:t>
            </w:r>
          </w:p>
        </w:tc>
        <w:tc>
          <w:tcPr>
            <w:tcW w:w="1417" w:type="dxa"/>
            <w:vAlign w:val="center"/>
          </w:tcPr>
          <w:p>
            <w:pPr>
              <w:pStyle w:val="96"/>
              <w:spacing w:line="580" w:lineRule="exact"/>
              <w:rPr>
                <w:sz w:val="24"/>
                <w:szCs w:val="24"/>
                <w:lang w:bidi="ar"/>
              </w:rPr>
            </w:pPr>
            <w:r>
              <w:rPr>
                <w:rFonts w:hint="eastAsia"/>
                <w:sz w:val="24"/>
                <w:szCs w:val="24"/>
                <w:lang w:bidi="ar"/>
              </w:rPr>
              <w:t>●</w:t>
            </w:r>
          </w:p>
        </w:tc>
        <w:tc>
          <w:tcPr>
            <w:tcW w:w="1418" w:type="dxa"/>
            <w:vAlign w:val="center"/>
          </w:tcPr>
          <w:p>
            <w:pPr>
              <w:pStyle w:val="96"/>
              <w:spacing w:line="580" w:lineRule="exact"/>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spacing w:line="580" w:lineRule="exact"/>
              <w:rPr>
                <w:sz w:val="24"/>
                <w:szCs w:val="24"/>
                <w:lang w:bidi="ar"/>
              </w:rPr>
            </w:pPr>
            <w:r>
              <w:rPr>
                <w:rFonts w:hint="eastAsia"/>
                <w:sz w:val="24"/>
                <w:szCs w:val="24"/>
                <w:lang w:bidi="ar"/>
              </w:rPr>
              <w:t>医疗设施</w:t>
            </w:r>
          </w:p>
        </w:tc>
        <w:tc>
          <w:tcPr>
            <w:tcW w:w="1983" w:type="dxa"/>
            <w:vAlign w:val="center"/>
          </w:tcPr>
          <w:p>
            <w:pPr>
              <w:pStyle w:val="96"/>
              <w:spacing w:line="580" w:lineRule="exact"/>
              <w:rPr>
                <w:sz w:val="24"/>
                <w:szCs w:val="24"/>
                <w:lang w:bidi="ar"/>
              </w:rPr>
            </w:pPr>
            <w:r>
              <w:rPr>
                <w:rFonts w:hint="eastAsia"/>
                <w:sz w:val="24"/>
                <w:szCs w:val="24"/>
                <w:lang w:bidi="ar"/>
              </w:rPr>
              <w:t>村卫生室</w:t>
            </w:r>
          </w:p>
        </w:tc>
        <w:tc>
          <w:tcPr>
            <w:tcW w:w="1558" w:type="dxa"/>
            <w:vAlign w:val="center"/>
          </w:tcPr>
          <w:p>
            <w:pPr>
              <w:pStyle w:val="96"/>
              <w:spacing w:line="580" w:lineRule="exact"/>
              <w:rPr>
                <w:sz w:val="24"/>
                <w:szCs w:val="24"/>
                <w:lang w:bidi="ar"/>
              </w:rPr>
            </w:pPr>
            <w:r>
              <w:rPr>
                <w:rFonts w:hint="eastAsia"/>
                <w:sz w:val="24"/>
                <w:szCs w:val="24"/>
                <w:lang w:bidi="ar"/>
              </w:rPr>
              <w:t>●</w:t>
            </w:r>
          </w:p>
        </w:tc>
        <w:tc>
          <w:tcPr>
            <w:tcW w:w="1417" w:type="dxa"/>
            <w:vAlign w:val="center"/>
          </w:tcPr>
          <w:p>
            <w:pPr>
              <w:pStyle w:val="96"/>
              <w:spacing w:line="580" w:lineRule="exact"/>
              <w:rPr>
                <w:sz w:val="24"/>
                <w:szCs w:val="24"/>
                <w:lang w:bidi="ar"/>
              </w:rPr>
            </w:pPr>
            <w:r>
              <w:rPr>
                <w:rFonts w:hint="eastAsia"/>
                <w:sz w:val="24"/>
                <w:szCs w:val="24"/>
                <w:lang w:bidi="ar"/>
              </w:rPr>
              <w:t>●</w:t>
            </w:r>
          </w:p>
        </w:tc>
        <w:tc>
          <w:tcPr>
            <w:tcW w:w="1418" w:type="dxa"/>
            <w:vAlign w:val="center"/>
          </w:tcPr>
          <w:p>
            <w:pPr>
              <w:pStyle w:val="96"/>
              <w:spacing w:line="580" w:lineRule="exact"/>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spacing w:line="580" w:lineRule="exact"/>
              <w:rPr>
                <w:sz w:val="24"/>
                <w:szCs w:val="24"/>
                <w:lang w:bidi="ar"/>
              </w:rPr>
            </w:pPr>
            <w:r>
              <w:rPr>
                <w:rFonts w:hint="eastAsia"/>
                <w:sz w:val="24"/>
                <w:szCs w:val="24"/>
                <w:lang w:bidi="ar"/>
              </w:rPr>
              <w:t>社会保障</w:t>
            </w:r>
          </w:p>
        </w:tc>
        <w:tc>
          <w:tcPr>
            <w:tcW w:w="1983" w:type="dxa"/>
            <w:vAlign w:val="center"/>
          </w:tcPr>
          <w:p>
            <w:pPr>
              <w:pStyle w:val="96"/>
              <w:spacing w:line="580" w:lineRule="exact"/>
              <w:rPr>
                <w:sz w:val="24"/>
                <w:szCs w:val="24"/>
                <w:lang w:bidi="ar"/>
              </w:rPr>
            </w:pPr>
            <w:r>
              <w:rPr>
                <w:rFonts w:hint="eastAsia"/>
                <w:sz w:val="24"/>
                <w:szCs w:val="24"/>
                <w:lang w:bidi="ar"/>
              </w:rPr>
              <w:t>日间照料中心</w:t>
            </w:r>
          </w:p>
        </w:tc>
        <w:tc>
          <w:tcPr>
            <w:tcW w:w="1558" w:type="dxa"/>
            <w:vAlign w:val="center"/>
          </w:tcPr>
          <w:p>
            <w:pPr>
              <w:pStyle w:val="96"/>
              <w:spacing w:line="580" w:lineRule="exact"/>
              <w:rPr>
                <w:sz w:val="24"/>
                <w:szCs w:val="24"/>
                <w:lang w:bidi="ar"/>
              </w:rPr>
            </w:pPr>
            <w:r>
              <w:rPr>
                <w:rFonts w:hint="eastAsia"/>
                <w:sz w:val="24"/>
                <w:szCs w:val="24"/>
                <w:lang w:bidi="ar"/>
              </w:rPr>
              <w:t>○</w:t>
            </w:r>
          </w:p>
        </w:tc>
        <w:tc>
          <w:tcPr>
            <w:tcW w:w="1417" w:type="dxa"/>
            <w:vAlign w:val="center"/>
          </w:tcPr>
          <w:p>
            <w:pPr>
              <w:pStyle w:val="96"/>
              <w:spacing w:line="580" w:lineRule="exact"/>
              <w:rPr>
                <w:sz w:val="24"/>
                <w:szCs w:val="24"/>
                <w:lang w:bidi="ar"/>
              </w:rPr>
            </w:pPr>
            <w:r>
              <w:rPr>
                <w:rFonts w:hint="eastAsia"/>
                <w:sz w:val="24"/>
                <w:szCs w:val="24"/>
                <w:lang w:bidi="ar"/>
              </w:rPr>
              <w:t>○</w:t>
            </w:r>
          </w:p>
        </w:tc>
        <w:tc>
          <w:tcPr>
            <w:tcW w:w="1418" w:type="dxa"/>
            <w:vAlign w:val="center"/>
          </w:tcPr>
          <w:p>
            <w:pPr>
              <w:pStyle w:val="96"/>
              <w:spacing w:line="580" w:lineRule="exact"/>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spacing w:line="580" w:lineRule="exact"/>
              <w:rPr>
                <w:sz w:val="24"/>
                <w:szCs w:val="24"/>
                <w:lang w:bidi="ar"/>
              </w:rPr>
            </w:pPr>
            <w:r>
              <w:rPr>
                <w:rFonts w:hint="eastAsia"/>
                <w:sz w:val="24"/>
                <w:szCs w:val="24"/>
                <w:lang w:bidi="ar"/>
              </w:rPr>
              <w:t>商业服务</w:t>
            </w:r>
          </w:p>
        </w:tc>
        <w:tc>
          <w:tcPr>
            <w:tcW w:w="1983" w:type="dxa"/>
            <w:vAlign w:val="center"/>
          </w:tcPr>
          <w:p>
            <w:pPr>
              <w:pStyle w:val="96"/>
              <w:spacing w:line="580" w:lineRule="exact"/>
              <w:rPr>
                <w:sz w:val="24"/>
                <w:szCs w:val="24"/>
                <w:lang w:bidi="ar"/>
              </w:rPr>
            </w:pPr>
            <w:r>
              <w:rPr>
                <w:rFonts w:hint="eastAsia"/>
                <w:sz w:val="24"/>
                <w:szCs w:val="24"/>
                <w:lang w:bidi="ar"/>
              </w:rPr>
              <w:t>小卖部</w:t>
            </w:r>
          </w:p>
        </w:tc>
        <w:tc>
          <w:tcPr>
            <w:tcW w:w="1558" w:type="dxa"/>
            <w:vAlign w:val="center"/>
          </w:tcPr>
          <w:p>
            <w:pPr>
              <w:pStyle w:val="96"/>
              <w:spacing w:line="580" w:lineRule="exact"/>
              <w:rPr>
                <w:sz w:val="24"/>
                <w:szCs w:val="24"/>
                <w:lang w:bidi="ar"/>
              </w:rPr>
            </w:pPr>
            <w:r>
              <w:rPr>
                <w:rFonts w:hint="eastAsia"/>
                <w:sz w:val="24"/>
                <w:szCs w:val="24"/>
                <w:lang w:bidi="ar"/>
              </w:rPr>
              <w:t>○</w:t>
            </w:r>
          </w:p>
        </w:tc>
        <w:tc>
          <w:tcPr>
            <w:tcW w:w="1417" w:type="dxa"/>
            <w:vAlign w:val="center"/>
          </w:tcPr>
          <w:p>
            <w:pPr>
              <w:pStyle w:val="96"/>
              <w:spacing w:line="580" w:lineRule="exact"/>
              <w:rPr>
                <w:sz w:val="24"/>
                <w:szCs w:val="24"/>
                <w:lang w:bidi="ar"/>
              </w:rPr>
            </w:pPr>
            <w:r>
              <w:rPr>
                <w:rFonts w:hint="eastAsia"/>
                <w:sz w:val="24"/>
                <w:szCs w:val="24"/>
                <w:lang w:bidi="ar"/>
              </w:rPr>
              <w:t>○</w:t>
            </w:r>
          </w:p>
        </w:tc>
        <w:tc>
          <w:tcPr>
            <w:tcW w:w="1418" w:type="dxa"/>
            <w:vAlign w:val="center"/>
          </w:tcPr>
          <w:p>
            <w:pPr>
              <w:pStyle w:val="96"/>
              <w:spacing w:line="580" w:lineRule="exact"/>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spacing w:line="580" w:lineRule="exact"/>
              <w:rPr>
                <w:sz w:val="24"/>
                <w:szCs w:val="24"/>
                <w:lang w:bidi="ar"/>
              </w:rPr>
            </w:pPr>
          </w:p>
        </w:tc>
        <w:tc>
          <w:tcPr>
            <w:tcW w:w="1983" w:type="dxa"/>
            <w:vAlign w:val="center"/>
          </w:tcPr>
          <w:p>
            <w:pPr>
              <w:pStyle w:val="96"/>
              <w:spacing w:line="580" w:lineRule="exact"/>
              <w:rPr>
                <w:sz w:val="24"/>
                <w:szCs w:val="24"/>
                <w:lang w:bidi="ar"/>
              </w:rPr>
            </w:pPr>
            <w:r>
              <w:rPr>
                <w:rFonts w:hint="eastAsia"/>
                <w:sz w:val="24"/>
                <w:szCs w:val="24"/>
                <w:lang w:bidi="ar"/>
              </w:rPr>
              <w:t>小型超市</w:t>
            </w:r>
          </w:p>
        </w:tc>
        <w:tc>
          <w:tcPr>
            <w:tcW w:w="1558" w:type="dxa"/>
            <w:vAlign w:val="center"/>
          </w:tcPr>
          <w:p>
            <w:pPr>
              <w:pStyle w:val="96"/>
              <w:spacing w:line="580" w:lineRule="exact"/>
              <w:rPr>
                <w:sz w:val="24"/>
                <w:szCs w:val="24"/>
                <w:lang w:bidi="ar"/>
              </w:rPr>
            </w:pPr>
            <w:r>
              <w:rPr>
                <w:rFonts w:hint="eastAsia"/>
                <w:sz w:val="24"/>
                <w:szCs w:val="24"/>
                <w:lang w:bidi="ar"/>
              </w:rPr>
              <w:t>●</w:t>
            </w:r>
          </w:p>
        </w:tc>
        <w:tc>
          <w:tcPr>
            <w:tcW w:w="1417" w:type="dxa"/>
            <w:vAlign w:val="center"/>
          </w:tcPr>
          <w:p>
            <w:pPr>
              <w:pStyle w:val="96"/>
              <w:spacing w:line="580" w:lineRule="exact"/>
              <w:rPr>
                <w:sz w:val="24"/>
                <w:szCs w:val="24"/>
                <w:lang w:bidi="ar"/>
              </w:rPr>
            </w:pPr>
            <w:r>
              <w:rPr>
                <w:rFonts w:hint="eastAsia"/>
                <w:sz w:val="24"/>
                <w:szCs w:val="24"/>
                <w:lang w:bidi="ar"/>
              </w:rPr>
              <w:t>●</w:t>
            </w:r>
          </w:p>
        </w:tc>
        <w:tc>
          <w:tcPr>
            <w:tcW w:w="1418" w:type="dxa"/>
            <w:vAlign w:val="center"/>
          </w:tcPr>
          <w:p>
            <w:pPr>
              <w:pStyle w:val="96"/>
              <w:spacing w:line="580" w:lineRule="exact"/>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spacing w:line="580" w:lineRule="exact"/>
              <w:rPr>
                <w:sz w:val="24"/>
                <w:szCs w:val="24"/>
                <w:lang w:bidi="ar"/>
              </w:rPr>
            </w:pPr>
          </w:p>
        </w:tc>
        <w:tc>
          <w:tcPr>
            <w:tcW w:w="1983" w:type="dxa"/>
            <w:vAlign w:val="center"/>
          </w:tcPr>
          <w:p>
            <w:pPr>
              <w:pStyle w:val="96"/>
              <w:spacing w:line="580" w:lineRule="exact"/>
              <w:rPr>
                <w:sz w:val="24"/>
                <w:szCs w:val="24"/>
                <w:lang w:bidi="ar"/>
              </w:rPr>
            </w:pPr>
            <w:r>
              <w:rPr>
                <w:rFonts w:hint="eastAsia"/>
                <w:sz w:val="24"/>
                <w:szCs w:val="24"/>
                <w:lang w:bidi="ar"/>
              </w:rPr>
              <w:t>餐饮、特产店</w:t>
            </w:r>
          </w:p>
        </w:tc>
        <w:tc>
          <w:tcPr>
            <w:tcW w:w="1558" w:type="dxa"/>
            <w:vAlign w:val="center"/>
          </w:tcPr>
          <w:p>
            <w:pPr>
              <w:pStyle w:val="96"/>
              <w:spacing w:line="580" w:lineRule="exact"/>
              <w:rPr>
                <w:sz w:val="24"/>
                <w:szCs w:val="24"/>
                <w:lang w:bidi="ar"/>
              </w:rPr>
            </w:pPr>
            <w:r>
              <w:rPr>
                <w:rFonts w:hint="eastAsia"/>
                <w:sz w:val="24"/>
                <w:szCs w:val="24"/>
                <w:lang w:bidi="ar"/>
              </w:rPr>
              <w:t>○</w:t>
            </w:r>
          </w:p>
        </w:tc>
        <w:tc>
          <w:tcPr>
            <w:tcW w:w="1417" w:type="dxa"/>
            <w:vAlign w:val="center"/>
          </w:tcPr>
          <w:p>
            <w:pPr>
              <w:pStyle w:val="96"/>
              <w:spacing w:line="580" w:lineRule="exact"/>
              <w:rPr>
                <w:sz w:val="24"/>
                <w:szCs w:val="24"/>
                <w:lang w:bidi="ar"/>
              </w:rPr>
            </w:pPr>
            <w:r>
              <w:rPr>
                <w:rFonts w:hint="eastAsia"/>
                <w:sz w:val="24"/>
                <w:szCs w:val="24"/>
                <w:lang w:bidi="ar"/>
              </w:rPr>
              <w:t>●</w:t>
            </w:r>
          </w:p>
        </w:tc>
        <w:tc>
          <w:tcPr>
            <w:tcW w:w="1418" w:type="dxa"/>
            <w:vAlign w:val="center"/>
          </w:tcPr>
          <w:p>
            <w:pPr>
              <w:pStyle w:val="96"/>
              <w:spacing w:line="580" w:lineRule="exact"/>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spacing w:line="580" w:lineRule="exact"/>
              <w:rPr>
                <w:sz w:val="24"/>
                <w:szCs w:val="24"/>
                <w:lang w:bidi="ar"/>
              </w:rPr>
            </w:pPr>
          </w:p>
        </w:tc>
        <w:tc>
          <w:tcPr>
            <w:tcW w:w="1983" w:type="dxa"/>
            <w:vAlign w:val="center"/>
          </w:tcPr>
          <w:p>
            <w:pPr>
              <w:pStyle w:val="96"/>
              <w:spacing w:line="580" w:lineRule="exact"/>
              <w:rPr>
                <w:sz w:val="24"/>
                <w:szCs w:val="24"/>
                <w:lang w:bidi="ar"/>
              </w:rPr>
            </w:pPr>
            <w:r>
              <w:rPr>
                <w:rFonts w:hint="eastAsia"/>
                <w:sz w:val="24"/>
                <w:szCs w:val="24"/>
                <w:lang w:bidi="ar"/>
              </w:rPr>
              <w:t>旅馆、招待所</w:t>
            </w:r>
          </w:p>
        </w:tc>
        <w:tc>
          <w:tcPr>
            <w:tcW w:w="1558" w:type="dxa"/>
            <w:vAlign w:val="center"/>
          </w:tcPr>
          <w:p>
            <w:pPr>
              <w:pStyle w:val="96"/>
              <w:spacing w:line="580" w:lineRule="exact"/>
              <w:rPr>
                <w:sz w:val="24"/>
                <w:szCs w:val="24"/>
                <w:lang w:bidi="ar"/>
              </w:rPr>
            </w:pPr>
            <w:r>
              <w:rPr>
                <w:rFonts w:hint="eastAsia"/>
                <w:sz w:val="24"/>
                <w:szCs w:val="24"/>
                <w:lang w:bidi="ar"/>
              </w:rPr>
              <w:t>○</w:t>
            </w:r>
          </w:p>
        </w:tc>
        <w:tc>
          <w:tcPr>
            <w:tcW w:w="1417" w:type="dxa"/>
            <w:vAlign w:val="center"/>
          </w:tcPr>
          <w:p>
            <w:pPr>
              <w:pStyle w:val="96"/>
              <w:spacing w:line="580" w:lineRule="exact"/>
              <w:rPr>
                <w:sz w:val="24"/>
                <w:szCs w:val="24"/>
                <w:lang w:bidi="ar"/>
              </w:rPr>
            </w:pPr>
            <w:r>
              <w:rPr>
                <w:rFonts w:hint="eastAsia"/>
                <w:sz w:val="24"/>
                <w:szCs w:val="24"/>
                <w:lang w:bidi="ar"/>
              </w:rPr>
              <w:t>○</w:t>
            </w:r>
          </w:p>
        </w:tc>
        <w:tc>
          <w:tcPr>
            <w:tcW w:w="1418" w:type="dxa"/>
            <w:vAlign w:val="center"/>
          </w:tcPr>
          <w:p>
            <w:pPr>
              <w:pStyle w:val="96"/>
              <w:spacing w:line="580" w:lineRule="exact"/>
              <w:rPr>
                <w:sz w:val="24"/>
                <w:szCs w:val="24"/>
                <w:lang w:bidi="ar"/>
              </w:rPr>
            </w:pPr>
            <w:r>
              <w:rPr>
                <w:rFonts w:hint="eastAsia"/>
                <w:sz w:val="24"/>
                <w:szCs w:val="24"/>
                <w:lang w:bidi="ar"/>
              </w:rPr>
              <w:t>○</w:t>
            </w:r>
          </w:p>
        </w:tc>
      </w:tr>
    </w:tbl>
    <w:p>
      <w:pPr>
        <w:ind w:firstLine="420"/>
        <w:jc w:val="left"/>
        <w:rPr>
          <w:rFonts w:ascii="楷体" w:hAnsi="楷体" w:eastAsia="楷体" w:cs="楷体"/>
          <w:sz w:val="21"/>
          <w:szCs w:val="21"/>
        </w:rPr>
      </w:pPr>
      <w:r>
        <w:rPr>
          <w:rFonts w:hint="eastAsia" w:ascii="楷体" w:hAnsi="楷体" w:eastAsia="楷体" w:cs="楷体"/>
          <w:color w:val="000000"/>
          <w:kern w:val="0"/>
          <w:sz w:val="21"/>
          <w:szCs w:val="21"/>
          <w:lang w:bidi="ar"/>
        </w:rPr>
        <w:t>注： ●—为应设的内容○—为可设的内容</w:t>
      </w:r>
    </w:p>
    <w:p>
      <w:pPr>
        <w:ind w:firstLine="640"/>
        <w:rPr>
          <w:lang w:bidi="ar"/>
        </w:rPr>
      </w:pPr>
      <w:r>
        <w:rPr>
          <w:rFonts w:hint="eastAsia"/>
          <w:lang w:bidi="ar"/>
        </w:rPr>
        <w:t>配置标准应根据村庄类别配置村庄公共设施，村庄主要公共设施的单项设施用地面积可参考下表规定。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2"/>
        <w:gridCol w:w="1478"/>
        <w:gridCol w:w="1961"/>
        <w:gridCol w:w="37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8297" w:type="dxa"/>
            <w:gridSpan w:val="4"/>
          </w:tcPr>
          <w:p>
            <w:pPr>
              <w:pStyle w:val="98"/>
              <w:rPr>
                <w:lang w:bidi="ar"/>
              </w:rPr>
            </w:pPr>
            <w:r>
              <w:rPr>
                <w:rFonts w:hint="eastAsia"/>
                <w:lang w:bidi="ar"/>
              </w:rPr>
              <w:t>专栏14</w:t>
            </w:r>
            <w:r>
              <w:rPr>
                <w:lang w:bidi="ar"/>
              </w:rPr>
              <w:t>-9</w:t>
            </w:r>
            <w:r>
              <w:rPr>
                <w:rFonts w:hint="eastAsia"/>
                <w:lang w:bidi="ar"/>
              </w:rPr>
              <w:t>：村庄公共设施用地面积参考指标（单位：平方米）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1092" w:type="dxa"/>
          </w:tcPr>
          <w:p>
            <w:pPr>
              <w:pStyle w:val="96"/>
              <w:spacing w:line="580" w:lineRule="exact"/>
              <w:rPr>
                <w:sz w:val="24"/>
                <w:szCs w:val="24"/>
                <w:lang w:bidi="ar"/>
              </w:rPr>
            </w:pPr>
            <w:r>
              <w:rPr>
                <w:rFonts w:hint="eastAsia"/>
                <w:sz w:val="24"/>
                <w:szCs w:val="24"/>
                <w:lang w:bidi="ar"/>
              </w:rPr>
              <w:t>类别</w:t>
            </w:r>
          </w:p>
        </w:tc>
        <w:tc>
          <w:tcPr>
            <w:tcW w:w="1478" w:type="dxa"/>
          </w:tcPr>
          <w:p>
            <w:pPr>
              <w:pStyle w:val="96"/>
              <w:spacing w:line="580" w:lineRule="exact"/>
              <w:rPr>
                <w:sz w:val="24"/>
                <w:szCs w:val="24"/>
                <w:lang w:bidi="ar"/>
              </w:rPr>
            </w:pPr>
            <w:r>
              <w:rPr>
                <w:rFonts w:hint="eastAsia"/>
                <w:sz w:val="24"/>
                <w:szCs w:val="24"/>
                <w:lang w:bidi="ar"/>
              </w:rPr>
              <w:t>设施名称</w:t>
            </w:r>
          </w:p>
        </w:tc>
        <w:tc>
          <w:tcPr>
            <w:tcW w:w="1961" w:type="dxa"/>
          </w:tcPr>
          <w:p>
            <w:pPr>
              <w:pStyle w:val="96"/>
              <w:spacing w:line="580" w:lineRule="exact"/>
              <w:rPr>
                <w:sz w:val="24"/>
                <w:szCs w:val="24"/>
                <w:lang w:bidi="ar"/>
              </w:rPr>
            </w:pPr>
            <w:r>
              <w:rPr>
                <w:rFonts w:hint="eastAsia"/>
                <w:sz w:val="24"/>
                <w:szCs w:val="24"/>
                <w:lang w:bidi="ar"/>
              </w:rPr>
              <w:t>建筑面积（</w:t>
            </w:r>
            <w:r>
              <w:rPr>
                <w:rFonts w:hint="eastAsia" w:ascii="微软雅黑" w:hAnsi="微软雅黑" w:eastAsia="微软雅黑" w:cs="微软雅黑"/>
                <w:sz w:val="24"/>
                <w:szCs w:val="24"/>
                <w:lang w:bidi="ar"/>
              </w:rPr>
              <w:t>㎡</w:t>
            </w:r>
            <w:r>
              <w:rPr>
                <w:rFonts w:hint="eastAsia"/>
                <w:sz w:val="24"/>
                <w:szCs w:val="24"/>
                <w:lang w:bidi="ar"/>
              </w:rPr>
              <w:t>）</w:t>
            </w:r>
          </w:p>
        </w:tc>
        <w:tc>
          <w:tcPr>
            <w:tcW w:w="3766" w:type="dxa"/>
          </w:tcPr>
          <w:p>
            <w:pPr>
              <w:pStyle w:val="96"/>
              <w:spacing w:line="580" w:lineRule="exact"/>
              <w:rPr>
                <w:sz w:val="24"/>
                <w:szCs w:val="24"/>
                <w:lang w:bidi="ar"/>
              </w:rPr>
            </w:pPr>
            <w:r>
              <w:rPr>
                <w:rFonts w:hint="eastAsia"/>
                <w:sz w:val="24"/>
                <w:szCs w:val="24"/>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2" w:type="dxa"/>
            <w:vAlign w:val="center"/>
          </w:tcPr>
          <w:p>
            <w:pPr>
              <w:pStyle w:val="96"/>
              <w:spacing w:line="580" w:lineRule="exact"/>
              <w:rPr>
                <w:sz w:val="24"/>
                <w:szCs w:val="24"/>
                <w:lang w:bidi="ar"/>
              </w:rPr>
            </w:pPr>
            <w:r>
              <w:rPr>
                <w:rFonts w:hint="eastAsia"/>
                <w:sz w:val="24"/>
                <w:szCs w:val="24"/>
                <w:lang w:bidi="ar"/>
              </w:rPr>
              <w:t>行政管理</w:t>
            </w:r>
          </w:p>
        </w:tc>
        <w:tc>
          <w:tcPr>
            <w:tcW w:w="1478" w:type="dxa"/>
            <w:vAlign w:val="center"/>
          </w:tcPr>
          <w:p>
            <w:pPr>
              <w:pStyle w:val="96"/>
              <w:spacing w:line="580" w:lineRule="exact"/>
              <w:rPr>
                <w:sz w:val="24"/>
                <w:szCs w:val="24"/>
                <w:lang w:bidi="ar"/>
              </w:rPr>
            </w:pPr>
            <w:r>
              <w:rPr>
                <w:rFonts w:hint="eastAsia"/>
                <w:sz w:val="24"/>
                <w:szCs w:val="24"/>
                <w:lang w:bidi="ar"/>
              </w:rPr>
              <w:t>村委会</w:t>
            </w:r>
          </w:p>
        </w:tc>
        <w:tc>
          <w:tcPr>
            <w:tcW w:w="1961" w:type="dxa"/>
            <w:vAlign w:val="center"/>
          </w:tcPr>
          <w:p>
            <w:pPr>
              <w:pStyle w:val="96"/>
              <w:spacing w:line="580" w:lineRule="exact"/>
              <w:rPr>
                <w:sz w:val="24"/>
                <w:szCs w:val="24"/>
                <w:lang w:bidi="ar"/>
              </w:rPr>
            </w:pPr>
            <w:r>
              <w:rPr>
                <w:rFonts w:hint="eastAsia"/>
                <w:sz w:val="24"/>
                <w:szCs w:val="24"/>
                <w:lang w:bidi="ar"/>
              </w:rPr>
              <w:t>200-500</w:t>
            </w:r>
          </w:p>
        </w:tc>
        <w:tc>
          <w:tcPr>
            <w:tcW w:w="3766" w:type="dxa"/>
          </w:tcPr>
          <w:p>
            <w:pPr>
              <w:pStyle w:val="96"/>
              <w:spacing w:line="580" w:lineRule="exact"/>
              <w:rPr>
                <w:sz w:val="24"/>
                <w:szCs w:val="24"/>
                <w:lang w:bidi="ar"/>
              </w:rPr>
            </w:pPr>
            <w:r>
              <w:rPr>
                <w:rFonts w:hint="eastAsia"/>
                <w:sz w:val="24"/>
                <w:szCs w:val="24"/>
                <w:lang w:bidi="ar"/>
              </w:rPr>
              <w:t>宜布置在方便出入、便于办事的地点，原则上独立于村民住宅。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2" w:type="dxa"/>
            <w:vMerge w:val="restart"/>
            <w:vAlign w:val="center"/>
          </w:tcPr>
          <w:p>
            <w:pPr>
              <w:pStyle w:val="96"/>
              <w:spacing w:line="580" w:lineRule="exact"/>
              <w:rPr>
                <w:sz w:val="24"/>
                <w:szCs w:val="24"/>
                <w:lang w:bidi="ar"/>
              </w:rPr>
            </w:pPr>
            <w:r>
              <w:rPr>
                <w:rFonts w:hint="eastAsia"/>
                <w:sz w:val="24"/>
                <w:szCs w:val="24"/>
                <w:lang w:bidi="ar"/>
              </w:rPr>
              <w:t>教育机构</w:t>
            </w:r>
          </w:p>
        </w:tc>
        <w:tc>
          <w:tcPr>
            <w:tcW w:w="1478" w:type="dxa"/>
            <w:vAlign w:val="center"/>
          </w:tcPr>
          <w:p>
            <w:pPr>
              <w:pStyle w:val="96"/>
              <w:spacing w:line="580" w:lineRule="exact"/>
              <w:rPr>
                <w:sz w:val="24"/>
                <w:szCs w:val="24"/>
                <w:lang w:bidi="ar"/>
              </w:rPr>
            </w:pPr>
            <w:r>
              <w:rPr>
                <w:rFonts w:hint="eastAsia"/>
                <w:sz w:val="24"/>
                <w:szCs w:val="24"/>
                <w:lang w:bidi="ar"/>
              </w:rPr>
              <w:t>小学</w:t>
            </w:r>
          </w:p>
        </w:tc>
        <w:tc>
          <w:tcPr>
            <w:tcW w:w="1961" w:type="dxa"/>
            <w:vAlign w:val="center"/>
          </w:tcPr>
          <w:p>
            <w:pPr>
              <w:pStyle w:val="96"/>
              <w:spacing w:line="580" w:lineRule="exact"/>
              <w:rPr>
                <w:sz w:val="24"/>
                <w:szCs w:val="24"/>
                <w:lang w:bidi="ar"/>
              </w:rPr>
            </w:pPr>
            <w:r>
              <w:rPr>
                <w:rFonts w:hint="eastAsia"/>
                <w:sz w:val="24"/>
                <w:szCs w:val="24"/>
                <w:lang w:bidi="ar"/>
              </w:rPr>
              <w:t>4000-8000</w:t>
            </w:r>
          </w:p>
        </w:tc>
        <w:tc>
          <w:tcPr>
            <w:tcW w:w="3766" w:type="dxa"/>
          </w:tcPr>
          <w:p>
            <w:pPr>
              <w:pStyle w:val="96"/>
              <w:spacing w:line="580" w:lineRule="exact"/>
              <w:rPr>
                <w:sz w:val="24"/>
                <w:szCs w:val="24"/>
                <w:lang w:bidi="ar"/>
              </w:rPr>
            </w:pPr>
            <w:r>
              <w:rPr>
                <w:rFonts w:hint="eastAsia"/>
                <w:sz w:val="24"/>
                <w:szCs w:val="24"/>
                <w:lang w:bidi="ar"/>
              </w:rPr>
              <w:t>应独立占地。可根据乡村生活圈配置要求采取多村合设的方式。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092" w:type="dxa"/>
            <w:vMerge w:val="continue"/>
            <w:vAlign w:val="center"/>
          </w:tcPr>
          <w:p>
            <w:pPr>
              <w:pStyle w:val="96"/>
              <w:spacing w:line="580" w:lineRule="exact"/>
              <w:rPr>
                <w:sz w:val="24"/>
                <w:szCs w:val="24"/>
                <w:lang w:bidi="ar"/>
              </w:rPr>
            </w:pPr>
          </w:p>
        </w:tc>
        <w:tc>
          <w:tcPr>
            <w:tcW w:w="1478" w:type="dxa"/>
            <w:vAlign w:val="center"/>
          </w:tcPr>
          <w:p>
            <w:pPr>
              <w:pStyle w:val="96"/>
              <w:spacing w:line="580" w:lineRule="exact"/>
              <w:rPr>
                <w:sz w:val="24"/>
                <w:szCs w:val="24"/>
                <w:lang w:bidi="ar"/>
              </w:rPr>
            </w:pPr>
            <w:r>
              <w:rPr>
                <w:rFonts w:hint="eastAsia"/>
                <w:sz w:val="24"/>
                <w:szCs w:val="24"/>
                <w:lang w:bidi="ar"/>
              </w:rPr>
              <w:t>幼儿园</w:t>
            </w:r>
          </w:p>
        </w:tc>
        <w:tc>
          <w:tcPr>
            <w:tcW w:w="1961" w:type="dxa"/>
            <w:vAlign w:val="center"/>
          </w:tcPr>
          <w:p>
            <w:pPr>
              <w:pStyle w:val="96"/>
              <w:spacing w:line="580" w:lineRule="exact"/>
              <w:rPr>
                <w:sz w:val="24"/>
                <w:szCs w:val="24"/>
                <w:lang w:bidi="ar"/>
              </w:rPr>
            </w:pPr>
            <w:r>
              <w:rPr>
                <w:rFonts w:hint="eastAsia"/>
                <w:sz w:val="24"/>
                <w:szCs w:val="24"/>
                <w:lang w:bidi="ar"/>
              </w:rPr>
              <w:t>600-1800</w:t>
            </w:r>
          </w:p>
        </w:tc>
        <w:tc>
          <w:tcPr>
            <w:tcW w:w="3766" w:type="dxa"/>
          </w:tcPr>
          <w:p>
            <w:pPr>
              <w:pStyle w:val="96"/>
              <w:spacing w:line="580" w:lineRule="exact"/>
              <w:rPr>
                <w:sz w:val="24"/>
                <w:szCs w:val="24"/>
                <w:lang w:bidi="ar"/>
              </w:rPr>
            </w:pPr>
            <w:r>
              <w:rPr>
                <w:rFonts w:hint="eastAsia"/>
                <w:sz w:val="24"/>
                <w:szCs w:val="24"/>
                <w:lang w:bidi="ar"/>
              </w:rPr>
              <w:t>独立设置或与绿地结合设置。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2" w:type="dxa"/>
            <w:vMerge w:val="continue"/>
            <w:vAlign w:val="center"/>
          </w:tcPr>
          <w:p>
            <w:pPr>
              <w:pStyle w:val="96"/>
              <w:spacing w:line="580" w:lineRule="exact"/>
              <w:rPr>
                <w:sz w:val="24"/>
                <w:szCs w:val="24"/>
                <w:lang w:bidi="ar"/>
              </w:rPr>
            </w:pPr>
          </w:p>
        </w:tc>
        <w:tc>
          <w:tcPr>
            <w:tcW w:w="1478" w:type="dxa"/>
            <w:vAlign w:val="center"/>
          </w:tcPr>
          <w:p>
            <w:pPr>
              <w:pStyle w:val="96"/>
              <w:spacing w:line="580" w:lineRule="exact"/>
              <w:rPr>
                <w:sz w:val="24"/>
                <w:szCs w:val="24"/>
                <w:lang w:bidi="ar"/>
              </w:rPr>
            </w:pPr>
            <w:r>
              <w:rPr>
                <w:rFonts w:hint="eastAsia"/>
                <w:sz w:val="24"/>
                <w:szCs w:val="24"/>
                <w:lang w:bidi="ar"/>
              </w:rPr>
              <w:t>托儿所</w:t>
            </w:r>
          </w:p>
        </w:tc>
        <w:tc>
          <w:tcPr>
            <w:tcW w:w="1961" w:type="dxa"/>
            <w:vAlign w:val="center"/>
          </w:tcPr>
          <w:p>
            <w:pPr>
              <w:pStyle w:val="96"/>
              <w:spacing w:line="580" w:lineRule="exact"/>
              <w:rPr>
                <w:sz w:val="24"/>
                <w:szCs w:val="24"/>
                <w:lang w:bidi="ar"/>
              </w:rPr>
            </w:pPr>
            <w:r>
              <w:rPr>
                <w:rFonts w:hint="eastAsia"/>
                <w:sz w:val="24"/>
                <w:szCs w:val="24"/>
                <w:lang w:bidi="ar"/>
              </w:rPr>
              <w:t>600-1800</w:t>
            </w:r>
          </w:p>
        </w:tc>
        <w:tc>
          <w:tcPr>
            <w:tcW w:w="3766" w:type="dxa"/>
          </w:tcPr>
          <w:p>
            <w:pPr>
              <w:pStyle w:val="96"/>
              <w:spacing w:line="580" w:lineRule="exact"/>
              <w:rPr>
                <w:sz w:val="24"/>
                <w:szCs w:val="24"/>
                <w:lang w:bidi="ar"/>
              </w:rPr>
            </w:pPr>
            <w:r>
              <w:rPr>
                <w:rFonts w:hint="eastAsia"/>
                <w:sz w:val="24"/>
                <w:szCs w:val="24"/>
                <w:lang w:bidi="ar"/>
              </w:rPr>
              <w:t>独立设置或与幼儿园、绿地等结合设置。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2" w:type="dxa"/>
            <w:vAlign w:val="center"/>
          </w:tcPr>
          <w:p>
            <w:pPr>
              <w:pStyle w:val="96"/>
              <w:spacing w:line="580" w:lineRule="exact"/>
              <w:rPr>
                <w:sz w:val="24"/>
                <w:szCs w:val="24"/>
                <w:lang w:bidi="ar"/>
              </w:rPr>
            </w:pPr>
            <w:r>
              <w:rPr>
                <w:rFonts w:hint="eastAsia"/>
                <w:sz w:val="24"/>
                <w:szCs w:val="24"/>
                <w:lang w:bidi="ar"/>
              </w:rPr>
              <w:t>文化科技</w:t>
            </w:r>
          </w:p>
        </w:tc>
        <w:tc>
          <w:tcPr>
            <w:tcW w:w="1478" w:type="dxa"/>
            <w:vAlign w:val="center"/>
          </w:tcPr>
          <w:p>
            <w:pPr>
              <w:pStyle w:val="96"/>
              <w:spacing w:line="580" w:lineRule="exact"/>
              <w:rPr>
                <w:sz w:val="24"/>
                <w:szCs w:val="24"/>
                <w:lang w:bidi="ar"/>
              </w:rPr>
            </w:pPr>
            <w:r>
              <w:rPr>
                <w:rFonts w:hint="eastAsia"/>
                <w:sz w:val="24"/>
                <w:szCs w:val="24"/>
                <w:lang w:bidi="ar"/>
              </w:rPr>
              <w:t>文化大院</w:t>
            </w:r>
          </w:p>
        </w:tc>
        <w:tc>
          <w:tcPr>
            <w:tcW w:w="1961" w:type="dxa"/>
            <w:vAlign w:val="center"/>
          </w:tcPr>
          <w:p>
            <w:pPr>
              <w:pStyle w:val="96"/>
              <w:spacing w:line="580" w:lineRule="exact"/>
              <w:rPr>
                <w:sz w:val="24"/>
                <w:szCs w:val="24"/>
                <w:lang w:bidi="ar"/>
              </w:rPr>
            </w:pPr>
            <w:r>
              <w:rPr>
                <w:rFonts w:hint="eastAsia"/>
                <w:sz w:val="24"/>
                <w:szCs w:val="24"/>
                <w:lang w:bidi="ar"/>
              </w:rPr>
              <w:t>200-800</w:t>
            </w:r>
          </w:p>
        </w:tc>
        <w:tc>
          <w:tcPr>
            <w:tcW w:w="3766" w:type="dxa"/>
          </w:tcPr>
          <w:p>
            <w:pPr>
              <w:pStyle w:val="96"/>
              <w:spacing w:line="580" w:lineRule="exact"/>
              <w:rPr>
                <w:sz w:val="24"/>
                <w:szCs w:val="24"/>
                <w:lang w:bidi="ar"/>
              </w:rPr>
            </w:pPr>
            <w:r>
              <w:rPr>
                <w:rFonts w:hint="eastAsia"/>
                <w:sz w:val="24"/>
                <w:szCs w:val="24"/>
                <w:lang w:bidi="ar"/>
              </w:rPr>
              <w:t>应包括科技服务、图书阅览等功能。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2" w:type="dxa"/>
            <w:vAlign w:val="center"/>
          </w:tcPr>
          <w:p>
            <w:pPr>
              <w:pStyle w:val="96"/>
              <w:spacing w:line="580" w:lineRule="exact"/>
              <w:rPr>
                <w:sz w:val="24"/>
                <w:szCs w:val="24"/>
                <w:lang w:bidi="ar"/>
              </w:rPr>
            </w:pPr>
            <w:r>
              <w:rPr>
                <w:rFonts w:hint="eastAsia"/>
                <w:sz w:val="24"/>
                <w:szCs w:val="24"/>
                <w:lang w:bidi="ar"/>
              </w:rPr>
              <w:t>体育设施</w:t>
            </w:r>
          </w:p>
        </w:tc>
        <w:tc>
          <w:tcPr>
            <w:tcW w:w="1478" w:type="dxa"/>
            <w:vAlign w:val="center"/>
          </w:tcPr>
          <w:p>
            <w:pPr>
              <w:pStyle w:val="96"/>
              <w:spacing w:line="580" w:lineRule="exact"/>
              <w:rPr>
                <w:sz w:val="24"/>
                <w:szCs w:val="24"/>
                <w:lang w:bidi="ar"/>
              </w:rPr>
            </w:pPr>
            <w:r>
              <w:rPr>
                <w:rFonts w:hint="eastAsia"/>
                <w:sz w:val="24"/>
                <w:szCs w:val="24"/>
                <w:lang w:bidi="ar"/>
              </w:rPr>
              <w:t>休闲运动广场</w:t>
            </w:r>
          </w:p>
        </w:tc>
        <w:tc>
          <w:tcPr>
            <w:tcW w:w="1961" w:type="dxa"/>
            <w:vAlign w:val="center"/>
          </w:tcPr>
          <w:p>
            <w:pPr>
              <w:pStyle w:val="96"/>
              <w:spacing w:line="580" w:lineRule="exact"/>
              <w:rPr>
                <w:sz w:val="24"/>
                <w:szCs w:val="24"/>
                <w:lang w:bidi="ar"/>
              </w:rPr>
            </w:pPr>
            <w:r>
              <w:rPr>
                <w:rFonts w:hint="eastAsia"/>
                <w:sz w:val="24"/>
                <w:szCs w:val="24"/>
                <w:lang w:bidi="ar"/>
              </w:rPr>
              <w:t>600-2000</w:t>
            </w:r>
          </w:p>
          <w:p>
            <w:pPr>
              <w:pStyle w:val="96"/>
              <w:spacing w:line="580" w:lineRule="exact"/>
              <w:rPr>
                <w:sz w:val="24"/>
                <w:szCs w:val="24"/>
                <w:lang w:bidi="ar"/>
              </w:rPr>
            </w:pPr>
            <w:r>
              <w:rPr>
                <w:rFonts w:hint="eastAsia"/>
                <w:sz w:val="24"/>
                <w:szCs w:val="24"/>
                <w:lang w:bidi="ar"/>
              </w:rPr>
              <w:t>（用地面积）</w:t>
            </w:r>
          </w:p>
        </w:tc>
        <w:tc>
          <w:tcPr>
            <w:tcW w:w="3766" w:type="dxa"/>
          </w:tcPr>
          <w:p>
            <w:pPr>
              <w:pStyle w:val="96"/>
              <w:spacing w:line="580" w:lineRule="exact"/>
              <w:rPr>
                <w:sz w:val="24"/>
                <w:szCs w:val="24"/>
                <w:lang w:bidi="ar"/>
              </w:rPr>
            </w:pPr>
            <w:r>
              <w:rPr>
                <w:rFonts w:hint="eastAsia"/>
                <w:sz w:val="24"/>
                <w:szCs w:val="24"/>
                <w:lang w:bidi="ar"/>
              </w:rPr>
              <w:t>可与绿地结合建设。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92" w:type="dxa"/>
            <w:vAlign w:val="center"/>
          </w:tcPr>
          <w:p>
            <w:pPr>
              <w:pStyle w:val="96"/>
              <w:spacing w:line="580" w:lineRule="exact"/>
              <w:rPr>
                <w:sz w:val="24"/>
                <w:szCs w:val="24"/>
                <w:lang w:bidi="ar"/>
              </w:rPr>
            </w:pPr>
            <w:r>
              <w:rPr>
                <w:rFonts w:hint="eastAsia"/>
                <w:sz w:val="24"/>
                <w:szCs w:val="24"/>
                <w:lang w:bidi="ar"/>
              </w:rPr>
              <w:t>医疗设施</w:t>
            </w:r>
          </w:p>
        </w:tc>
        <w:tc>
          <w:tcPr>
            <w:tcW w:w="1478" w:type="dxa"/>
            <w:vAlign w:val="center"/>
          </w:tcPr>
          <w:p>
            <w:pPr>
              <w:pStyle w:val="96"/>
              <w:spacing w:line="580" w:lineRule="exact"/>
              <w:rPr>
                <w:sz w:val="24"/>
                <w:szCs w:val="24"/>
                <w:lang w:bidi="ar"/>
              </w:rPr>
            </w:pPr>
            <w:r>
              <w:rPr>
                <w:rFonts w:hint="eastAsia"/>
                <w:sz w:val="24"/>
                <w:szCs w:val="24"/>
                <w:lang w:bidi="ar"/>
              </w:rPr>
              <w:t>村卫生室</w:t>
            </w:r>
          </w:p>
        </w:tc>
        <w:tc>
          <w:tcPr>
            <w:tcW w:w="1961" w:type="dxa"/>
            <w:vAlign w:val="center"/>
          </w:tcPr>
          <w:p>
            <w:pPr>
              <w:pStyle w:val="96"/>
              <w:spacing w:line="580" w:lineRule="exact"/>
              <w:rPr>
                <w:sz w:val="24"/>
                <w:szCs w:val="24"/>
                <w:lang w:bidi="ar"/>
              </w:rPr>
            </w:pPr>
            <w:r>
              <w:rPr>
                <w:rFonts w:hint="eastAsia"/>
                <w:sz w:val="24"/>
                <w:szCs w:val="24"/>
                <w:lang w:bidi="ar"/>
              </w:rPr>
              <w:t>50-100</w:t>
            </w:r>
          </w:p>
        </w:tc>
        <w:tc>
          <w:tcPr>
            <w:tcW w:w="3766" w:type="dxa"/>
          </w:tcPr>
          <w:p>
            <w:pPr>
              <w:pStyle w:val="96"/>
              <w:spacing w:line="580" w:lineRule="exact"/>
              <w:rPr>
                <w:sz w:val="24"/>
                <w:szCs w:val="24"/>
                <w:lang w:bidi="ar"/>
              </w:rPr>
            </w:pPr>
            <w:r>
              <w:rPr>
                <w:rFonts w:hint="eastAsia"/>
                <w:sz w:val="24"/>
                <w:szCs w:val="24"/>
                <w:lang w:bidi="ar"/>
              </w:rPr>
              <w:t>原则上一个行政村设置一所村卫生室，人口较多或者居住分散的行政村可酌情增设;人口较少或面积较小的行政村，可与相邻行政村联合设置村卫生室。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92" w:type="dxa"/>
            <w:vAlign w:val="center"/>
          </w:tcPr>
          <w:p>
            <w:pPr>
              <w:pStyle w:val="96"/>
              <w:spacing w:line="580" w:lineRule="exact"/>
              <w:rPr>
                <w:sz w:val="24"/>
                <w:szCs w:val="24"/>
                <w:lang w:bidi="ar"/>
              </w:rPr>
            </w:pPr>
            <w:r>
              <w:rPr>
                <w:rFonts w:hint="eastAsia"/>
                <w:sz w:val="24"/>
                <w:szCs w:val="24"/>
                <w:lang w:bidi="ar"/>
              </w:rPr>
              <w:t>社会保障</w:t>
            </w:r>
          </w:p>
        </w:tc>
        <w:tc>
          <w:tcPr>
            <w:tcW w:w="1478" w:type="dxa"/>
            <w:vAlign w:val="center"/>
          </w:tcPr>
          <w:p>
            <w:pPr>
              <w:pStyle w:val="96"/>
              <w:spacing w:line="580" w:lineRule="exact"/>
              <w:rPr>
                <w:sz w:val="24"/>
                <w:szCs w:val="24"/>
                <w:lang w:bidi="ar"/>
              </w:rPr>
            </w:pPr>
            <w:r>
              <w:rPr>
                <w:rFonts w:hint="eastAsia"/>
                <w:sz w:val="24"/>
                <w:szCs w:val="24"/>
                <w:lang w:bidi="ar"/>
              </w:rPr>
              <w:t>日间照料中心</w:t>
            </w:r>
          </w:p>
        </w:tc>
        <w:tc>
          <w:tcPr>
            <w:tcW w:w="1961" w:type="dxa"/>
            <w:vAlign w:val="center"/>
          </w:tcPr>
          <w:p>
            <w:pPr>
              <w:pStyle w:val="96"/>
              <w:spacing w:line="580" w:lineRule="exact"/>
              <w:rPr>
                <w:sz w:val="24"/>
                <w:szCs w:val="24"/>
                <w:lang w:bidi="ar"/>
              </w:rPr>
            </w:pPr>
            <w:r>
              <w:rPr>
                <w:rFonts w:hint="eastAsia"/>
                <w:sz w:val="24"/>
                <w:szCs w:val="24"/>
                <w:lang w:bidi="ar"/>
              </w:rPr>
              <w:t>200-800</w:t>
            </w:r>
          </w:p>
        </w:tc>
        <w:tc>
          <w:tcPr>
            <w:tcW w:w="3766" w:type="dxa"/>
          </w:tcPr>
          <w:p>
            <w:pPr>
              <w:pStyle w:val="96"/>
              <w:spacing w:line="580" w:lineRule="exact"/>
              <w:rPr>
                <w:sz w:val="24"/>
                <w:szCs w:val="24"/>
                <w:lang w:bidi="ar"/>
              </w:rPr>
            </w:pPr>
            <w:r>
              <w:rPr>
                <w:rFonts w:hint="eastAsia"/>
                <w:sz w:val="24"/>
                <w:szCs w:val="24"/>
                <w:lang w:bidi="ar"/>
              </w:rPr>
              <w:t>宜综合设置。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92" w:type="dxa"/>
            <w:vMerge w:val="restart"/>
            <w:vAlign w:val="center"/>
          </w:tcPr>
          <w:p>
            <w:pPr>
              <w:pStyle w:val="96"/>
              <w:spacing w:line="580" w:lineRule="exact"/>
              <w:rPr>
                <w:sz w:val="24"/>
                <w:szCs w:val="24"/>
                <w:lang w:bidi="ar"/>
              </w:rPr>
            </w:pPr>
            <w:r>
              <w:rPr>
                <w:rFonts w:hint="eastAsia"/>
                <w:sz w:val="24"/>
                <w:szCs w:val="24"/>
                <w:lang w:bidi="ar"/>
              </w:rPr>
              <w:t>商业服务</w:t>
            </w:r>
          </w:p>
        </w:tc>
        <w:tc>
          <w:tcPr>
            <w:tcW w:w="1478" w:type="dxa"/>
            <w:vAlign w:val="center"/>
          </w:tcPr>
          <w:p>
            <w:pPr>
              <w:pStyle w:val="96"/>
              <w:spacing w:line="580" w:lineRule="exact"/>
              <w:rPr>
                <w:sz w:val="24"/>
                <w:szCs w:val="24"/>
                <w:lang w:bidi="ar"/>
              </w:rPr>
            </w:pPr>
            <w:r>
              <w:rPr>
                <w:rFonts w:hint="eastAsia"/>
                <w:sz w:val="24"/>
                <w:szCs w:val="24"/>
                <w:lang w:bidi="ar"/>
              </w:rPr>
              <w:t>小卖部</w:t>
            </w:r>
          </w:p>
        </w:tc>
        <w:tc>
          <w:tcPr>
            <w:tcW w:w="1961" w:type="dxa"/>
            <w:vAlign w:val="center"/>
          </w:tcPr>
          <w:p>
            <w:pPr>
              <w:pStyle w:val="96"/>
              <w:spacing w:line="580" w:lineRule="exact"/>
              <w:rPr>
                <w:sz w:val="24"/>
                <w:szCs w:val="24"/>
                <w:lang w:bidi="ar"/>
              </w:rPr>
            </w:pPr>
            <w:r>
              <w:rPr>
                <w:rFonts w:hint="eastAsia"/>
                <w:sz w:val="24"/>
                <w:szCs w:val="24"/>
                <w:lang w:bidi="ar"/>
              </w:rPr>
              <w:t>300-1000</w:t>
            </w:r>
          </w:p>
        </w:tc>
        <w:tc>
          <w:tcPr>
            <w:tcW w:w="3766" w:type="dxa"/>
          </w:tcPr>
          <w:p>
            <w:pPr>
              <w:pStyle w:val="96"/>
              <w:spacing w:line="580" w:lineRule="exact"/>
              <w:rPr>
                <w:sz w:val="24"/>
                <w:szCs w:val="24"/>
                <w:lang w:bidi="ar"/>
              </w:rPr>
            </w:pPr>
            <w:r>
              <w:rPr>
                <w:rFonts w:hint="eastAsia"/>
                <w:sz w:val="24"/>
                <w:szCs w:val="24"/>
                <w:lang w:bidi="ar"/>
              </w:rPr>
              <w:t>宜综合设置。各行政村设一处，村域面积较大或集中农村居民点较分散情况下可多点设置。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92" w:type="dxa"/>
            <w:vMerge w:val="continue"/>
            <w:vAlign w:val="center"/>
          </w:tcPr>
          <w:p>
            <w:pPr>
              <w:pStyle w:val="96"/>
              <w:spacing w:line="580" w:lineRule="exact"/>
              <w:rPr>
                <w:sz w:val="24"/>
                <w:szCs w:val="24"/>
                <w:lang w:bidi="ar"/>
              </w:rPr>
            </w:pPr>
          </w:p>
        </w:tc>
        <w:tc>
          <w:tcPr>
            <w:tcW w:w="1478" w:type="dxa"/>
            <w:vAlign w:val="center"/>
          </w:tcPr>
          <w:p>
            <w:pPr>
              <w:pStyle w:val="96"/>
              <w:spacing w:line="580" w:lineRule="exact"/>
              <w:rPr>
                <w:sz w:val="24"/>
                <w:szCs w:val="24"/>
                <w:lang w:bidi="ar"/>
              </w:rPr>
            </w:pPr>
            <w:r>
              <w:rPr>
                <w:rFonts w:hint="eastAsia"/>
                <w:sz w:val="24"/>
                <w:szCs w:val="24"/>
                <w:lang w:bidi="ar"/>
              </w:rPr>
              <w:t>小型超市</w:t>
            </w:r>
          </w:p>
        </w:tc>
        <w:tc>
          <w:tcPr>
            <w:tcW w:w="1961" w:type="dxa"/>
            <w:vAlign w:val="center"/>
          </w:tcPr>
          <w:p>
            <w:pPr>
              <w:pStyle w:val="96"/>
              <w:spacing w:line="580" w:lineRule="exact"/>
              <w:rPr>
                <w:sz w:val="24"/>
                <w:szCs w:val="24"/>
                <w:lang w:bidi="ar"/>
              </w:rPr>
            </w:pPr>
            <w:r>
              <w:rPr>
                <w:rFonts w:hint="eastAsia"/>
                <w:sz w:val="24"/>
                <w:szCs w:val="24"/>
                <w:lang w:bidi="ar"/>
              </w:rPr>
              <w:t>500-800</w:t>
            </w:r>
          </w:p>
        </w:tc>
        <w:tc>
          <w:tcPr>
            <w:tcW w:w="3766" w:type="dxa"/>
          </w:tcPr>
          <w:p>
            <w:pPr>
              <w:pStyle w:val="96"/>
              <w:spacing w:line="580" w:lineRule="exact"/>
              <w:rPr>
                <w:sz w:val="24"/>
                <w:szCs w:val="24"/>
                <w:lang w:bidi="ar"/>
              </w:rPr>
            </w:pPr>
            <w:r>
              <w:rPr>
                <w:rFonts w:hint="eastAsia"/>
                <w:sz w:val="24"/>
                <w:szCs w:val="24"/>
                <w:lang w:bidi="ar"/>
              </w:rPr>
              <w:t>根据村庄规模设置。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92" w:type="dxa"/>
            <w:vMerge w:val="continue"/>
            <w:vAlign w:val="center"/>
          </w:tcPr>
          <w:p>
            <w:pPr>
              <w:pStyle w:val="96"/>
              <w:spacing w:line="580" w:lineRule="exact"/>
              <w:rPr>
                <w:sz w:val="24"/>
                <w:szCs w:val="24"/>
                <w:lang w:bidi="ar"/>
              </w:rPr>
            </w:pPr>
          </w:p>
        </w:tc>
        <w:tc>
          <w:tcPr>
            <w:tcW w:w="1478" w:type="dxa"/>
            <w:vAlign w:val="center"/>
          </w:tcPr>
          <w:p>
            <w:pPr>
              <w:pStyle w:val="96"/>
              <w:spacing w:line="580" w:lineRule="exact"/>
              <w:rPr>
                <w:sz w:val="24"/>
                <w:szCs w:val="24"/>
                <w:lang w:bidi="ar"/>
              </w:rPr>
            </w:pPr>
            <w:r>
              <w:rPr>
                <w:rFonts w:hint="eastAsia"/>
                <w:sz w:val="24"/>
                <w:szCs w:val="24"/>
                <w:lang w:bidi="ar"/>
              </w:rPr>
              <w:t>餐饮、特产店</w:t>
            </w:r>
          </w:p>
        </w:tc>
        <w:tc>
          <w:tcPr>
            <w:tcW w:w="1961" w:type="dxa"/>
            <w:vAlign w:val="center"/>
          </w:tcPr>
          <w:p>
            <w:pPr>
              <w:pStyle w:val="96"/>
              <w:spacing w:line="580" w:lineRule="exact"/>
              <w:rPr>
                <w:sz w:val="24"/>
                <w:szCs w:val="24"/>
                <w:lang w:bidi="ar"/>
              </w:rPr>
            </w:pPr>
            <w:r>
              <w:rPr>
                <w:rFonts w:hint="eastAsia"/>
                <w:sz w:val="24"/>
                <w:szCs w:val="24"/>
                <w:lang w:bidi="ar"/>
              </w:rPr>
              <w:t>——</w:t>
            </w:r>
          </w:p>
        </w:tc>
        <w:tc>
          <w:tcPr>
            <w:tcW w:w="3766" w:type="dxa"/>
          </w:tcPr>
          <w:p>
            <w:pPr>
              <w:pStyle w:val="96"/>
              <w:spacing w:line="580" w:lineRule="exact"/>
              <w:rPr>
                <w:sz w:val="24"/>
                <w:szCs w:val="24"/>
                <w:lang w:bidi="ar"/>
              </w:rPr>
            </w:pPr>
            <w:r>
              <w:rPr>
                <w:rFonts w:hint="eastAsia"/>
                <w:sz w:val="24"/>
                <w:szCs w:val="24"/>
                <w:lang w:bidi="ar"/>
              </w:rPr>
              <w:t>根据需求设置。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92" w:type="dxa"/>
            <w:vMerge w:val="continue"/>
            <w:vAlign w:val="center"/>
          </w:tcPr>
          <w:p>
            <w:pPr>
              <w:pStyle w:val="96"/>
              <w:spacing w:line="580" w:lineRule="exact"/>
              <w:rPr>
                <w:sz w:val="24"/>
                <w:szCs w:val="24"/>
                <w:lang w:bidi="ar"/>
              </w:rPr>
            </w:pPr>
          </w:p>
        </w:tc>
        <w:tc>
          <w:tcPr>
            <w:tcW w:w="1478" w:type="dxa"/>
            <w:vAlign w:val="center"/>
          </w:tcPr>
          <w:p>
            <w:pPr>
              <w:pStyle w:val="96"/>
              <w:spacing w:line="580" w:lineRule="exact"/>
              <w:rPr>
                <w:sz w:val="24"/>
                <w:szCs w:val="24"/>
                <w:lang w:bidi="ar"/>
              </w:rPr>
            </w:pPr>
            <w:r>
              <w:rPr>
                <w:rFonts w:hint="eastAsia"/>
                <w:sz w:val="24"/>
                <w:szCs w:val="24"/>
                <w:lang w:bidi="ar"/>
              </w:rPr>
              <w:t>旅馆、招待所</w:t>
            </w:r>
          </w:p>
        </w:tc>
        <w:tc>
          <w:tcPr>
            <w:tcW w:w="1961" w:type="dxa"/>
            <w:vAlign w:val="center"/>
          </w:tcPr>
          <w:p>
            <w:pPr>
              <w:pStyle w:val="96"/>
              <w:spacing w:line="580" w:lineRule="exact"/>
              <w:rPr>
                <w:sz w:val="24"/>
                <w:szCs w:val="24"/>
                <w:lang w:bidi="ar"/>
              </w:rPr>
            </w:pPr>
            <w:r>
              <w:rPr>
                <w:rFonts w:hint="eastAsia"/>
                <w:sz w:val="24"/>
                <w:szCs w:val="24"/>
                <w:lang w:bidi="ar"/>
              </w:rPr>
              <w:t>——</w:t>
            </w:r>
          </w:p>
        </w:tc>
        <w:tc>
          <w:tcPr>
            <w:tcW w:w="3766" w:type="dxa"/>
          </w:tcPr>
          <w:p>
            <w:pPr>
              <w:pStyle w:val="96"/>
              <w:spacing w:line="580" w:lineRule="exact"/>
              <w:rPr>
                <w:sz w:val="24"/>
                <w:szCs w:val="24"/>
                <w:lang w:bidi="ar"/>
              </w:rPr>
            </w:pPr>
            <w:r>
              <w:rPr>
                <w:rFonts w:hint="eastAsia"/>
                <w:sz w:val="24"/>
                <w:szCs w:val="24"/>
                <w:lang w:bidi="ar"/>
              </w:rPr>
              <w:t>根据需求设置</w:t>
            </w:r>
          </w:p>
        </w:tc>
      </w:tr>
    </w:tbl>
    <w:p>
      <w:pPr>
        <w:ind w:firstLine="640"/>
      </w:pPr>
      <w:r>
        <w:rPr>
          <w:rFonts w:hint="eastAsia"/>
        </w:rPr>
        <w:t>村庄公共服务建筑建设强度控制指标可参照下表执行。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1"/>
        <w:gridCol w:w="1660"/>
        <w:gridCol w:w="1660"/>
        <w:gridCol w:w="1658"/>
        <w:gridCol w:w="16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5"/>
          </w:tcPr>
          <w:p>
            <w:pPr>
              <w:pStyle w:val="98"/>
              <w:rPr>
                <w:rFonts w:ascii="仿宋" w:hAnsi="仿宋" w:eastAsia="仿宋" w:cs="仿宋"/>
                <w:sz w:val="21"/>
                <w:szCs w:val="21"/>
              </w:rPr>
            </w:pPr>
            <w:r>
              <w:rPr>
                <w:rFonts w:hint="eastAsia"/>
                <w:lang w:bidi="ar"/>
              </w:rPr>
              <w:t>专栏14</w:t>
            </w:r>
            <w:r>
              <w:rPr>
                <w:lang w:bidi="ar"/>
              </w:rPr>
              <w:t>-10</w:t>
            </w:r>
            <w:r>
              <w:rPr>
                <w:rFonts w:hint="eastAsia"/>
                <w:lang w:bidi="ar"/>
              </w:rPr>
              <w:t>：公共服务建筑建设控制指标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661" w:type="dxa"/>
            <w:vAlign w:val="center"/>
          </w:tcPr>
          <w:p>
            <w:pPr>
              <w:pStyle w:val="96"/>
              <w:spacing w:line="580" w:lineRule="exact"/>
              <w:rPr>
                <w:sz w:val="24"/>
                <w:szCs w:val="24"/>
                <w:lang w:bidi="ar"/>
              </w:rPr>
            </w:pPr>
            <w:r>
              <w:rPr>
                <w:rFonts w:hint="eastAsia"/>
                <w:sz w:val="24"/>
                <w:szCs w:val="24"/>
                <w:lang w:bidi="ar"/>
              </w:rPr>
              <w:t>容积率</w:t>
            </w:r>
          </w:p>
        </w:tc>
        <w:tc>
          <w:tcPr>
            <w:tcW w:w="1660" w:type="dxa"/>
            <w:vAlign w:val="center"/>
          </w:tcPr>
          <w:p>
            <w:pPr>
              <w:pStyle w:val="96"/>
              <w:spacing w:line="580" w:lineRule="exact"/>
              <w:rPr>
                <w:sz w:val="24"/>
                <w:szCs w:val="24"/>
                <w:lang w:bidi="ar"/>
              </w:rPr>
            </w:pPr>
            <w:r>
              <w:rPr>
                <w:rFonts w:hint="eastAsia"/>
                <w:sz w:val="24"/>
                <w:szCs w:val="24"/>
                <w:lang w:bidi="ar"/>
              </w:rPr>
              <w:t>建筑密度</w:t>
            </w:r>
          </w:p>
        </w:tc>
        <w:tc>
          <w:tcPr>
            <w:tcW w:w="1660" w:type="dxa"/>
            <w:vAlign w:val="center"/>
          </w:tcPr>
          <w:p>
            <w:pPr>
              <w:pStyle w:val="96"/>
              <w:spacing w:line="580" w:lineRule="exact"/>
              <w:rPr>
                <w:sz w:val="24"/>
                <w:szCs w:val="24"/>
                <w:lang w:bidi="ar"/>
              </w:rPr>
            </w:pPr>
            <w:r>
              <w:rPr>
                <w:rFonts w:hint="eastAsia"/>
                <w:sz w:val="24"/>
                <w:szCs w:val="24"/>
                <w:lang w:bidi="ar"/>
              </w:rPr>
              <w:t>绿化率</w:t>
            </w:r>
          </w:p>
        </w:tc>
        <w:tc>
          <w:tcPr>
            <w:tcW w:w="1658" w:type="dxa"/>
            <w:vAlign w:val="center"/>
          </w:tcPr>
          <w:p>
            <w:pPr>
              <w:pStyle w:val="96"/>
              <w:spacing w:line="580" w:lineRule="exact"/>
              <w:rPr>
                <w:sz w:val="24"/>
                <w:szCs w:val="24"/>
                <w:lang w:bidi="ar"/>
              </w:rPr>
            </w:pPr>
            <w:r>
              <w:rPr>
                <w:rFonts w:hint="eastAsia"/>
                <w:sz w:val="24"/>
                <w:szCs w:val="24"/>
                <w:lang w:bidi="ar"/>
              </w:rPr>
              <w:t>建筑高度</w:t>
            </w:r>
          </w:p>
        </w:tc>
        <w:tc>
          <w:tcPr>
            <w:tcW w:w="1658" w:type="dxa"/>
            <w:vAlign w:val="center"/>
          </w:tcPr>
          <w:p>
            <w:pPr>
              <w:pStyle w:val="96"/>
              <w:spacing w:line="580" w:lineRule="exact"/>
              <w:rPr>
                <w:sz w:val="24"/>
                <w:szCs w:val="24"/>
                <w:lang w:bidi="ar"/>
              </w:rPr>
            </w:pPr>
            <w:r>
              <w:rPr>
                <w:rFonts w:hint="eastAsia"/>
                <w:sz w:val="24"/>
                <w:szCs w:val="24"/>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661" w:type="dxa"/>
            <w:vAlign w:val="center"/>
          </w:tcPr>
          <w:p>
            <w:pPr>
              <w:pStyle w:val="96"/>
              <w:spacing w:line="580" w:lineRule="exact"/>
              <w:rPr>
                <w:sz w:val="24"/>
                <w:szCs w:val="24"/>
                <w:lang w:bidi="ar"/>
              </w:rPr>
            </w:pPr>
            <w:r>
              <w:rPr>
                <w:rFonts w:hint="eastAsia"/>
                <w:sz w:val="24"/>
                <w:szCs w:val="24"/>
                <w:lang w:bidi="ar"/>
              </w:rPr>
              <w:t>＜1.5</w:t>
            </w:r>
          </w:p>
        </w:tc>
        <w:tc>
          <w:tcPr>
            <w:tcW w:w="1660" w:type="dxa"/>
            <w:vAlign w:val="center"/>
          </w:tcPr>
          <w:p>
            <w:pPr>
              <w:pStyle w:val="96"/>
              <w:spacing w:line="580" w:lineRule="exact"/>
              <w:rPr>
                <w:sz w:val="24"/>
                <w:szCs w:val="24"/>
                <w:lang w:bidi="ar"/>
              </w:rPr>
            </w:pPr>
            <w:r>
              <w:rPr>
                <w:rFonts w:hint="eastAsia"/>
                <w:sz w:val="24"/>
                <w:szCs w:val="24"/>
                <w:lang w:bidi="ar"/>
              </w:rPr>
              <w:t>＜40%</w:t>
            </w:r>
          </w:p>
        </w:tc>
        <w:tc>
          <w:tcPr>
            <w:tcW w:w="1660" w:type="dxa"/>
            <w:vAlign w:val="center"/>
          </w:tcPr>
          <w:p>
            <w:pPr>
              <w:pStyle w:val="96"/>
              <w:spacing w:line="580" w:lineRule="exact"/>
              <w:rPr>
                <w:sz w:val="24"/>
                <w:szCs w:val="24"/>
                <w:lang w:bidi="ar"/>
              </w:rPr>
            </w:pPr>
            <w:r>
              <w:rPr>
                <w:rFonts w:hint="eastAsia"/>
                <w:sz w:val="24"/>
                <w:szCs w:val="24"/>
                <w:lang w:bidi="ar"/>
              </w:rPr>
              <w:t>＞30%</w:t>
            </w:r>
          </w:p>
        </w:tc>
        <w:tc>
          <w:tcPr>
            <w:tcW w:w="1658" w:type="dxa"/>
            <w:vAlign w:val="center"/>
          </w:tcPr>
          <w:p>
            <w:pPr>
              <w:pStyle w:val="96"/>
              <w:spacing w:line="580" w:lineRule="exact"/>
              <w:rPr>
                <w:sz w:val="24"/>
                <w:szCs w:val="24"/>
                <w:lang w:bidi="ar"/>
              </w:rPr>
            </w:pPr>
            <w:r>
              <w:rPr>
                <w:rFonts w:hint="eastAsia"/>
                <w:sz w:val="24"/>
                <w:szCs w:val="24"/>
                <w:lang w:bidi="ar"/>
              </w:rPr>
              <w:t>＜15米</w:t>
            </w:r>
          </w:p>
        </w:tc>
        <w:tc>
          <w:tcPr>
            <w:tcW w:w="1658" w:type="dxa"/>
            <w:vAlign w:val="center"/>
          </w:tcPr>
          <w:p>
            <w:pPr>
              <w:pStyle w:val="96"/>
              <w:spacing w:line="580" w:lineRule="exact"/>
              <w:rPr>
                <w:sz w:val="24"/>
                <w:szCs w:val="24"/>
                <w:lang w:bidi="ar"/>
              </w:rPr>
            </w:pPr>
            <w:r>
              <w:rPr>
                <w:rFonts w:hint="eastAsia"/>
                <w:sz w:val="24"/>
                <w:szCs w:val="24"/>
                <w:lang w:bidi="ar"/>
              </w:rPr>
              <w:t>一般不超过四层</w:t>
            </w:r>
          </w:p>
        </w:tc>
      </w:tr>
    </w:tbl>
    <w:p>
      <w:pPr>
        <w:ind w:firstLine="640"/>
      </w:pPr>
      <w:r>
        <w:rPr>
          <w:rFonts w:hint="eastAsia"/>
        </w:rPr>
        <w:t>公共服务建筑</w:t>
      </w:r>
      <w:r>
        <w:rPr>
          <w:rFonts w:hint="eastAsia"/>
          <w:color w:val="000000"/>
          <w:kern w:val="0"/>
          <w:lang w:bidi="ar"/>
        </w:rPr>
        <w:t>间距、道路退让、边界退让须符合建筑防火消防安全和日照标准。</w:t>
      </w:r>
      <w:r>
        <w:rPr>
          <w:rFonts w:hint="eastAsia"/>
        </w:rPr>
        <w:t>公共服务建筑原址翻建、改造的，建筑面积不作限制，但须符合地块建设强度控制指标要求。</w:t>
      </w:r>
    </w:p>
    <w:p>
      <w:pPr>
        <w:ind w:firstLine="640"/>
      </w:pPr>
      <w:r>
        <w:rPr>
          <w:rFonts w:hint="eastAsia"/>
        </w:rPr>
        <w:t>鼓励利用村内空闲地、边角地，因地制宜，建设点式分散的小型绿地游园、活动</w:t>
      </w:r>
      <w:r>
        <w:t>广场</w:t>
      </w:r>
      <w:r>
        <w:rPr>
          <w:rFonts w:hint="eastAsia"/>
        </w:rPr>
        <w:t>、停车场等。游园、</w:t>
      </w:r>
      <w:r>
        <w:t>广场</w:t>
      </w:r>
      <w:r>
        <w:rPr>
          <w:rFonts w:hint="eastAsia"/>
        </w:rPr>
        <w:t>应</w:t>
      </w:r>
      <w:r>
        <w:t>当配备健身活动器材、儿童娱乐设施、休闲座椅等</w:t>
      </w:r>
      <w:r>
        <w:rPr>
          <w:rFonts w:hint="eastAsia"/>
        </w:rPr>
        <w:t>活动设施，</w:t>
      </w:r>
      <w:r>
        <w:t>提升村庄环境品质，增加村民休闲场所。</w:t>
      </w:r>
      <w:r>
        <w:rPr>
          <w:rFonts w:hint="eastAsia"/>
        </w:rPr>
        <w:t>村内游园、广场、停车场最大面积一般不超过2000平米；位于旅游景区或特色保护类游客较多的村庄，面积可适当增加。</w:t>
      </w:r>
    </w:p>
    <w:p>
      <w:pPr>
        <w:ind w:firstLine="640"/>
      </w:pPr>
      <w:r>
        <w:rPr>
          <w:rFonts w:hint="eastAsia"/>
        </w:rPr>
        <w:t>5</w:t>
      </w:r>
      <w:r>
        <w:t>.</w:t>
      </w:r>
      <w:r>
        <w:rPr>
          <w:rFonts w:hint="eastAsia"/>
        </w:rPr>
        <w:t>乡村产业管控</w:t>
      </w:r>
    </w:p>
    <w:p>
      <w:pPr>
        <w:ind w:firstLine="640"/>
      </w:pPr>
      <w:r>
        <w:rPr>
          <w:rFonts w:hint="eastAsia"/>
        </w:rPr>
        <w:t>乡村产业主要包括农业产业融合相关类项目和其他产业项目。</w:t>
      </w:r>
    </w:p>
    <w:p>
      <w:pPr>
        <w:ind w:firstLine="640"/>
      </w:pPr>
      <w:r>
        <w:rPr>
          <w:rFonts w:hint="eastAsia"/>
        </w:rPr>
        <w:t>农业产业融合相关类项目主要以农业农村资源为依托，拓展农业农村功能，延伸产业链条，涵盖农产品生产、加工、流通、就地消费等环节，用于农产品加工流通、农村休闲观光旅游、电子商务等混合融合的农村产业融合发展用地，土地用途可确定为工业用地、商业用地、物流仓储用地等。主要包括：农产品加工产业用地（包括农产品烘干、贮藏、保鲜、畜禽屠宰、冷链、净化、分捡、包装等产业）、生产性服务产业用地（包括农资配送、病虫害防治、农机作业服务、畜禽无害化处理与收集转运、畜禽粪污资源化利用、农产品流通、农产品仓储保鲜冷链物流设施、农业废弃物处理等产业）、生活性服务产业用地（包括乡村综合性服务网点、电商、快递、物流、商贸批发和零售等产业）、新产业新业态用地（包括“互联网+”现代农业、农产品电子商务、休闲农业和乡村旅游、民族风情旅游、红色文化与民俗文化、非遗传承、传统手工业、文化创意等新型业态用地；依托乡村资源优势，培育的农业特色小镇、地方特色产业用地）。</w:t>
      </w:r>
    </w:p>
    <w:p>
      <w:pPr>
        <w:ind w:firstLine="640"/>
      </w:pPr>
      <w:r>
        <w:rPr>
          <w:rFonts w:hint="eastAsia"/>
        </w:rPr>
        <w:t>农村产业融合相关类发展用地不得用于商品住宅、别墅、酒店、公寓等房地产开发，不得擅自改变用途或分割转让转租。</w:t>
      </w:r>
    </w:p>
    <w:p>
      <w:pPr>
        <w:ind w:firstLine="640"/>
      </w:pPr>
      <w:r>
        <w:rPr>
          <w:rFonts w:hint="eastAsia"/>
        </w:rPr>
        <w:t>农村产业融合类项目布局要求。项目规模较大、工业化程度高、分散布局配套设施成本高的产业项目要进产业园区。具有一定规模的农产品加工要向市区或有条件的乡镇城镇开发边界内集聚。直接服务种植养殖业的农产品加工、电子商务、仓储保鲜冷链、产地低温直销配送等产业，原则上应集中在行政村村庄建设边界内。利用农村本地资源开展农产品初加工、发展休闲观光旅游而必须的配套设施建设，可在不占用永久基本农田和生态保护红线、不突破国土空间规划建设用地指标等约束条件、不破坏生态环境和乡村风貌的前提下，在村庄建设边界外安排少量建设用地，实行比例和面积控制。符合环保政策的其他产业类项目，在不新建、扩建的条件下，可暂予以保留。集体经营性建设用地可以用于工业、商业、仓储、保障性租赁住房等经营性项目，不得用于房（地）产类开发、别墅类、私人会所等项目建设。</w:t>
      </w:r>
    </w:p>
    <w:p>
      <w:pPr>
        <w:ind w:firstLine="640"/>
      </w:pPr>
      <w:r>
        <w:rPr>
          <w:rFonts w:hint="eastAsia"/>
        </w:rPr>
        <w:t>本着节约集约用地的原则，乡村产业用地类项目建设强度一般符合以下规定：</w:t>
      </w:r>
    </w:p>
    <w:p>
      <w:pPr>
        <w:ind w:firstLine="640"/>
      </w:pPr>
    </w:p>
    <w:p>
      <w:pPr>
        <w:ind w:firstLine="640"/>
      </w:pPr>
    </w:p>
    <w:p>
      <w:pPr>
        <w:ind w:firstLine="640"/>
      </w:pPr>
    </w:p>
    <w:p>
      <w:pPr>
        <w:ind w:firstLine="640"/>
      </w:pPr>
    </w:p>
    <w:tbl>
      <w:tblPr>
        <w:tblStyle w:val="30"/>
        <w:tblW w:w="5000" w:type="pct"/>
        <w:jc w:val="center"/>
        <w:tblLayout w:type="autofit"/>
        <w:tblCellMar>
          <w:top w:w="0" w:type="dxa"/>
          <w:left w:w="108" w:type="dxa"/>
          <w:bottom w:w="0" w:type="dxa"/>
          <w:right w:w="108" w:type="dxa"/>
        </w:tblCellMar>
      </w:tblPr>
      <w:tblGrid>
        <w:gridCol w:w="1704"/>
        <w:gridCol w:w="1350"/>
        <w:gridCol w:w="2061"/>
        <w:gridCol w:w="2015"/>
        <w:gridCol w:w="1393"/>
      </w:tblGrid>
      <w:tr>
        <w:tblPrEx>
          <w:tblCellMar>
            <w:top w:w="0" w:type="dxa"/>
            <w:left w:w="108" w:type="dxa"/>
            <w:bottom w:w="0" w:type="dxa"/>
            <w:right w:w="108" w:type="dxa"/>
          </w:tblCellMar>
        </w:tblPrEx>
        <w:trPr>
          <w:trHeight w:val="373" w:hRule="atLeast"/>
          <w:jc w:val="center"/>
        </w:trPr>
        <w:tc>
          <w:tcPr>
            <w:tcW w:w="5000" w:type="pct"/>
            <w:gridSpan w:val="5"/>
            <w:tcBorders>
              <w:top w:val="single" w:color="auto" w:sz="4" w:space="0"/>
              <w:left w:val="single" w:color="auto" w:sz="4" w:space="0"/>
              <w:bottom w:val="single" w:color="auto" w:sz="4" w:space="0"/>
              <w:right w:val="single" w:color="auto" w:sz="4" w:space="0"/>
            </w:tcBorders>
            <w:noWrap/>
            <w:vAlign w:val="center"/>
          </w:tcPr>
          <w:p>
            <w:pPr>
              <w:pStyle w:val="98"/>
            </w:pPr>
            <w:r>
              <w:rPr>
                <w:rFonts w:hint="eastAsia"/>
              </w:rPr>
              <w:t>专栏14</w:t>
            </w:r>
            <w:r>
              <w:t>-11</w:t>
            </w:r>
            <w:r>
              <w:rPr>
                <w:rFonts w:hint="eastAsia"/>
                <w:lang w:bidi="ar"/>
              </w:rPr>
              <w:t>：</w:t>
            </w:r>
            <w:r>
              <w:rPr>
                <w:rFonts w:hint="eastAsia"/>
              </w:rPr>
              <w:t>乡村产业用地建设控制指标</w:t>
            </w:r>
          </w:p>
        </w:tc>
      </w:tr>
      <w:tr>
        <w:tblPrEx>
          <w:tblCellMar>
            <w:top w:w="0" w:type="dxa"/>
            <w:left w:w="108" w:type="dxa"/>
            <w:bottom w:w="0" w:type="dxa"/>
            <w:right w:w="108" w:type="dxa"/>
          </w:tblCellMar>
        </w:tblPrEx>
        <w:trPr>
          <w:trHeight w:val="706" w:hRule="atLeast"/>
          <w:jc w:val="center"/>
        </w:trPr>
        <w:tc>
          <w:tcPr>
            <w:tcW w:w="1000" w:type="pct"/>
            <w:tcBorders>
              <w:top w:val="single" w:color="auto" w:sz="4" w:space="0"/>
              <w:left w:val="single" w:color="auto" w:sz="4" w:space="0"/>
              <w:bottom w:val="single" w:color="auto" w:sz="4" w:space="0"/>
              <w:right w:val="single" w:color="auto" w:sz="4" w:space="0"/>
            </w:tcBorders>
            <w:noWrap/>
            <w:vAlign w:val="center"/>
          </w:tcPr>
          <w:p>
            <w:pPr>
              <w:pStyle w:val="96"/>
              <w:spacing w:line="580" w:lineRule="exact"/>
              <w:rPr>
                <w:sz w:val="24"/>
                <w:szCs w:val="24"/>
              </w:rPr>
            </w:pPr>
            <w:r>
              <w:rPr>
                <w:rFonts w:hint="eastAsia"/>
                <w:sz w:val="24"/>
                <w:szCs w:val="24"/>
              </w:rPr>
              <w:t>用地类型</w:t>
            </w:r>
          </w:p>
        </w:tc>
        <w:tc>
          <w:tcPr>
            <w:tcW w:w="792" w:type="pct"/>
            <w:tcBorders>
              <w:top w:val="single" w:color="auto" w:sz="4" w:space="0"/>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容积率</w:t>
            </w:r>
          </w:p>
        </w:tc>
        <w:tc>
          <w:tcPr>
            <w:tcW w:w="1209" w:type="pct"/>
            <w:tcBorders>
              <w:top w:val="single" w:color="auto" w:sz="4" w:space="0"/>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建筑密度（系数）</w:t>
            </w:r>
          </w:p>
        </w:tc>
        <w:tc>
          <w:tcPr>
            <w:tcW w:w="1182" w:type="pct"/>
            <w:tcBorders>
              <w:top w:val="single" w:color="auto" w:sz="4" w:space="0"/>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办公及配套设施用地所占比例</w:t>
            </w:r>
          </w:p>
        </w:tc>
        <w:tc>
          <w:tcPr>
            <w:tcW w:w="817" w:type="pct"/>
            <w:tcBorders>
              <w:top w:val="single" w:color="auto" w:sz="4" w:space="0"/>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建筑限高</w:t>
            </w:r>
          </w:p>
        </w:tc>
      </w:tr>
      <w:tr>
        <w:tblPrEx>
          <w:tblCellMar>
            <w:top w:w="0" w:type="dxa"/>
            <w:left w:w="108" w:type="dxa"/>
            <w:bottom w:w="0" w:type="dxa"/>
            <w:right w:w="108" w:type="dxa"/>
          </w:tblCellMar>
        </w:tblPrEx>
        <w:trPr>
          <w:trHeight w:val="288" w:hRule="atLeast"/>
          <w:jc w:val="center"/>
        </w:trPr>
        <w:tc>
          <w:tcPr>
            <w:tcW w:w="1000" w:type="pct"/>
            <w:tcBorders>
              <w:top w:val="nil"/>
              <w:left w:val="single" w:color="auto" w:sz="4" w:space="0"/>
              <w:bottom w:val="single" w:color="auto" w:sz="4" w:space="0"/>
              <w:right w:val="single" w:color="auto" w:sz="4" w:space="0"/>
            </w:tcBorders>
            <w:noWrap/>
            <w:vAlign w:val="center"/>
          </w:tcPr>
          <w:p>
            <w:pPr>
              <w:pStyle w:val="96"/>
              <w:spacing w:line="580" w:lineRule="exact"/>
              <w:rPr>
                <w:sz w:val="24"/>
                <w:szCs w:val="24"/>
              </w:rPr>
            </w:pPr>
            <w:r>
              <w:rPr>
                <w:rFonts w:hint="eastAsia"/>
                <w:sz w:val="24"/>
                <w:szCs w:val="24"/>
              </w:rPr>
              <w:t>工业</w:t>
            </w:r>
          </w:p>
        </w:tc>
        <w:tc>
          <w:tcPr>
            <w:tcW w:w="792" w:type="pct"/>
            <w:tcBorders>
              <w:top w:val="nil"/>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＞1.0</w:t>
            </w:r>
          </w:p>
        </w:tc>
        <w:tc>
          <w:tcPr>
            <w:tcW w:w="1209" w:type="pct"/>
            <w:tcBorders>
              <w:top w:val="nil"/>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＞40%</w:t>
            </w:r>
          </w:p>
        </w:tc>
        <w:tc>
          <w:tcPr>
            <w:tcW w:w="1182" w:type="pct"/>
            <w:tcBorders>
              <w:top w:val="nil"/>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＜7%</w:t>
            </w:r>
          </w:p>
        </w:tc>
        <w:tc>
          <w:tcPr>
            <w:tcW w:w="817" w:type="pct"/>
            <w:tcBorders>
              <w:top w:val="nil"/>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＜15</w:t>
            </w:r>
          </w:p>
        </w:tc>
      </w:tr>
      <w:tr>
        <w:tblPrEx>
          <w:tblCellMar>
            <w:top w:w="0" w:type="dxa"/>
            <w:left w:w="108" w:type="dxa"/>
            <w:bottom w:w="0" w:type="dxa"/>
            <w:right w:w="108" w:type="dxa"/>
          </w:tblCellMar>
        </w:tblPrEx>
        <w:trPr>
          <w:trHeight w:val="288" w:hRule="atLeast"/>
          <w:jc w:val="center"/>
        </w:trPr>
        <w:tc>
          <w:tcPr>
            <w:tcW w:w="1000" w:type="pct"/>
            <w:tcBorders>
              <w:top w:val="nil"/>
              <w:left w:val="single" w:color="auto" w:sz="4" w:space="0"/>
              <w:bottom w:val="single" w:color="auto" w:sz="4" w:space="0"/>
              <w:right w:val="single" w:color="auto" w:sz="4" w:space="0"/>
            </w:tcBorders>
            <w:noWrap/>
            <w:vAlign w:val="center"/>
          </w:tcPr>
          <w:p>
            <w:pPr>
              <w:pStyle w:val="96"/>
              <w:spacing w:line="580" w:lineRule="exact"/>
              <w:rPr>
                <w:sz w:val="24"/>
                <w:szCs w:val="24"/>
              </w:rPr>
            </w:pPr>
            <w:r>
              <w:rPr>
                <w:rFonts w:hint="eastAsia"/>
                <w:sz w:val="24"/>
                <w:szCs w:val="24"/>
              </w:rPr>
              <w:t>仓储</w:t>
            </w:r>
          </w:p>
        </w:tc>
        <w:tc>
          <w:tcPr>
            <w:tcW w:w="792" w:type="pct"/>
            <w:tcBorders>
              <w:top w:val="nil"/>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＞1.0</w:t>
            </w:r>
          </w:p>
        </w:tc>
        <w:tc>
          <w:tcPr>
            <w:tcW w:w="1209" w:type="pct"/>
            <w:tcBorders>
              <w:top w:val="nil"/>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＞40%</w:t>
            </w:r>
          </w:p>
        </w:tc>
        <w:tc>
          <w:tcPr>
            <w:tcW w:w="1182" w:type="pct"/>
            <w:tcBorders>
              <w:top w:val="nil"/>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＜7%</w:t>
            </w:r>
          </w:p>
        </w:tc>
        <w:tc>
          <w:tcPr>
            <w:tcW w:w="817" w:type="pct"/>
            <w:tcBorders>
              <w:top w:val="nil"/>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＜15</w:t>
            </w:r>
          </w:p>
        </w:tc>
      </w:tr>
      <w:tr>
        <w:tblPrEx>
          <w:tblCellMar>
            <w:top w:w="0" w:type="dxa"/>
            <w:left w:w="108" w:type="dxa"/>
            <w:bottom w:w="0" w:type="dxa"/>
            <w:right w:w="108" w:type="dxa"/>
          </w:tblCellMar>
        </w:tblPrEx>
        <w:trPr>
          <w:trHeight w:val="288" w:hRule="atLeast"/>
          <w:jc w:val="center"/>
        </w:trPr>
        <w:tc>
          <w:tcPr>
            <w:tcW w:w="1000" w:type="pct"/>
            <w:tcBorders>
              <w:top w:val="nil"/>
              <w:left w:val="single" w:color="auto" w:sz="4" w:space="0"/>
              <w:bottom w:val="single" w:color="auto" w:sz="4" w:space="0"/>
              <w:right w:val="single" w:color="auto" w:sz="4" w:space="0"/>
            </w:tcBorders>
            <w:noWrap/>
            <w:vAlign w:val="center"/>
          </w:tcPr>
          <w:p>
            <w:pPr>
              <w:pStyle w:val="96"/>
              <w:spacing w:line="580" w:lineRule="exact"/>
              <w:rPr>
                <w:sz w:val="24"/>
                <w:szCs w:val="24"/>
              </w:rPr>
            </w:pPr>
            <w:r>
              <w:rPr>
                <w:rFonts w:hint="eastAsia"/>
                <w:sz w:val="24"/>
                <w:szCs w:val="24"/>
              </w:rPr>
              <w:t>商业</w:t>
            </w:r>
          </w:p>
        </w:tc>
        <w:tc>
          <w:tcPr>
            <w:tcW w:w="792" w:type="pct"/>
            <w:tcBorders>
              <w:top w:val="nil"/>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＜1.5</w:t>
            </w:r>
          </w:p>
        </w:tc>
        <w:tc>
          <w:tcPr>
            <w:tcW w:w="1209" w:type="pct"/>
            <w:tcBorders>
              <w:top w:val="nil"/>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＜40%</w:t>
            </w:r>
          </w:p>
        </w:tc>
        <w:tc>
          <w:tcPr>
            <w:tcW w:w="1182" w:type="pct"/>
            <w:tcBorders>
              <w:top w:val="nil"/>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＜20%</w:t>
            </w:r>
          </w:p>
        </w:tc>
        <w:tc>
          <w:tcPr>
            <w:tcW w:w="817" w:type="pct"/>
            <w:tcBorders>
              <w:top w:val="nil"/>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＜15</w:t>
            </w:r>
          </w:p>
        </w:tc>
      </w:tr>
      <w:tr>
        <w:tblPrEx>
          <w:tblCellMar>
            <w:top w:w="0" w:type="dxa"/>
            <w:left w:w="108" w:type="dxa"/>
            <w:bottom w:w="0" w:type="dxa"/>
            <w:right w:w="108" w:type="dxa"/>
          </w:tblCellMar>
        </w:tblPrEx>
        <w:trPr>
          <w:trHeight w:val="288" w:hRule="atLeast"/>
          <w:jc w:val="center"/>
        </w:trPr>
        <w:tc>
          <w:tcPr>
            <w:tcW w:w="1000" w:type="pct"/>
            <w:tcBorders>
              <w:top w:val="nil"/>
              <w:left w:val="single" w:color="auto" w:sz="4" w:space="0"/>
              <w:bottom w:val="single" w:color="auto" w:sz="4" w:space="0"/>
              <w:right w:val="single" w:color="auto" w:sz="4" w:space="0"/>
            </w:tcBorders>
            <w:noWrap/>
            <w:vAlign w:val="center"/>
          </w:tcPr>
          <w:p>
            <w:pPr>
              <w:pStyle w:val="96"/>
              <w:spacing w:line="580" w:lineRule="exact"/>
              <w:rPr>
                <w:sz w:val="24"/>
                <w:szCs w:val="24"/>
              </w:rPr>
            </w:pPr>
            <w:r>
              <w:rPr>
                <w:rFonts w:hint="eastAsia"/>
                <w:sz w:val="24"/>
                <w:szCs w:val="24"/>
              </w:rPr>
              <w:t>其他</w:t>
            </w:r>
          </w:p>
        </w:tc>
        <w:tc>
          <w:tcPr>
            <w:tcW w:w="792" w:type="pct"/>
            <w:tcBorders>
              <w:top w:val="nil"/>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＜1.5</w:t>
            </w:r>
          </w:p>
        </w:tc>
        <w:tc>
          <w:tcPr>
            <w:tcW w:w="1209" w:type="pct"/>
            <w:tcBorders>
              <w:top w:val="nil"/>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＜35%</w:t>
            </w:r>
          </w:p>
        </w:tc>
        <w:tc>
          <w:tcPr>
            <w:tcW w:w="1182" w:type="pct"/>
            <w:tcBorders>
              <w:top w:val="nil"/>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＞35%</w:t>
            </w:r>
          </w:p>
        </w:tc>
        <w:tc>
          <w:tcPr>
            <w:tcW w:w="817" w:type="pct"/>
            <w:tcBorders>
              <w:top w:val="nil"/>
              <w:left w:val="nil"/>
              <w:bottom w:val="single" w:color="auto" w:sz="4" w:space="0"/>
              <w:right w:val="single" w:color="auto" w:sz="4" w:space="0"/>
            </w:tcBorders>
            <w:vAlign w:val="center"/>
          </w:tcPr>
          <w:p>
            <w:pPr>
              <w:pStyle w:val="96"/>
              <w:spacing w:line="580" w:lineRule="exact"/>
              <w:rPr>
                <w:sz w:val="24"/>
                <w:szCs w:val="24"/>
              </w:rPr>
            </w:pPr>
            <w:r>
              <w:rPr>
                <w:rFonts w:hint="eastAsia"/>
                <w:sz w:val="24"/>
                <w:szCs w:val="24"/>
              </w:rPr>
              <w:t>＜15</w:t>
            </w:r>
          </w:p>
        </w:tc>
      </w:tr>
    </w:tbl>
    <w:p>
      <w:pPr>
        <w:ind w:firstLine="640"/>
      </w:pPr>
      <w:r>
        <w:rPr>
          <w:rFonts w:hint="eastAsia"/>
        </w:rPr>
        <w:t>对于远离村庄居民点的产业类项目，在符合国家相关规定且不影响周边相邻方相关权益的情况下，建筑限高可适当提高，最高不超过24（不包括）米。畜牧养殖类产业须符合环保有关政策规定。</w:t>
      </w:r>
    </w:p>
    <w:p>
      <w:pPr>
        <w:ind w:firstLine="640"/>
      </w:pPr>
      <w:r>
        <w:rPr>
          <w:rFonts w:hint="eastAsia"/>
        </w:rPr>
        <w:t>产业类项目建筑间距、建筑退界须满消防规范规定，不影响周边相邻权益的日照采光要求。</w:t>
      </w:r>
    </w:p>
    <w:p>
      <w:pPr>
        <w:ind w:firstLine="640"/>
      </w:pPr>
      <w:r>
        <w:rPr>
          <w:rFonts w:hint="eastAsia"/>
        </w:rPr>
        <w:t>鼓励产业空间用地实行复合利用。他产业用地在符合环保、安全条件下，用地性质可兼容。</w:t>
      </w:r>
    </w:p>
    <w:p>
      <w:pPr>
        <w:ind w:firstLine="640"/>
      </w:pPr>
      <w:r>
        <w:rPr>
          <w:rFonts w:hint="eastAsia"/>
        </w:rPr>
        <w:t>乡国土空间规划或村庄规划中的“预留机动指标”，可用于保障暂时无法确定位置的村民居住、农村公共公益设施以及零星公散的农（矿）产品初加工、乡村文旅设施、农村新产业新业态等一二三产业融合发展用地需求。机动指标不得超过本乡预留机动指标。</w:t>
      </w:r>
    </w:p>
    <w:p>
      <w:pPr>
        <w:ind w:firstLine="640"/>
      </w:pPr>
      <w:r>
        <w:rPr>
          <w:rFonts w:hint="eastAsia"/>
        </w:rPr>
        <w:t>村庄规划确定的“留白”用地，经村民委会员讨论、乡镇乡村规划委员会审议通过，报自然资源和规划局同意后，可按程序报建相应项目。</w:t>
      </w:r>
    </w:p>
    <w:p>
      <w:pPr>
        <w:ind w:firstLine="640"/>
      </w:pPr>
      <w:r>
        <w:rPr>
          <w:rFonts w:hint="eastAsia"/>
        </w:rPr>
        <w:t>使用预留机动指标或留白用地的，除符合国土产业相关政策外，经市规划委员会审议。</w:t>
      </w:r>
    </w:p>
    <w:p>
      <w:pPr>
        <w:ind w:firstLine="640"/>
      </w:pPr>
      <w:r>
        <w:rPr>
          <w:rFonts w:hint="eastAsia"/>
        </w:rPr>
        <w:t>在产业类项目实施过程中，在不突破乡国土空间规划或村庄规划强制性指标情况下，为实现更好管控，可独立编制地块管控图则，报市规划委员会审议同意后实施。</w:t>
      </w:r>
    </w:p>
    <w:p>
      <w:pPr>
        <w:ind w:firstLine="640"/>
      </w:pPr>
      <w:r>
        <w:rPr>
          <w:rFonts w:hint="eastAsia"/>
        </w:rPr>
        <w:t>使用按程序使用“留白”或“预留机动指标”的，待用地手续批准后，更新国土空间“一张图”。</w:t>
      </w:r>
    </w:p>
    <w:p>
      <w:pPr>
        <w:pStyle w:val="4"/>
      </w:pPr>
      <w:r>
        <w:rPr>
          <w:rFonts w:hint="eastAsia"/>
        </w:rPr>
        <w:t>历史文化保护</w:t>
      </w:r>
    </w:p>
    <w:p>
      <w:pPr>
        <w:ind w:firstLine="640"/>
        <w:rPr>
          <w:color w:val="000000"/>
          <w:kern w:val="0"/>
          <w:lang w:bidi="ar"/>
        </w:rPr>
      </w:pPr>
      <w:r>
        <w:rPr>
          <w:rFonts w:hint="eastAsia"/>
        </w:rPr>
        <w:t>落实县、乡镇规划确定的历史文化保护控制线，加强</w:t>
      </w:r>
      <w:r>
        <w:rPr>
          <w:rFonts w:hint="eastAsia"/>
          <w:color w:val="000000"/>
          <w:kern w:val="0"/>
          <w:lang w:bidi="ar"/>
        </w:rPr>
        <w:t>历史文化要素管控。</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4"/>
        <w:gridCol w:w="64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5000" w:type="pct"/>
            <w:gridSpan w:val="2"/>
            <w:vAlign w:val="center"/>
          </w:tcPr>
          <w:p>
            <w:pPr>
              <w:pStyle w:val="98"/>
              <w:ind w:firstLine="560"/>
              <w:rPr>
                <w:lang w:val="zh-CN"/>
              </w:rPr>
            </w:pPr>
            <w:r>
              <w:rPr>
                <w:rFonts w:hint="eastAsia"/>
                <w:lang w:val="zh-CN"/>
              </w:rPr>
              <w:t>专栏14</w:t>
            </w:r>
            <w:r>
              <w:rPr>
                <w:lang w:val="zh-CN"/>
              </w:rPr>
              <w:t>-12</w:t>
            </w:r>
            <w:r>
              <w:rPr>
                <w:rFonts w:hint="eastAsia"/>
                <w:lang w:bidi="ar"/>
              </w:rPr>
              <w:t>：</w:t>
            </w:r>
            <w:r>
              <w:rPr>
                <w:rFonts w:hint="eastAsia"/>
                <w:lang w:val="zh-CN"/>
              </w:rPr>
              <w:t>历史文化要素管控要求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spacing w:line="580" w:lineRule="exact"/>
              <w:rPr>
                <w:sz w:val="24"/>
                <w:szCs w:val="24"/>
                <w:lang w:val="zh-CN"/>
              </w:rPr>
            </w:pPr>
            <w:r>
              <w:rPr>
                <w:rFonts w:hint="eastAsia"/>
                <w:sz w:val="24"/>
                <w:szCs w:val="24"/>
                <w:lang w:val="zh-CN"/>
              </w:rPr>
              <w:t>历史文化要素</w:t>
            </w:r>
          </w:p>
        </w:tc>
        <w:tc>
          <w:tcPr>
            <w:tcW w:w="3807" w:type="pct"/>
            <w:vAlign w:val="center"/>
          </w:tcPr>
          <w:p>
            <w:pPr>
              <w:pStyle w:val="96"/>
              <w:spacing w:line="580" w:lineRule="exact"/>
              <w:rPr>
                <w:sz w:val="24"/>
                <w:szCs w:val="24"/>
                <w:lang w:val="zh-CN"/>
              </w:rPr>
            </w:pPr>
            <w:r>
              <w:rPr>
                <w:rFonts w:hint="eastAsia"/>
                <w:sz w:val="24"/>
                <w:szCs w:val="24"/>
                <w:lang w:val="zh-CN"/>
              </w:rPr>
              <w:t>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spacing w:line="580" w:lineRule="exact"/>
              <w:rPr>
                <w:sz w:val="24"/>
                <w:szCs w:val="24"/>
                <w:lang w:val="zh-CN"/>
              </w:rPr>
            </w:pPr>
            <w:r>
              <w:rPr>
                <w:rFonts w:hint="eastAsia"/>
                <w:sz w:val="24"/>
                <w:szCs w:val="24"/>
                <w:lang w:val="zh-CN"/>
              </w:rPr>
              <w:t>文物保护单位</w:t>
            </w:r>
          </w:p>
        </w:tc>
        <w:tc>
          <w:tcPr>
            <w:tcW w:w="3807" w:type="pct"/>
            <w:vAlign w:val="center"/>
          </w:tcPr>
          <w:p>
            <w:pPr>
              <w:pStyle w:val="96"/>
              <w:spacing w:line="580" w:lineRule="exact"/>
              <w:jc w:val="left"/>
              <w:rPr>
                <w:sz w:val="24"/>
                <w:szCs w:val="24"/>
                <w:lang w:val="zh-CN"/>
              </w:rPr>
            </w:pPr>
            <w:r>
              <w:rPr>
                <w:rFonts w:hint="eastAsia"/>
                <w:sz w:val="24"/>
                <w:szCs w:val="24"/>
                <w:lang w:val="zh-CN"/>
              </w:rPr>
              <w:t>各级文物保护单位的保护范围和建设控制地带以及地下文物埋藏区的界线，以各级人民政府公布的保护范围、建设控制地带为准。应严格按照《文物法》相关规定和程序进行保护和修缮。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spacing w:line="580" w:lineRule="exact"/>
              <w:rPr>
                <w:sz w:val="24"/>
                <w:szCs w:val="24"/>
                <w:lang w:val="zh-CN"/>
              </w:rPr>
            </w:pPr>
            <w:r>
              <w:rPr>
                <w:rFonts w:hint="eastAsia"/>
                <w:sz w:val="24"/>
                <w:szCs w:val="24"/>
                <w:lang w:val="zh-CN"/>
              </w:rPr>
              <w:t>历史建筑</w:t>
            </w:r>
          </w:p>
        </w:tc>
        <w:tc>
          <w:tcPr>
            <w:tcW w:w="3807" w:type="pct"/>
            <w:vAlign w:val="center"/>
          </w:tcPr>
          <w:p>
            <w:pPr>
              <w:pStyle w:val="96"/>
              <w:spacing w:line="580" w:lineRule="exact"/>
              <w:jc w:val="left"/>
              <w:rPr>
                <w:sz w:val="24"/>
                <w:szCs w:val="24"/>
                <w:lang w:val="zh-CN"/>
              </w:rPr>
            </w:pPr>
            <w:r>
              <w:rPr>
                <w:rFonts w:hint="eastAsia"/>
                <w:sz w:val="24"/>
                <w:szCs w:val="24"/>
                <w:lang w:val="zh-CN"/>
              </w:rPr>
              <w:t>1）采取整体保护、严格保护的措施，确保整体风貌的完整性。</w:t>
            </w:r>
          </w:p>
          <w:p>
            <w:pPr>
              <w:pStyle w:val="96"/>
              <w:spacing w:line="580" w:lineRule="exact"/>
              <w:jc w:val="left"/>
              <w:rPr>
                <w:sz w:val="24"/>
                <w:szCs w:val="24"/>
                <w:lang w:val="zh-CN"/>
              </w:rPr>
            </w:pPr>
            <w:r>
              <w:rPr>
                <w:rFonts w:hint="eastAsia"/>
                <w:sz w:val="24"/>
                <w:szCs w:val="24"/>
                <w:lang w:val="zh-CN"/>
              </w:rPr>
              <w:t>2）树立保护标志和其他保护设施，明确保护范围界线。</w:t>
            </w:r>
          </w:p>
          <w:p>
            <w:pPr>
              <w:pStyle w:val="96"/>
              <w:spacing w:line="580" w:lineRule="exact"/>
              <w:jc w:val="left"/>
              <w:rPr>
                <w:sz w:val="24"/>
                <w:szCs w:val="24"/>
                <w:lang w:val="zh-CN"/>
              </w:rPr>
            </w:pPr>
            <w:r>
              <w:rPr>
                <w:rFonts w:hint="eastAsia"/>
                <w:sz w:val="24"/>
                <w:szCs w:val="24"/>
                <w:lang w:val="zh-CN"/>
              </w:rPr>
              <w:t>3）保护传统的街巷格局，保护街巷空间的比例、尺度和材质。</w:t>
            </w:r>
          </w:p>
          <w:p>
            <w:pPr>
              <w:pStyle w:val="96"/>
              <w:spacing w:line="580" w:lineRule="exact"/>
              <w:jc w:val="left"/>
              <w:rPr>
                <w:sz w:val="24"/>
                <w:szCs w:val="24"/>
                <w:lang w:val="zh-CN"/>
              </w:rPr>
            </w:pPr>
            <w:r>
              <w:rPr>
                <w:rFonts w:hint="eastAsia"/>
                <w:sz w:val="24"/>
                <w:szCs w:val="24"/>
                <w:lang w:val="zh-CN"/>
              </w:rPr>
              <w:t>4）建筑处理应尊重历史，力求保持原貌，严格控制建筑形式、高度、体量、材料、色彩及比例、尺度。</w:t>
            </w:r>
          </w:p>
          <w:p>
            <w:pPr>
              <w:pStyle w:val="96"/>
              <w:spacing w:line="580" w:lineRule="exact"/>
              <w:jc w:val="left"/>
              <w:rPr>
                <w:sz w:val="24"/>
                <w:szCs w:val="24"/>
                <w:lang w:val="zh-CN"/>
              </w:rPr>
            </w:pPr>
            <w:r>
              <w:rPr>
                <w:rFonts w:hint="eastAsia"/>
                <w:sz w:val="24"/>
                <w:szCs w:val="24"/>
                <w:lang w:val="zh-CN"/>
              </w:rPr>
              <w:t>5）传统建筑一般外部按历史风貌要求保护修缮，内部可进行既符合传统特点又适应现代生活需要的更新改造，改善使用条件。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spacing w:line="580" w:lineRule="exact"/>
              <w:rPr>
                <w:sz w:val="24"/>
                <w:szCs w:val="24"/>
                <w:lang w:val="zh-CN"/>
              </w:rPr>
            </w:pPr>
            <w:r>
              <w:rPr>
                <w:rFonts w:hint="eastAsia"/>
                <w:sz w:val="24"/>
                <w:szCs w:val="24"/>
                <w:lang w:val="zh-CN"/>
              </w:rPr>
              <w:t>古井、古桥、古树</w:t>
            </w:r>
          </w:p>
        </w:tc>
        <w:tc>
          <w:tcPr>
            <w:tcW w:w="3807" w:type="pct"/>
            <w:vAlign w:val="center"/>
          </w:tcPr>
          <w:p>
            <w:pPr>
              <w:pStyle w:val="96"/>
              <w:spacing w:line="580" w:lineRule="exact"/>
              <w:jc w:val="left"/>
              <w:rPr>
                <w:sz w:val="24"/>
                <w:szCs w:val="24"/>
                <w:lang w:val="zh-CN"/>
              </w:rPr>
            </w:pPr>
            <w:r>
              <w:rPr>
                <w:rFonts w:hint="eastAsia"/>
                <w:sz w:val="24"/>
                <w:szCs w:val="24"/>
                <w:lang w:val="zh-CN"/>
              </w:rPr>
              <w:t>对古井、古桥、古树等环境要素实行“挂牌”保护。</w:t>
            </w:r>
          </w:p>
        </w:tc>
      </w:tr>
    </w:tbl>
    <w:p>
      <w:pPr>
        <w:ind w:firstLine="640"/>
      </w:pPr>
      <w:r>
        <w:rPr>
          <w:rFonts w:hint="eastAsia"/>
        </w:rPr>
        <w:t>切实加强保护。保护范围内禁止新建其他无关建（构）筑物；不得损害历史文化街区、历史建筑、传统村落的原真性和完整性；不得破坏历史文化街区的历史肌理、历史街巷、空间尺度和景观环境 ,以及古井、古桥、古树等环境要素。</w:t>
      </w:r>
    </w:p>
    <w:p>
      <w:pPr>
        <w:ind w:firstLine="640"/>
      </w:pPr>
      <w:r>
        <w:rPr>
          <w:rFonts w:hint="eastAsia"/>
        </w:rPr>
        <w:t>全面修缮维护。采用“绣花”“织补”等微改造方式，充分利用修缮技艺传承人和传统工匠,结合建筑原有形制、结构、材料，运用传统工艺和现代技术，进行修缮加固，保护、延续传统建筑组群的传统格局特征和风貌特色，让不同时代的建筑完整保留城乡发展变迁的脉络，体现价值特色。</w:t>
      </w:r>
    </w:p>
    <w:p>
      <w:pPr>
        <w:ind w:firstLine="640"/>
      </w:pPr>
      <w:r>
        <w:rPr>
          <w:rFonts w:hint="eastAsia"/>
        </w:rPr>
        <w:t>合理开发利用。在风貌协调区，积极引进新业态，利用市场营销的手段，将新兴产业和传统商业引入历史文化街区和历史建筑中，把历史文化街区开发成为保存城乡记忆、延续历史文脉、滋养地域风格的重要载体和平台。坚持“留、改、拆”并举，以“保护、利用、提升”为主的原则,严防大拆大建、拆真建假。在保持历史建筑原有外观风貌、典型构件的基础上，改善内部空间品质，合理增设厨卫设施、适老化设施、消防安全设施等，通过加建、改建和添加设施等方式使之适应现代生产生活需要。保护开发传统村落,建设文化活动场地、老年活动场所、中小学社会实践教育基地、文创基地等公共服务设施，促进生态农业、乡村旅游发展，推动乡村振兴。系统梳理文物资源，深入挖掘其历史价值和旅游资源禀赋，将文物保护与乡村建设统筹结合。鼓励历史文化名城名镇博物馆建设，有条件的名村设立村史馆，通过专项陈列展览和各类教育活动，强化基本公共文化服务功能。</w:t>
      </w:r>
    </w:p>
    <w:p>
      <w:pPr>
        <w:pStyle w:val="4"/>
        <w:rPr>
          <w:lang w:bidi="ar"/>
        </w:rPr>
      </w:pPr>
      <w:r>
        <w:rPr>
          <w:rFonts w:hint="eastAsia"/>
          <w:lang w:bidi="ar"/>
        </w:rPr>
        <w:t>防灾减灾管控</w:t>
      </w:r>
    </w:p>
    <w:p>
      <w:pPr>
        <w:ind w:firstLine="640"/>
      </w:pPr>
      <w:r>
        <w:t>加强村庄消防设施建设。根据村庄规模、区域条件、经济发展状况等因素设置消防点。消防点应满足如下要求：</w:t>
      </w:r>
      <w:r>
        <w:rPr>
          <w:rFonts w:hint="eastAsia"/>
        </w:rPr>
        <w:t>有固定的地点和房屋建筑，并有明显标识。配备消防车、手抬机动泵、水枪、水带、灭火器、破拆工具等全部或部分消防设备。设置火警电话和消防值班人员。有专职、义务或志愿消防队员。</w:t>
      </w:r>
    </w:p>
    <w:p>
      <w:pPr>
        <w:ind w:firstLine="640"/>
      </w:pPr>
      <w:r>
        <w:t>村庄应配备消防水源、消防设备。消防水源可结合村庄实际环境条件，充分利用给水管网、水池、坑塘天然水源和消防水池等作为消防水源。充分利用满足一定灭火要求的农用车、洒水车、灌溉机动泵等农用设施作为消防装备的补充。</w:t>
      </w:r>
    </w:p>
    <w:p>
      <w:pPr>
        <w:ind w:firstLine="640"/>
      </w:pPr>
      <w:r>
        <w:t>各行政村应建立相应的消防安全组织，确定消防安全人员，制定防火安全制度，进行消防安全检查，开展消防安全教育，落实消防安全责任，配备必要的消防力量和消防器材装备。</w:t>
      </w:r>
    </w:p>
    <w:p>
      <w:pPr>
        <w:ind w:firstLine="640"/>
      </w:pPr>
      <w:r>
        <w:t>村庄范围内的建筑一般按照7度抗震烈度设防；供水供电等生命线工程按照8度抗震烈度设防，确保震时供水、供电、通讯、医务室等生命线工程设施的有效供给。</w:t>
      </w:r>
    </w:p>
    <w:p>
      <w:pPr>
        <w:ind w:firstLine="640"/>
      </w:pPr>
      <w:r>
        <w:t>村庄防洪及排涝标准按10年一遇设防。</w:t>
      </w:r>
    </w:p>
    <w:p>
      <w:pPr>
        <w:ind w:firstLine="640"/>
        <w:rPr>
          <w:lang w:bidi="ar"/>
        </w:rPr>
      </w:pPr>
      <w:r>
        <w:t>农村建设项目不得在地质灾害危险区、洪涝灾害频发区、河道管理范围内、地下采空区和地展断裂带等危险区域建设，应当避让蓄滞洪区等低洼地区</w:t>
      </w:r>
      <w:r>
        <w:rPr>
          <w:rFonts w:hint="eastAsia"/>
        </w:rPr>
        <w:t>。</w:t>
      </w:r>
    </w:p>
    <w:p>
      <w:pPr>
        <w:pStyle w:val="4"/>
        <w:rPr>
          <w:lang w:bidi="ar"/>
        </w:rPr>
      </w:pPr>
      <w:r>
        <w:rPr>
          <w:rFonts w:hint="eastAsia"/>
          <w:lang w:bidi="ar"/>
        </w:rPr>
        <w:t>环境综合整治管控</w:t>
      </w:r>
    </w:p>
    <w:p>
      <w:pPr>
        <w:ind w:firstLine="640"/>
      </w:pPr>
      <w:r>
        <w:t>加大村庄交通、供水、绿化、公共照明、医疗、垃圾处理、厕所、污水处理等基础设施和公共服务设施建设与整治，持续改善农村人居环境。</w:t>
      </w:r>
    </w:p>
    <w:p>
      <w:pPr>
        <w:ind w:firstLine="640"/>
      </w:pPr>
      <w:r>
        <w:t>围绕村庄道路、建筑风貌、村庄院落、坑塘水面、残垣断壁、环境卫生等重点，开展村庄环境综合整治，构建干净、整洁、有序的乡村空间，提升村庄整体品位。</w:t>
      </w:r>
    </w:p>
    <w:p>
      <w:pPr>
        <w:ind w:firstLine="640"/>
      </w:pPr>
      <w:r>
        <w:t>遵循村庄现有道路网格局，尊重原有道路肌理，避免大拆大建，对村庄道路进行改造、整治和提升。对破损的路面进行修整，对未硬化道路进行硬化，对未亮化的道路进行亮化，对空中凌乱线路进行整治整合提升，敷设各类管线，同步建设燃气、给、排水设施，营造良好的村庄交通环境，方便村民生活与出行。</w:t>
      </w:r>
    </w:p>
    <w:p>
      <w:pPr>
        <w:ind w:firstLine="640"/>
      </w:pPr>
      <w:r>
        <w:t>持续开展农村4G网络优化，加快推进农村5G网络建设，加强农村广电和移动基站建设与维护，提升农村网络覆盖质量，打造数字乡村、智慧乡村。</w:t>
      </w:r>
    </w:p>
    <w:p>
      <w:pPr>
        <w:ind w:firstLine="640"/>
      </w:pPr>
      <w:r>
        <w:t>重点清理侵街占道、私搭乱建等违章建筑和残垣断壁，街巷两侧禁止随意堆放物品，柴草、杂物、建筑材料等。有效利用村内空闲地、边角地等闲置建设用地，开展水旁、路旁、宅旁、村旁绿化，沿村庄主要道路种植乔木、灌木、地被等乡土植物，对重要节点进行整治绿化，建设小微游园、小微广场，提升村庄“颜值”。</w:t>
      </w:r>
    </w:p>
    <w:p>
      <w:pPr>
        <w:ind w:firstLine="640"/>
      </w:pPr>
      <w:r>
        <w:t>加大农村环卫设施建设，每村70-100米规划设置一个垃圾筒，集中设置一个垃圾收集点，建立一支专业环卫保洁队全，实现农村垃圾“村收、</w:t>
      </w:r>
      <w:r>
        <w:rPr>
          <w:rFonts w:hint="eastAsia"/>
        </w:rPr>
        <w:t>乡</w:t>
      </w:r>
      <w:r>
        <w:t>运、市处”。</w:t>
      </w:r>
    </w:p>
    <w:p>
      <w:pPr>
        <w:ind w:firstLine="640"/>
      </w:pPr>
      <w:r>
        <w:t>加快农村污水管网建设，因村制宜，整治废旧坑塘、河道、黑臭水体。推动生活污水治理、厕所粪污与绿色农业发展有机结合，提升农村治污水平。</w:t>
      </w:r>
    </w:p>
    <w:p>
      <w:pPr>
        <w:ind w:firstLine="640"/>
      </w:pPr>
      <w:r>
        <w:t>农村生活污水不得直接外排，宜经过化粪池或沼气池等污水处理设施处理达标后排放。</w:t>
      </w:r>
    </w:p>
    <w:p>
      <w:pPr>
        <w:ind w:firstLine="640"/>
        <w:sectPr>
          <w:pgSz w:w="11907" w:h="16839"/>
          <w:pgMar w:top="1440" w:right="1800" w:bottom="1440" w:left="1800" w:header="851" w:footer="680" w:gutter="0"/>
          <w:cols w:space="1135" w:num="1"/>
          <w:docGrid w:type="lines" w:linePitch="326" w:charSpace="0"/>
        </w:sectPr>
      </w:pPr>
      <w:r>
        <w:t>围绕“去危房、整旧房、治违房、提风貌”的目的，重点开展房前屋后整治提升。对与村庄整体风貌不完全一致的建筑外观加以整修；对影响环境的危旧房和乱搭乱建的附房进行整治和拆除，消除安全隐患，提升村容村貌</w:t>
      </w:r>
      <w:r>
        <w:rPr>
          <w:rFonts w:hint="eastAsia"/>
        </w:rPr>
        <w:t>。</w:t>
      </w:r>
    </w:p>
    <w:p>
      <w:pPr>
        <w:ind w:firstLine="640"/>
        <w:rPr>
          <w:lang w:bidi="ar"/>
        </w:rPr>
      </w:pPr>
    </w:p>
    <w:p>
      <w:pPr>
        <w:pStyle w:val="2"/>
        <w:rPr>
          <w:lang w:bidi="ar"/>
        </w:rPr>
      </w:pPr>
      <w:bookmarkStart w:id="220" w:name="_Toc209773053"/>
      <w:r>
        <w:rPr>
          <w:rFonts w:hint="eastAsia"/>
          <w:lang w:bidi="ar"/>
        </w:rPr>
        <w:t>规划实施</w:t>
      </w:r>
      <w:bookmarkEnd w:id="220"/>
    </w:p>
    <w:p>
      <w:pPr>
        <w:pStyle w:val="3"/>
        <w:spacing w:before="326" w:beforeLines="100" w:after="326" w:afterLines="100"/>
      </w:pPr>
      <w:bookmarkStart w:id="221" w:name="_Toc185606092"/>
      <w:r>
        <w:rPr>
          <w:rFonts w:hint="eastAsia"/>
        </w:rPr>
        <w:t>行动计划制定</w:t>
      </w:r>
      <w:bookmarkEnd w:id="221"/>
    </w:p>
    <w:p>
      <w:pPr>
        <w:pStyle w:val="4"/>
      </w:pPr>
      <w:bookmarkStart w:id="222" w:name="_Hlk142927673"/>
      <w:bookmarkStart w:id="223" w:name="_Toc126054148"/>
      <w:bookmarkStart w:id="224" w:name="_Toc122364916"/>
      <w:bookmarkStart w:id="225" w:name="_Toc122362506"/>
      <w:r>
        <w:rPr>
          <w:rFonts w:hint="eastAsia"/>
        </w:rPr>
        <w:t>近期实施重点任务</w:t>
      </w:r>
    </w:p>
    <w:bookmarkEnd w:id="222"/>
    <w:p>
      <w:pPr>
        <w:spacing w:before="65"/>
        <w:ind w:firstLine="640"/>
      </w:pPr>
      <w:r>
        <w:rPr>
          <w:rFonts w:hint="eastAsia"/>
        </w:rPr>
        <w:t>编制国土空间五年行动规划和年度实施计划。衔接十四五规划，加强对于国土空间规划目标任务的分解落实和实施推动，统筹各类专项行动，落实重大项目推进要求，滚动编制近期行动以及年度实施计划。</w:t>
      </w:r>
    </w:p>
    <w:bookmarkEnd w:id="223"/>
    <w:bookmarkEnd w:id="224"/>
    <w:bookmarkEnd w:id="225"/>
    <w:p>
      <w:pPr>
        <w:pStyle w:val="4"/>
      </w:pPr>
      <w:bookmarkStart w:id="226" w:name="_Hlk142927680"/>
      <w:r>
        <w:rPr>
          <w:rFonts w:hint="eastAsia"/>
        </w:rPr>
        <w:t>重点项目</w:t>
      </w:r>
    </w:p>
    <w:bookmarkEnd w:id="226"/>
    <w:p>
      <w:pPr>
        <w:ind w:firstLine="640"/>
      </w:pPr>
      <w:bookmarkStart w:id="227" w:name="_Hlk200563714"/>
      <w:bookmarkStart w:id="228" w:name="_Hlk167092865"/>
      <w:r>
        <w:rPr>
          <w:rFonts w:hint="eastAsia"/>
        </w:rPr>
        <w:t>1</w:t>
      </w:r>
      <w:r>
        <w:t>.</w:t>
      </w:r>
      <w:r>
        <w:rPr>
          <w:rFonts w:hint="eastAsia"/>
        </w:rPr>
        <w:t>生态修复类项目</w:t>
      </w:r>
    </w:p>
    <w:p>
      <w:pPr>
        <w:ind w:firstLine="640"/>
      </w:pPr>
      <w:r>
        <w:rPr>
          <w:rFonts w:hint="eastAsia"/>
        </w:rPr>
        <w:t>重点</w:t>
      </w:r>
      <w:r>
        <w:t>推进</w:t>
      </w:r>
      <w:r>
        <w:rPr>
          <w:rFonts w:hint="eastAsia"/>
        </w:rPr>
        <w:t>内乡县湍河水环境综合治理项目、南水北调中线工程水源地（南阳片区）历史遗留废弃矿山生态修复示范工程项目（内乡县）、七里坪绿色矿山矿渣综合治理项目、七里坪乡农业面源污染治理项目、湿地生态保护修复项目（内乡县）等5个生态修复类项目。</w:t>
      </w:r>
    </w:p>
    <w:p>
      <w:pPr>
        <w:ind w:firstLine="640"/>
      </w:pPr>
      <w:r>
        <w:rPr>
          <w:rFonts w:hint="eastAsia"/>
        </w:rPr>
        <w:t>2</w:t>
      </w:r>
      <w:r>
        <w:t>.</w:t>
      </w:r>
      <w:r>
        <w:rPr>
          <w:rFonts w:hint="eastAsia"/>
        </w:rPr>
        <w:t>土地整治类项目</w:t>
      </w:r>
    </w:p>
    <w:p>
      <w:pPr>
        <w:ind w:firstLine="640"/>
      </w:pPr>
      <w:r>
        <w:rPr>
          <w:rFonts w:hint="eastAsia"/>
        </w:rPr>
        <w:t>重点</w:t>
      </w:r>
      <w:r>
        <w:t>推进</w:t>
      </w:r>
      <w:r>
        <w:rPr>
          <w:rFonts w:hint="eastAsia"/>
        </w:rPr>
        <w:t>七里坪乡全域土地综合整治项目、七里坪乡高皇村等9个村农用地整理项目等2个土地整治类项目。</w:t>
      </w:r>
    </w:p>
    <w:p>
      <w:pPr>
        <w:ind w:firstLine="640"/>
      </w:pPr>
    </w:p>
    <w:p>
      <w:pPr>
        <w:ind w:firstLine="640"/>
      </w:pPr>
    </w:p>
    <w:p>
      <w:pPr>
        <w:ind w:firstLine="640"/>
      </w:pPr>
      <w:r>
        <w:rPr>
          <w:rFonts w:hint="eastAsia"/>
        </w:rPr>
        <w:t>3.水利类项目</w:t>
      </w:r>
    </w:p>
    <w:p>
      <w:pPr>
        <w:ind w:firstLine="640"/>
      </w:pPr>
      <w:r>
        <w:rPr>
          <w:rFonts w:hint="eastAsia"/>
        </w:rPr>
        <w:t>重点推进青山水库、内乡县北湾水库灌区及规模化供水工程、内乡县北湾水库项目、宝天湖抽水蓄能电站等4个水利类项目。</w:t>
      </w:r>
    </w:p>
    <w:p>
      <w:pPr>
        <w:ind w:firstLine="640"/>
      </w:pPr>
      <w:r>
        <w:rPr>
          <w:rFonts w:hint="eastAsia"/>
        </w:rPr>
        <w:t>4</w:t>
      </w:r>
      <w:r>
        <w:t>.</w:t>
      </w:r>
      <w:r>
        <w:rPr>
          <w:rFonts w:hint="eastAsia"/>
        </w:rPr>
        <w:t>产业发展类项目</w:t>
      </w:r>
    </w:p>
    <w:p>
      <w:pPr>
        <w:ind w:firstLine="640"/>
      </w:pPr>
      <w:r>
        <w:rPr>
          <w:rFonts w:hint="eastAsia"/>
        </w:rPr>
        <w:t>重点推进鸿远建材粗加工项目、农/矿产品初加工、七里坪农副产品粗加工项目、七里坪乡旅游服务项目、七里坪乡青山村中药材加工项目、高效生态农业产研科技种植加工先导示范区项目等5个产业发展类项目。</w:t>
      </w:r>
    </w:p>
    <w:p>
      <w:pPr>
        <w:ind w:firstLine="640"/>
      </w:pPr>
      <w:r>
        <w:rPr>
          <w:rFonts w:hint="eastAsia"/>
        </w:rPr>
        <w:t>5</w:t>
      </w:r>
      <w:r>
        <w:t>.</w:t>
      </w:r>
      <w:r>
        <w:rPr>
          <w:rFonts w:hint="eastAsia"/>
        </w:rPr>
        <w:t>基础设施类项目</w:t>
      </w:r>
    </w:p>
    <w:p>
      <w:pPr>
        <w:ind w:firstLine="640"/>
      </w:pPr>
      <w:r>
        <w:rPr>
          <w:rFonts w:hint="eastAsia"/>
        </w:rPr>
        <w:t>重点推进S243湍源至S329交叉口段公路改建工程、S328线钟店至内乡西峡交界段改建工程、内乡县S328线宝天曼隧道至花园口道路改建工程、内乡县靳河至王店交S330农村公路改建项目、内乡县省道S249道路升级改造工程、内乡县唐河至七里坪交S243农村公路改建项目、内乡县六个乡镇污水处理厂及配套管网建设项目、内乡县七潭南召县交界点-野樟村农村公路改建项目、嵩县至内乡高速公路南阳段、西峡阳城至鱼贯口农村公路改建项目、内乡县农村公路提档提质工程、内乡县七星潭至大龙农村公路改建项目、内乡县乡村振兴通村联网道路、内乡县新能源电动汽车公共充电智能服务网络基础设施建设项目、内乡县110千伏林湍变电站建设项目、七里坪乡幼儿园项目、七里坪乡中学扩建项目、养老院、七里坪乡三道河村康养中心项目等19个基础设施类项目</w:t>
      </w:r>
      <w:bookmarkEnd w:id="227"/>
      <w:r>
        <w:rPr>
          <w:rFonts w:hint="eastAsia"/>
        </w:rPr>
        <w:t>。</w:t>
      </w:r>
    </w:p>
    <w:p>
      <w:pPr>
        <w:ind w:firstLine="640"/>
      </w:pPr>
      <w:r>
        <w:rPr>
          <w:rFonts w:hint="eastAsia"/>
        </w:rPr>
        <w:t>6.民生类项目</w:t>
      </w:r>
    </w:p>
    <w:p>
      <w:pPr>
        <w:ind w:firstLine="640"/>
      </w:pPr>
      <w:r>
        <w:rPr>
          <w:rFonts w:hint="eastAsia"/>
        </w:rPr>
        <w:t>重点推进青山水库移民安置工程等1个公共服务设施类项目。</w:t>
      </w:r>
    </w:p>
    <w:p>
      <w:pPr>
        <w:ind w:firstLine="640"/>
      </w:pPr>
      <w:r>
        <w:rPr>
          <w:rFonts w:hint="eastAsia"/>
        </w:rPr>
        <w:t>7.其他类项目</w:t>
      </w:r>
    </w:p>
    <w:p>
      <w:pPr>
        <w:ind w:firstLine="640"/>
      </w:pPr>
      <w:r>
        <w:rPr>
          <w:rFonts w:hint="eastAsia"/>
        </w:rPr>
        <w:t>重点推进七里坪慎终追远、七里坪乡公墓建设项目等2个公共服务设施类项目。</w:t>
      </w:r>
    </w:p>
    <w:bookmarkEnd w:id="228"/>
    <w:p>
      <w:pPr>
        <w:pStyle w:val="3"/>
        <w:spacing w:before="326" w:beforeLines="100" w:after="326" w:afterLines="100"/>
      </w:pPr>
      <w:bookmarkStart w:id="229" w:name="_Toc185606093"/>
      <w:r>
        <w:rPr>
          <w:rFonts w:hint="eastAsia"/>
        </w:rPr>
        <w:t>规划全周期实施监督管理</w:t>
      </w:r>
      <w:bookmarkEnd w:id="229"/>
    </w:p>
    <w:p>
      <w:pPr>
        <w:pStyle w:val="4"/>
      </w:pPr>
      <w:bookmarkStart w:id="230" w:name="_Hlk142927625"/>
      <w:r>
        <w:rPr>
          <w:rFonts w:hint="eastAsia"/>
        </w:rPr>
        <w:t>提升规划信息化水平</w:t>
      </w:r>
    </w:p>
    <w:bookmarkEnd w:id="230"/>
    <w:p>
      <w:pPr>
        <w:spacing w:before="65"/>
        <w:ind w:firstLine="640"/>
        <w:rPr>
          <w:lang w:bidi="ar"/>
        </w:rPr>
      </w:pPr>
      <w:r>
        <w:rPr>
          <w:rFonts w:hint="eastAsia"/>
          <w:lang w:bidi="ar"/>
        </w:rPr>
        <w:t>形成国土空间规划数据库，数据成果应同步上报，纳入国土空间规划“一张图”实施监督信息系统。</w:t>
      </w:r>
    </w:p>
    <w:p>
      <w:pPr>
        <w:pStyle w:val="4"/>
      </w:pPr>
      <w:bookmarkStart w:id="231" w:name="_Hlk142927630"/>
      <w:r>
        <w:rPr>
          <w:rFonts w:hint="eastAsia"/>
        </w:rPr>
        <w:t>落实国土空间用途管制制度</w:t>
      </w:r>
    </w:p>
    <w:bookmarkEnd w:id="231"/>
    <w:p>
      <w:pPr>
        <w:spacing w:before="65"/>
        <w:ind w:firstLine="640"/>
        <w:rPr>
          <w:lang w:bidi="ar"/>
        </w:rPr>
      </w:pPr>
      <w:r>
        <w:rPr>
          <w:rFonts w:hint="eastAsia"/>
          <w:lang w:bidi="ar"/>
        </w:rPr>
        <w:t>对所有国土空间分区分类实施用途管制，落实分区准入、用途转换等管制规则。城镇开发边界内实行“详细规划+规划许可”；城镇开发边界外按照主导用途分区，实行“详细规划+规划许可”和“约束指标+分区准入”。严格耕地、自然保护地、生态保护红线、生态敏感脆弱区等特殊区域的用途管制。</w:t>
      </w:r>
    </w:p>
    <w:p>
      <w:pPr>
        <w:pStyle w:val="4"/>
      </w:pPr>
      <w:bookmarkStart w:id="232" w:name="_Hlk142927634"/>
      <w:r>
        <w:rPr>
          <w:rFonts w:hint="eastAsia"/>
        </w:rPr>
        <w:t>加强规划实施监测评估</w:t>
      </w:r>
    </w:p>
    <w:bookmarkEnd w:id="232"/>
    <w:p>
      <w:pPr>
        <w:spacing w:before="65"/>
        <w:ind w:firstLine="640"/>
        <w:rPr>
          <w:rFonts w:hint="eastAsia"/>
          <w:lang w:bidi="ar"/>
        </w:rPr>
      </w:pPr>
      <w:r>
        <w:rPr>
          <w:rFonts w:hint="eastAsia"/>
          <w:lang w:bidi="ar"/>
        </w:rPr>
        <w:t>建立规划实施评估指标体系和“体检评估”机制，落实国土空间规划监测评估预警系统，为市、县开展城市体检和规划全周期管理提供支撑。</w:t>
      </w:r>
    </w:p>
    <w:p>
      <w:pPr>
        <w:spacing w:before="65" w:line="240" w:lineRule="auto"/>
        <w:ind w:firstLine="640"/>
        <w:rPr>
          <w:rFonts w:hint="default"/>
          <w:lang w:val="en" w:bidi="ar"/>
        </w:rPr>
      </w:pPr>
      <w:r>
        <w:rPr>
          <w:rFonts w:hint="default"/>
          <w:lang w:val="en" w:bidi="ar"/>
        </w:rPr>
        <w:drawing>
          <wp:inline distT="0" distB="0" distL="114300" distR="114300">
            <wp:extent cx="5259705" cy="3721735"/>
            <wp:effectExtent l="0" t="0" r="17145" b="12065"/>
            <wp:docPr id="6" name="图片 6" descr="14-七里坪乡-01-乡域国土空间用地现状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14-七里坪乡-01-乡域国土空间用地现状图"/>
                    <pic:cNvPicPr>
                      <a:picLocks noChangeAspect="true"/>
                    </pic:cNvPicPr>
                  </pic:nvPicPr>
                  <pic:blipFill>
                    <a:blip r:embed="rId14"/>
                    <a:stretch>
                      <a:fillRect/>
                    </a:stretch>
                  </pic:blipFill>
                  <pic:spPr>
                    <a:xfrm>
                      <a:off x="0" y="0"/>
                      <a:ext cx="5259705" cy="3721735"/>
                    </a:xfrm>
                    <a:prstGeom prst="rect">
                      <a:avLst/>
                    </a:prstGeom>
                  </pic:spPr>
                </pic:pic>
              </a:graphicData>
            </a:graphic>
          </wp:inline>
        </w:drawing>
      </w:r>
      <w:r>
        <w:rPr>
          <w:rFonts w:hint="default"/>
          <w:lang w:val="en" w:bidi="ar"/>
        </w:rPr>
        <w:drawing>
          <wp:inline distT="0" distB="0" distL="114300" distR="114300">
            <wp:extent cx="5259705" cy="3721735"/>
            <wp:effectExtent l="0" t="0" r="17145" b="12065"/>
            <wp:docPr id="5" name="图片 5" descr="14-七里坪乡-02-乡域国土空间总体格局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descr="14-七里坪乡-02-乡域国土空间总体格局规划图"/>
                    <pic:cNvPicPr>
                      <a:picLocks noChangeAspect="true"/>
                    </pic:cNvPicPr>
                  </pic:nvPicPr>
                  <pic:blipFill>
                    <a:blip r:embed="rId15"/>
                    <a:stretch>
                      <a:fillRect/>
                    </a:stretch>
                  </pic:blipFill>
                  <pic:spPr>
                    <a:xfrm>
                      <a:off x="0" y="0"/>
                      <a:ext cx="5259705" cy="3721735"/>
                    </a:xfrm>
                    <a:prstGeom prst="rect">
                      <a:avLst/>
                    </a:prstGeom>
                  </pic:spPr>
                </pic:pic>
              </a:graphicData>
            </a:graphic>
          </wp:inline>
        </w:drawing>
      </w:r>
      <w:r>
        <w:rPr>
          <w:rFonts w:hint="default"/>
          <w:lang w:val="en" w:bidi="ar"/>
        </w:rPr>
        <w:drawing>
          <wp:inline distT="0" distB="0" distL="114300" distR="114300">
            <wp:extent cx="5259705" cy="3721735"/>
            <wp:effectExtent l="0" t="0" r="17145" b="12065"/>
            <wp:docPr id="4" name="图片 4" descr="14-七里坪乡-03-乡域国土空间控制线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descr="14-七里坪乡-03-乡域国土空间控制线规划图"/>
                    <pic:cNvPicPr>
                      <a:picLocks noChangeAspect="true"/>
                    </pic:cNvPicPr>
                  </pic:nvPicPr>
                  <pic:blipFill>
                    <a:blip r:embed="rId16"/>
                    <a:stretch>
                      <a:fillRect/>
                    </a:stretch>
                  </pic:blipFill>
                  <pic:spPr>
                    <a:xfrm>
                      <a:off x="0" y="0"/>
                      <a:ext cx="5259705" cy="3721735"/>
                    </a:xfrm>
                    <a:prstGeom prst="rect">
                      <a:avLst/>
                    </a:prstGeom>
                  </pic:spPr>
                </pic:pic>
              </a:graphicData>
            </a:graphic>
          </wp:inline>
        </w:drawing>
      </w:r>
      <w:r>
        <w:rPr>
          <w:rFonts w:hint="default"/>
          <w:lang w:val="en" w:bidi="ar"/>
        </w:rPr>
        <w:drawing>
          <wp:inline distT="0" distB="0" distL="114300" distR="114300">
            <wp:extent cx="5259705" cy="3721735"/>
            <wp:effectExtent l="0" t="0" r="17145" b="12065"/>
            <wp:docPr id="3" name="图片 3" descr="14-七里坪乡-04-乡域村庄布点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descr="14-七里坪乡-04-乡域村庄布点规划图"/>
                    <pic:cNvPicPr>
                      <a:picLocks noChangeAspect="true"/>
                    </pic:cNvPicPr>
                  </pic:nvPicPr>
                  <pic:blipFill>
                    <a:blip r:embed="rId17"/>
                    <a:stretch>
                      <a:fillRect/>
                    </a:stretch>
                  </pic:blipFill>
                  <pic:spPr>
                    <a:xfrm>
                      <a:off x="0" y="0"/>
                      <a:ext cx="5259705" cy="3721735"/>
                    </a:xfrm>
                    <a:prstGeom prst="rect">
                      <a:avLst/>
                    </a:prstGeom>
                  </pic:spPr>
                </pic:pic>
              </a:graphicData>
            </a:graphic>
          </wp:inline>
        </w:drawing>
      </w:r>
      <w:r>
        <w:rPr>
          <w:rFonts w:hint="default"/>
          <w:lang w:val="en" w:bidi="ar"/>
        </w:rPr>
        <w:drawing>
          <wp:inline distT="0" distB="0" distL="114300" distR="114300">
            <wp:extent cx="5259705" cy="3721735"/>
            <wp:effectExtent l="0" t="0" r="17145" b="12065"/>
            <wp:docPr id="2" name="图片 2" descr="14-七里坪乡-05-乡域综合交通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descr="14-七里坪乡-05-乡域综合交通规划图"/>
                    <pic:cNvPicPr>
                      <a:picLocks noChangeAspect="true"/>
                    </pic:cNvPicPr>
                  </pic:nvPicPr>
                  <pic:blipFill>
                    <a:blip r:embed="rId18"/>
                    <a:stretch>
                      <a:fillRect/>
                    </a:stretch>
                  </pic:blipFill>
                  <pic:spPr>
                    <a:xfrm>
                      <a:off x="0" y="0"/>
                      <a:ext cx="5259705" cy="3721735"/>
                    </a:xfrm>
                    <a:prstGeom prst="rect">
                      <a:avLst/>
                    </a:prstGeom>
                  </pic:spPr>
                </pic:pic>
              </a:graphicData>
            </a:graphic>
          </wp:inline>
        </w:drawing>
      </w:r>
      <w:bookmarkStart w:id="233" w:name="_GoBack"/>
      <w:r>
        <w:rPr>
          <w:rFonts w:hint="default"/>
          <w:lang w:val="en" w:bidi="ar"/>
        </w:rPr>
        <w:drawing>
          <wp:inline distT="0" distB="0" distL="114300" distR="114300">
            <wp:extent cx="5259705" cy="3721735"/>
            <wp:effectExtent l="0" t="0" r="17145" b="12065"/>
            <wp:docPr id="1" name="图片 1" descr="14-七里坪乡-06-集镇区国土空间用地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14-七里坪乡-06-集镇区国土空间用地规划图"/>
                    <pic:cNvPicPr>
                      <a:picLocks noChangeAspect="true"/>
                    </pic:cNvPicPr>
                  </pic:nvPicPr>
                  <pic:blipFill>
                    <a:blip r:embed="rId19"/>
                    <a:stretch>
                      <a:fillRect/>
                    </a:stretch>
                  </pic:blipFill>
                  <pic:spPr>
                    <a:xfrm>
                      <a:off x="0" y="0"/>
                      <a:ext cx="5259705" cy="3721735"/>
                    </a:xfrm>
                    <a:prstGeom prst="rect">
                      <a:avLst/>
                    </a:prstGeom>
                  </pic:spPr>
                </pic:pic>
              </a:graphicData>
            </a:graphic>
          </wp:inline>
        </w:drawing>
      </w:r>
      <w:bookmarkEnd w:id="233"/>
    </w:p>
    <w:sectPr>
      <w:pgSz w:w="11907" w:h="16839"/>
      <w:pgMar w:top="1440" w:right="1800" w:bottom="1440" w:left="1800" w:header="851" w:footer="680" w:gutter="0"/>
      <w:cols w:space="113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font>
  <w:font w:name="方正小标宋简体">
    <w:panose1 w:val="02000000000000000000"/>
    <w:charset w:val="86"/>
    <w:family w:val="auto"/>
    <w:pitch w:val="default"/>
    <w:sig w:usb0="A00002BF" w:usb1="184F6CFA" w:usb2="00000012" w:usb3="00000000" w:csb0="00040001" w:csb1="00000000"/>
  </w:font>
  <w:font w:name="Cambria">
    <w:altName w:val="FreeSerif"/>
    <w:panose1 w:val="02040503050406030204"/>
    <w:charset w:val="00"/>
    <w:family w:val="roman"/>
    <w:pitch w:val="default"/>
    <w:sig w:usb0="00000000" w:usb1="00000000" w:usb2="00000000" w:usb3="00000000" w:csb0="0000019F" w:csb1="00000000"/>
  </w:font>
  <w:font w:name="楷体">
    <w:panose1 w:val="02010609060101010101"/>
    <w:charset w:val="86"/>
    <w:family w:val="modern"/>
    <w:pitch w:val="default"/>
    <w:sig w:usb0="800002BF" w:usb1="38CF7CFA" w:usb2="00000016" w:usb3="00000000" w:csb0="00040001" w:csb1="00000000"/>
  </w:font>
  <w:font w:name="等线">
    <w:altName w:val="华文仿宋"/>
    <w:panose1 w:val="02010600030101010101"/>
    <w:charset w:val="86"/>
    <w:family w:val="auto"/>
    <w:pitch w:val="default"/>
    <w:sig w:usb0="00000000" w:usb1="00000000" w:usb2="00000016" w:usb3="00000000" w:csb0="0004000F" w:csb1="00000000"/>
  </w:font>
  <w:font w:name="等线 Light">
    <w:altName w:val="汉仪仿宋S"/>
    <w:panose1 w:val="00000000000000000000"/>
    <w:charset w:val="86"/>
    <w:family w:val="auto"/>
    <w:pitch w:val="default"/>
    <w:sig w:usb0="00000000" w:usb1="00000000" w:usb2="00000016" w:usb3="00000000" w:csb0="0004000F" w:csb1="00000000"/>
  </w:font>
  <w:font w:name="楷体_GB2312">
    <w:altName w:val="楷体"/>
    <w:panose1 w:val="00000000000000000000"/>
    <w:charset w:val="86"/>
    <w:family w:val="modern"/>
    <w:pitch w:val="default"/>
    <w:sig w:usb0="00000000" w:usb1="00000000" w:usb2="00000010" w:usb3="00000000" w:csb0="00040000" w:csb1="00000000"/>
  </w:font>
  <w:font w:name="微软雅黑">
    <w:altName w:val="黑体"/>
    <w:panose1 w:val="020B0503020204020204"/>
    <w:charset w:val="86"/>
    <w:family w:val="swiss"/>
    <w:pitch w:val="default"/>
    <w:sig w:usb0="00000000" w:usb1="00000000" w:usb2="00000016" w:usb3="00000000" w:csb0="0004001F" w:csb1="00000000"/>
  </w:font>
  <w:font w:name="仿宋">
    <w:panose1 w:val="02010609060101010101"/>
    <w:charset w:val="86"/>
    <w:family w:val="modern"/>
    <w:pitch w:val="default"/>
    <w:sig w:usb0="800002BF" w:usb1="38CF7CFA" w:usb2="00000016" w:usb3="00000000" w:csb0="00040001" w:csb1="00000000"/>
  </w:font>
  <w:font w:name="方正书宋_GBK">
    <w:panose1 w:val="02000000000000000000"/>
    <w:charset w:val="86"/>
    <w:family w:val="auto"/>
    <w:pitch w:val="default"/>
    <w:sig w:usb0="00000001" w:usb1="08000000" w:usb2="00000000" w:usb3="00000000" w:csb0="00040000" w:csb1="00000000"/>
  </w:font>
  <w:font w:name="等线">
    <w:altName w:val="汉仪仿宋S"/>
    <w:panose1 w:val="00000000000000000000"/>
    <w:charset w:val="00"/>
    <w:family w:val="auto"/>
    <w:pitch w:val="default"/>
    <w:sig w:usb0="00000000" w:usb1="00000000" w:usb2="00000000" w:usb3="00000000" w:csb0="00000000" w:csb1="00000000"/>
  </w:font>
  <w:font w:name="汉仪仿宋S">
    <w:panose1 w:val="00020600040101000101"/>
    <w:charset w:val="86"/>
    <w:family w:val="auto"/>
    <w:pitch w:val="default"/>
    <w:sig w:usb0="A00002BF" w:usb1="38CF7CFA" w:usb2="00000016" w:usb3="00000000" w:csb0="0004009F" w:csb1="00000000"/>
  </w:font>
  <w:font w:name="DejaVu Sans">
    <w:panose1 w:val="020B0603030804020204"/>
    <w:charset w:val="00"/>
    <w:family w:val="auto"/>
    <w:pitch w:val="default"/>
    <w:sig w:usb0="E7006EFF" w:usb1="D200FDFF" w:usb2="0A246029" w:usb3="0400200C" w:csb0="600001FF" w:csb1="DFFF0000"/>
  </w:font>
  <w:font w:name="Liberation Serif">
    <w:panose1 w:val="02020603050405020304"/>
    <w:charset w:val="00"/>
    <w:family w:val="auto"/>
    <w:pitch w:val="default"/>
    <w:sig w:usb0="A00002AF" w:usb1="500078FB" w:usb2="00000000" w:usb3="00000000" w:csb0="6000009F" w:csb1="DFD70000"/>
  </w:font>
  <w:font w:name="Nimbus Roman No9 L">
    <w:panose1 w:val="00000000000000000000"/>
    <w:charset w:val="00"/>
    <w:family w:val="auto"/>
    <w:pitch w:val="default"/>
    <w:sig w:usb0="00000000" w:usb1="00000000" w:usb2="00000000" w:usb3="00000000" w:csb0="00000000" w:csb1="00000000"/>
  </w:font>
  <w:font w:name="FreeSerif">
    <w:panose1 w:val="02020603050405020304"/>
    <w:charset w:val="00"/>
    <w:family w:val="auto"/>
    <w:pitch w:val="default"/>
    <w:sig w:usb0="E59FAFFF" w:usb1="C200FDFF" w:usb2="43501B29" w:usb3="04000043" w:csb0="600101FF" w:csb1="FFFF0000"/>
  </w:font>
  <w:font w:name="方正宋体S-超大字符集">
    <w:panose1 w:val="02000000000000000000"/>
    <w:charset w:val="86"/>
    <w:family w:val="auto"/>
    <w:pitch w:val="default"/>
    <w:sig w:usb0="00000001" w:usb1="08000000" w:usb2="00000000" w:usb3="00000000" w:csb0="00040000" w:csb1="00000000"/>
  </w:font>
  <w:font w:name="华文仿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line="240" w:lineRule="auto"/>
      <w:ind w:firstLine="0" w:firstLineChars="0"/>
      <w:jc w:val="center"/>
    </w:pPr>
  </w:p>
  <w:p>
    <w:pPr>
      <w:pStyle w:val="20"/>
      <w:spacing w:before="48" w:after="12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28189101"/>
    </w:sdtPr>
    <w:sdtContent>
      <w:p>
        <w:pPr>
          <w:pStyle w:val="20"/>
          <w:spacing w:line="240" w:lineRule="auto"/>
          <w:ind w:firstLine="0" w:firstLineChars="0"/>
          <w:jc w:val="center"/>
        </w:pPr>
        <w:r>
          <w:rPr>
            <w:rFonts w:ascii="宋体" w:hAnsi="宋体" w:eastAsia="宋体"/>
          </w:rPr>
          <w:fldChar w:fldCharType="begin"/>
        </w:r>
        <w:r>
          <w:rPr>
            <w:rFonts w:ascii="宋体" w:hAnsi="宋体" w:eastAsia="宋体"/>
          </w:rPr>
          <w:instrText xml:space="preserve">PAGE   \* MERGEFORMAT</w:instrText>
        </w:r>
        <w:r>
          <w:rPr>
            <w:rFonts w:ascii="宋体" w:hAnsi="宋体" w:eastAsia="宋体"/>
          </w:rPr>
          <w:fldChar w:fldCharType="separate"/>
        </w:r>
        <w:r>
          <w:rPr>
            <w:rFonts w:ascii="宋体" w:hAnsi="宋体" w:eastAsia="宋体"/>
          </w:rPr>
          <w:t>7</w:t>
        </w:r>
        <w:r>
          <w:rPr>
            <w:rFonts w:ascii="宋体" w:hAnsi="宋体" w:eastAsia="宋体"/>
          </w:rPr>
          <w:fldChar w:fldCharType="end"/>
        </w:r>
      </w:p>
    </w:sdtContent>
  </w:sdt>
  <w:p>
    <w:pPr>
      <w:pStyle w:val="20"/>
      <w:spacing w:before="48" w:after="120"/>
      <w:ind w:firstLineChars="11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640"/>
      </w:pPr>
      <w:r>
        <w:separator/>
      </w:r>
    </w:p>
  </w:footnote>
  <w:footnote w:type="continuationSeparator" w:id="1">
    <w:p>
      <w:pPr>
        <w:spacing w:line="240" w:lineRule="auto"/>
        <w:ind w:firstLine="6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spacing w:before="120" w:after="1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spacing w:before="120" w:after="1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0AA14AD"/>
    <w:multiLevelType w:val="multilevel"/>
    <w:tmpl w:val="30AA14AD"/>
    <w:lvl w:ilvl="0" w:tentative="0">
      <w:start w:val="1"/>
      <w:numFmt w:val="decimal"/>
      <w:pStyle w:val="4"/>
      <w:lvlText w:val="第%1条"/>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78EF3348"/>
    <w:multiLevelType w:val="multilevel"/>
    <w:tmpl w:val="78EF3348"/>
    <w:lvl w:ilvl="0" w:tentative="0">
      <w:start w:val="1"/>
      <w:numFmt w:val="chineseCountingThousand"/>
      <w:pStyle w:val="2"/>
      <w:suff w:val="space"/>
      <w:lvlText w:val="第%1章 "/>
      <w:lvlJc w:val="left"/>
      <w:pPr>
        <w:ind w:left="1135" w:firstLine="0"/>
      </w:pPr>
    </w:lvl>
    <w:lvl w:ilvl="1" w:tentative="0">
      <w:start w:val="1"/>
      <w:numFmt w:val="chineseCountingThousand"/>
      <w:pStyle w:val="3"/>
      <w:suff w:val="space"/>
      <w:lvlText w:val="第%2节 "/>
      <w:lvlJc w:val="left"/>
      <w:pPr>
        <w:ind w:left="1702" w:firstLine="0"/>
      </w:pPr>
    </w:lvl>
    <w:lvl w:ilvl="2" w:tentative="0">
      <w:start w:val="1"/>
      <w:numFmt w:val="decimal"/>
      <w:lvlRestart w:val="0"/>
      <w:isLgl/>
      <w:suff w:val="space"/>
      <w:lvlText w:val="第%3条 "/>
      <w:lvlJc w:val="left"/>
      <w:pPr>
        <w:ind w:left="568" w:firstLine="0"/>
      </w:pPr>
    </w:lvl>
    <w:lvl w:ilvl="3" w:tentative="0">
      <w:start w:val="1"/>
      <w:numFmt w:val="decimal"/>
      <w:pStyle w:val="5"/>
      <w:isLgl/>
      <w:suff w:val="nothing"/>
      <w:lvlText w:val="%4."/>
      <w:lvlJc w:val="left"/>
      <w:pPr>
        <w:ind w:left="-141" w:firstLine="425"/>
      </w:pPr>
    </w:lvl>
    <w:lvl w:ilvl="4" w:tentative="0">
      <w:start w:val="1"/>
      <w:numFmt w:val="decimal"/>
      <w:pStyle w:val="6"/>
      <w:isLgl/>
      <w:suff w:val="nothing"/>
      <w:lvlText w:val="（%5）"/>
      <w:lvlJc w:val="left"/>
      <w:pPr>
        <w:ind w:left="0" w:firstLine="340"/>
      </w:pPr>
    </w:lvl>
    <w:lvl w:ilvl="5" w:tentative="0">
      <w:start w:val="1"/>
      <w:numFmt w:val="decimal"/>
      <w:lvlRestart w:val="1"/>
      <w:pStyle w:val="63"/>
      <w:isLgl/>
      <w:suff w:val="nothing"/>
      <w:lvlText w:val="附表%6："/>
      <w:lvlJc w:val="left"/>
      <w:pPr>
        <w:ind w:left="0" w:firstLine="0"/>
      </w:pPr>
    </w:lvl>
    <w:lvl w:ilvl="6" w:tentative="0">
      <w:start w:val="1"/>
      <w:numFmt w:val="decimal"/>
      <w:lvlRestart w:val="4"/>
      <w:isLgl/>
      <w:suff w:val="nothing"/>
      <w:lvlText w:val="（%7）"/>
      <w:lvlJc w:val="left"/>
      <w:pPr>
        <w:ind w:left="0" w:firstLine="340"/>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num w:numId="1">
    <w:abstractNumId w:val="1"/>
  </w:num>
  <w:num w:numId="2">
    <w:abstractNumId w:val="0"/>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true"/>
  <w:bordersDoNotSurroundFooter w:val="true"/>
  <w:hideSpellingErrors/>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ViOWEyNjAzNzYyNzgyMzM5MmY0MTE1MzYzYmY1MDUifQ=="/>
  </w:docVars>
  <w:rsids>
    <w:rsidRoot w:val="00A67F34"/>
    <w:rsid w:val="00000C06"/>
    <w:rsid w:val="000010F3"/>
    <w:rsid w:val="00001621"/>
    <w:rsid w:val="00004538"/>
    <w:rsid w:val="000045B8"/>
    <w:rsid w:val="000046C4"/>
    <w:rsid w:val="00004DA0"/>
    <w:rsid w:val="00005598"/>
    <w:rsid w:val="00005BD5"/>
    <w:rsid w:val="0000792E"/>
    <w:rsid w:val="00007CD2"/>
    <w:rsid w:val="00014FFC"/>
    <w:rsid w:val="00015277"/>
    <w:rsid w:val="0001672B"/>
    <w:rsid w:val="000173D5"/>
    <w:rsid w:val="00020DC8"/>
    <w:rsid w:val="000228A2"/>
    <w:rsid w:val="00022C14"/>
    <w:rsid w:val="000230C5"/>
    <w:rsid w:val="00023887"/>
    <w:rsid w:val="00024593"/>
    <w:rsid w:val="00025921"/>
    <w:rsid w:val="00025FB7"/>
    <w:rsid w:val="000263B1"/>
    <w:rsid w:val="00026494"/>
    <w:rsid w:val="00026ED4"/>
    <w:rsid w:val="00027C74"/>
    <w:rsid w:val="000300ED"/>
    <w:rsid w:val="000312F7"/>
    <w:rsid w:val="00033FEA"/>
    <w:rsid w:val="0003547A"/>
    <w:rsid w:val="0003614B"/>
    <w:rsid w:val="000401C8"/>
    <w:rsid w:val="00042AF6"/>
    <w:rsid w:val="00043914"/>
    <w:rsid w:val="00043D07"/>
    <w:rsid w:val="00044269"/>
    <w:rsid w:val="00044A6C"/>
    <w:rsid w:val="00044E71"/>
    <w:rsid w:val="000460B5"/>
    <w:rsid w:val="00046257"/>
    <w:rsid w:val="00046BBF"/>
    <w:rsid w:val="00046E46"/>
    <w:rsid w:val="0004772B"/>
    <w:rsid w:val="0005003D"/>
    <w:rsid w:val="00051283"/>
    <w:rsid w:val="0005170E"/>
    <w:rsid w:val="00051C37"/>
    <w:rsid w:val="000522AA"/>
    <w:rsid w:val="00053B04"/>
    <w:rsid w:val="00056EF1"/>
    <w:rsid w:val="0005723A"/>
    <w:rsid w:val="0005724D"/>
    <w:rsid w:val="00061639"/>
    <w:rsid w:val="0006315E"/>
    <w:rsid w:val="00063F69"/>
    <w:rsid w:val="00065C66"/>
    <w:rsid w:val="0006602B"/>
    <w:rsid w:val="00066343"/>
    <w:rsid w:val="00066D4C"/>
    <w:rsid w:val="000672D0"/>
    <w:rsid w:val="00067F9B"/>
    <w:rsid w:val="000708D8"/>
    <w:rsid w:val="0007111B"/>
    <w:rsid w:val="0007175B"/>
    <w:rsid w:val="00071B6F"/>
    <w:rsid w:val="000721CC"/>
    <w:rsid w:val="00073CFB"/>
    <w:rsid w:val="000743DC"/>
    <w:rsid w:val="000744A6"/>
    <w:rsid w:val="0007497D"/>
    <w:rsid w:val="00074C23"/>
    <w:rsid w:val="00075670"/>
    <w:rsid w:val="00075AC8"/>
    <w:rsid w:val="00075E93"/>
    <w:rsid w:val="00076004"/>
    <w:rsid w:val="00080705"/>
    <w:rsid w:val="00080CA3"/>
    <w:rsid w:val="00080F04"/>
    <w:rsid w:val="00081141"/>
    <w:rsid w:val="00082E8A"/>
    <w:rsid w:val="00083B0D"/>
    <w:rsid w:val="0008460E"/>
    <w:rsid w:val="00084CAC"/>
    <w:rsid w:val="00085C91"/>
    <w:rsid w:val="00085E68"/>
    <w:rsid w:val="00085F2C"/>
    <w:rsid w:val="000868E7"/>
    <w:rsid w:val="00087434"/>
    <w:rsid w:val="00087F2A"/>
    <w:rsid w:val="00090461"/>
    <w:rsid w:val="000905F0"/>
    <w:rsid w:val="00091ADE"/>
    <w:rsid w:val="000921DD"/>
    <w:rsid w:val="000945D7"/>
    <w:rsid w:val="00094975"/>
    <w:rsid w:val="000951DD"/>
    <w:rsid w:val="00095B0E"/>
    <w:rsid w:val="00097133"/>
    <w:rsid w:val="00097FB2"/>
    <w:rsid w:val="000A2C0B"/>
    <w:rsid w:val="000A3B02"/>
    <w:rsid w:val="000A4529"/>
    <w:rsid w:val="000A5030"/>
    <w:rsid w:val="000A50E0"/>
    <w:rsid w:val="000A52E7"/>
    <w:rsid w:val="000A534F"/>
    <w:rsid w:val="000A5430"/>
    <w:rsid w:val="000A6201"/>
    <w:rsid w:val="000A6E7D"/>
    <w:rsid w:val="000A74E3"/>
    <w:rsid w:val="000B1B6C"/>
    <w:rsid w:val="000B257F"/>
    <w:rsid w:val="000B27FF"/>
    <w:rsid w:val="000B2CC6"/>
    <w:rsid w:val="000B3238"/>
    <w:rsid w:val="000B3C84"/>
    <w:rsid w:val="000B46A4"/>
    <w:rsid w:val="000B53B7"/>
    <w:rsid w:val="000B591B"/>
    <w:rsid w:val="000B5C66"/>
    <w:rsid w:val="000B62C8"/>
    <w:rsid w:val="000B64A5"/>
    <w:rsid w:val="000B7014"/>
    <w:rsid w:val="000B72AE"/>
    <w:rsid w:val="000C0616"/>
    <w:rsid w:val="000C0C7A"/>
    <w:rsid w:val="000C2A41"/>
    <w:rsid w:val="000C3573"/>
    <w:rsid w:val="000C3D14"/>
    <w:rsid w:val="000C5282"/>
    <w:rsid w:val="000C559D"/>
    <w:rsid w:val="000C5B95"/>
    <w:rsid w:val="000C6324"/>
    <w:rsid w:val="000C78E4"/>
    <w:rsid w:val="000C7DE1"/>
    <w:rsid w:val="000D00FC"/>
    <w:rsid w:val="000D046C"/>
    <w:rsid w:val="000D06CB"/>
    <w:rsid w:val="000D336A"/>
    <w:rsid w:val="000D34BC"/>
    <w:rsid w:val="000D4DBE"/>
    <w:rsid w:val="000D53BD"/>
    <w:rsid w:val="000D5D58"/>
    <w:rsid w:val="000D6692"/>
    <w:rsid w:val="000E0444"/>
    <w:rsid w:val="000E0F8D"/>
    <w:rsid w:val="000E1E0F"/>
    <w:rsid w:val="000E2A07"/>
    <w:rsid w:val="000E2A20"/>
    <w:rsid w:val="000E324F"/>
    <w:rsid w:val="000E35FD"/>
    <w:rsid w:val="000E3CAD"/>
    <w:rsid w:val="000E498F"/>
    <w:rsid w:val="000E5601"/>
    <w:rsid w:val="000E5D6D"/>
    <w:rsid w:val="000E6D24"/>
    <w:rsid w:val="000E7FEF"/>
    <w:rsid w:val="000F011D"/>
    <w:rsid w:val="000F04B5"/>
    <w:rsid w:val="000F0809"/>
    <w:rsid w:val="000F1ED6"/>
    <w:rsid w:val="000F2221"/>
    <w:rsid w:val="000F2547"/>
    <w:rsid w:val="000F2B37"/>
    <w:rsid w:val="000F2E81"/>
    <w:rsid w:val="000F302E"/>
    <w:rsid w:val="000F3B1E"/>
    <w:rsid w:val="000F6939"/>
    <w:rsid w:val="000F6CCC"/>
    <w:rsid w:val="000F7994"/>
    <w:rsid w:val="000F7E30"/>
    <w:rsid w:val="001004B9"/>
    <w:rsid w:val="00100A59"/>
    <w:rsid w:val="00101788"/>
    <w:rsid w:val="001022DD"/>
    <w:rsid w:val="00102D32"/>
    <w:rsid w:val="00103A77"/>
    <w:rsid w:val="00104C7B"/>
    <w:rsid w:val="00105261"/>
    <w:rsid w:val="001053A7"/>
    <w:rsid w:val="00105DBB"/>
    <w:rsid w:val="00106AE3"/>
    <w:rsid w:val="00110059"/>
    <w:rsid w:val="001105F1"/>
    <w:rsid w:val="00110ED6"/>
    <w:rsid w:val="00111100"/>
    <w:rsid w:val="001129D8"/>
    <w:rsid w:val="00113ADD"/>
    <w:rsid w:val="00113B52"/>
    <w:rsid w:val="00113C92"/>
    <w:rsid w:val="00114E92"/>
    <w:rsid w:val="00116D01"/>
    <w:rsid w:val="00120488"/>
    <w:rsid w:val="001204CF"/>
    <w:rsid w:val="001205E1"/>
    <w:rsid w:val="001212B2"/>
    <w:rsid w:val="0012136A"/>
    <w:rsid w:val="001216CE"/>
    <w:rsid w:val="00121CDA"/>
    <w:rsid w:val="0012279D"/>
    <w:rsid w:val="00122DC8"/>
    <w:rsid w:val="00125070"/>
    <w:rsid w:val="00125577"/>
    <w:rsid w:val="001255B3"/>
    <w:rsid w:val="001265A8"/>
    <w:rsid w:val="0012676D"/>
    <w:rsid w:val="00127388"/>
    <w:rsid w:val="001276D2"/>
    <w:rsid w:val="00130101"/>
    <w:rsid w:val="00130C20"/>
    <w:rsid w:val="00130F68"/>
    <w:rsid w:val="001317CE"/>
    <w:rsid w:val="0013180C"/>
    <w:rsid w:val="00131983"/>
    <w:rsid w:val="00131CE1"/>
    <w:rsid w:val="0013381F"/>
    <w:rsid w:val="00134387"/>
    <w:rsid w:val="00136B98"/>
    <w:rsid w:val="00140D28"/>
    <w:rsid w:val="00141074"/>
    <w:rsid w:val="001419C1"/>
    <w:rsid w:val="00142730"/>
    <w:rsid w:val="00143441"/>
    <w:rsid w:val="00143AC8"/>
    <w:rsid w:val="00143B0C"/>
    <w:rsid w:val="00143C86"/>
    <w:rsid w:val="00143E65"/>
    <w:rsid w:val="0014413C"/>
    <w:rsid w:val="00144466"/>
    <w:rsid w:val="001451AB"/>
    <w:rsid w:val="001469C5"/>
    <w:rsid w:val="00147AEC"/>
    <w:rsid w:val="00150074"/>
    <w:rsid w:val="00150232"/>
    <w:rsid w:val="00151472"/>
    <w:rsid w:val="00152322"/>
    <w:rsid w:val="00152930"/>
    <w:rsid w:val="001548F2"/>
    <w:rsid w:val="00156A88"/>
    <w:rsid w:val="0015738E"/>
    <w:rsid w:val="0016018D"/>
    <w:rsid w:val="0016071B"/>
    <w:rsid w:val="00160A7E"/>
    <w:rsid w:val="00160B53"/>
    <w:rsid w:val="001617AD"/>
    <w:rsid w:val="00161CCC"/>
    <w:rsid w:val="001674E7"/>
    <w:rsid w:val="00167698"/>
    <w:rsid w:val="0016796B"/>
    <w:rsid w:val="00170A73"/>
    <w:rsid w:val="00170F66"/>
    <w:rsid w:val="0017172C"/>
    <w:rsid w:val="001717EC"/>
    <w:rsid w:val="00172637"/>
    <w:rsid w:val="00173B83"/>
    <w:rsid w:val="001756E1"/>
    <w:rsid w:val="00175B82"/>
    <w:rsid w:val="0017630A"/>
    <w:rsid w:val="00176F8A"/>
    <w:rsid w:val="001807AA"/>
    <w:rsid w:val="001818EE"/>
    <w:rsid w:val="001830A0"/>
    <w:rsid w:val="00183912"/>
    <w:rsid w:val="001840BF"/>
    <w:rsid w:val="0018447A"/>
    <w:rsid w:val="001849BC"/>
    <w:rsid w:val="00185303"/>
    <w:rsid w:val="0018555B"/>
    <w:rsid w:val="001872D8"/>
    <w:rsid w:val="00187C7C"/>
    <w:rsid w:val="00190F10"/>
    <w:rsid w:val="0019139A"/>
    <w:rsid w:val="00191C19"/>
    <w:rsid w:val="0019232D"/>
    <w:rsid w:val="001935EE"/>
    <w:rsid w:val="001935F5"/>
    <w:rsid w:val="001937E5"/>
    <w:rsid w:val="00194C1F"/>
    <w:rsid w:val="00194D15"/>
    <w:rsid w:val="00196C51"/>
    <w:rsid w:val="00197EB3"/>
    <w:rsid w:val="001A0300"/>
    <w:rsid w:val="001A074B"/>
    <w:rsid w:val="001A1369"/>
    <w:rsid w:val="001A1B39"/>
    <w:rsid w:val="001A1F69"/>
    <w:rsid w:val="001A4ECF"/>
    <w:rsid w:val="001A5251"/>
    <w:rsid w:val="001A5315"/>
    <w:rsid w:val="001B01F9"/>
    <w:rsid w:val="001B0309"/>
    <w:rsid w:val="001B14F5"/>
    <w:rsid w:val="001B1BF6"/>
    <w:rsid w:val="001B2D2E"/>
    <w:rsid w:val="001B337A"/>
    <w:rsid w:val="001B4E4C"/>
    <w:rsid w:val="001B5251"/>
    <w:rsid w:val="001B6117"/>
    <w:rsid w:val="001B621A"/>
    <w:rsid w:val="001B624D"/>
    <w:rsid w:val="001B69D0"/>
    <w:rsid w:val="001B73C7"/>
    <w:rsid w:val="001B7FA9"/>
    <w:rsid w:val="001C0BB2"/>
    <w:rsid w:val="001C0F1D"/>
    <w:rsid w:val="001C1416"/>
    <w:rsid w:val="001C1AAB"/>
    <w:rsid w:val="001C216E"/>
    <w:rsid w:val="001C28BC"/>
    <w:rsid w:val="001C4927"/>
    <w:rsid w:val="001C68A6"/>
    <w:rsid w:val="001C7E81"/>
    <w:rsid w:val="001D0529"/>
    <w:rsid w:val="001D208F"/>
    <w:rsid w:val="001D3525"/>
    <w:rsid w:val="001D35C4"/>
    <w:rsid w:val="001D385D"/>
    <w:rsid w:val="001D47C3"/>
    <w:rsid w:val="001D4B6D"/>
    <w:rsid w:val="001D5261"/>
    <w:rsid w:val="001D6832"/>
    <w:rsid w:val="001D7F34"/>
    <w:rsid w:val="001E0355"/>
    <w:rsid w:val="001E14DD"/>
    <w:rsid w:val="001E186A"/>
    <w:rsid w:val="001E3503"/>
    <w:rsid w:val="001E359F"/>
    <w:rsid w:val="001E3A75"/>
    <w:rsid w:val="001E436F"/>
    <w:rsid w:val="001E44D5"/>
    <w:rsid w:val="001E54F2"/>
    <w:rsid w:val="001E71D9"/>
    <w:rsid w:val="001E7955"/>
    <w:rsid w:val="001E7D07"/>
    <w:rsid w:val="001F03E4"/>
    <w:rsid w:val="001F0DB9"/>
    <w:rsid w:val="001F111E"/>
    <w:rsid w:val="001F189C"/>
    <w:rsid w:val="001F2214"/>
    <w:rsid w:val="001F2E42"/>
    <w:rsid w:val="001F5C6A"/>
    <w:rsid w:val="001F5D26"/>
    <w:rsid w:val="001F614A"/>
    <w:rsid w:val="001F6B05"/>
    <w:rsid w:val="001F749F"/>
    <w:rsid w:val="001F7A86"/>
    <w:rsid w:val="00200FBD"/>
    <w:rsid w:val="00201631"/>
    <w:rsid w:val="00201F70"/>
    <w:rsid w:val="002023C0"/>
    <w:rsid w:val="0020243D"/>
    <w:rsid w:val="00202D2C"/>
    <w:rsid w:val="002040CD"/>
    <w:rsid w:val="00204C4D"/>
    <w:rsid w:val="00206376"/>
    <w:rsid w:val="0020668E"/>
    <w:rsid w:val="00206798"/>
    <w:rsid w:val="002078F2"/>
    <w:rsid w:val="00210701"/>
    <w:rsid w:val="00210B2B"/>
    <w:rsid w:val="00211AD2"/>
    <w:rsid w:val="00211E3D"/>
    <w:rsid w:val="0021225F"/>
    <w:rsid w:val="0021329A"/>
    <w:rsid w:val="00213AA9"/>
    <w:rsid w:val="002143B3"/>
    <w:rsid w:val="00215079"/>
    <w:rsid w:val="002153F1"/>
    <w:rsid w:val="00215A9A"/>
    <w:rsid w:val="00215F98"/>
    <w:rsid w:val="002174F4"/>
    <w:rsid w:val="0022036E"/>
    <w:rsid w:val="002208D0"/>
    <w:rsid w:val="0022120E"/>
    <w:rsid w:val="00221961"/>
    <w:rsid w:val="00221E4E"/>
    <w:rsid w:val="00221EED"/>
    <w:rsid w:val="002223D3"/>
    <w:rsid w:val="00224EF3"/>
    <w:rsid w:val="0022590C"/>
    <w:rsid w:val="00225B9A"/>
    <w:rsid w:val="00226AA9"/>
    <w:rsid w:val="00226B3C"/>
    <w:rsid w:val="00227032"/>
    <w:rsid w:val="0022722C"/>
    <w:rsid w:val="0022746F"/>
    <w:rsid w:val="00227754"/>
    <w:rsid w:val="00227F15"/>
    <w:rsid w:val="0023015C"/>
    <w:rsid w:val="002318CC"/>
    <w:rsid w:val="0023322C"/>
    <w:rsid w:val="00234623"/>
    <w:rsid w:val="002357AA"/>
    <w:rsid w:val="00235B3B"/>
    <w:rsid w:val="00235EFC"/>
    <w:rsid w:val="00237CD9"/>
    <w:rsid w:val="0024154E"/>
    <w:rsid w:val="00241DCC"/>
    <w:rsid w:val="00242A42"/>
    <w:rsid w:val="002466B6"/>
    <w:rsid w:val="00247672"/>
    <w:rsid w:val="002519E5"/>
    <w:rsid w:val="00251D12"/>
    <w:rsid w:val="002522BE"/>
    <w:rsid w:val="0025290E"/>
    <w:rsid w:val="00253CAE"/>
    <w:rsid w:val="0025432E"/>
    <w:rsid w:val="00260EA9"/>
    <w:rsid w:val="00260EC8"/>
    <w:rsid w:val="00261A81"/>
    <w:rsid w:val="0026390F"/>
    <w:rsid w:val="00263D89"/>
    <w:rsid w:val="002649E9"/>
    <w:rsid w:val="00266A10"/>
    <w:rsid w:val="0026767C"/>
    <w:rsid w:val="00267805"/>
    <w:rsid w:val="00271E06"/>
    <w:rsid w:val="00272971"/>
    <w:rsid w:val="002730E2"/>
    <w:rsid w:val="0027483B"/>
    <w:rsid w:val="00274AB8"/>
    <w:rsid w:val="00275466"/>
    <w:rsid w:val="002809B3"/>
    <w:rsid w:val="00280A41"/>
    <w:rsid w:val="00282A78"/>
    <w:rsid w:val="00282DC0"/>
    <w:rsid w:val="00285171"/>
    <w:rsid w:val="002858A9"/>
    <w:rsid w:val="00287750"/>
    <w:rsid w:val="002902C8"/>
    <w:rsid w:val="002909DB"/>
    <w:rsid w:val="00290D35"/>
    <w:rsid w:val="002927A2"/>
    <w:rsid w:val="00293283"/>
    <w:rsid w:val="00293304"/>
    <w:rsid w:val="0029563F"/>
    <w:rsid w:val="0029594D"/>
    <w:rsid w:val="00295CF8"/>
    <w:rsid w:val="00296C9A"/>
    <w:rsid w:val="00296F9B"/>
    <w:rsid w:val="002971CF"/>
    <w:rsid w:val="00297F42"/>
    <w:rsid w:val="002A0B80"/>
    <w:rsid w:val="002A0F24"/>
    <w:rsid w:val="002A15DA"/>
    <w:rsid w:val="002A34BA"/>
    <w:rsid w:val="002A7C4B"/>
    <w:rsid w:val="002B077C"/>
    <w:rsid w:val="002B0B71"/>
    <w:rsid w:val="002B1F62"/>
    <w:rsid w:val="002B2015"/>
    <w:rsid w:val="002B3BBA"/>
    <w:rsid w:val="002B44B7"/>
    <w:rsid w:val="002B50D5"/>
    <w:rsid w:val="002B5A99"/>
    <w:rsid w:val="002B5C8C"/>
    <w:rsid w:val="002B5FF8"/>
    <w:rsid w:val="002B6573"/>
    <w:rsid w:val="002B6DBA"/>
    <w:rsid w:val="002B6F86"/>
    <w:rsid w:val="002B7AA6"/>
    <w:rsid w:val="002B7E47"/>
    <w:rsid w:val="002C11EE"/>
    <w:rsid w:val="002C2A13"/>
    <w:rsid w:val="002C2E92"/>
    <w:rsid w:val="002C3164"/>
    <w:rsid w:val="002C3825"/>
    <w:rsid w:val="002C398A"/>
    <w:rsid w:val="002C3FB6"/>
    <w:rsid w:val="002C42F2"/>
    <w:rsid w:val="002C51F4"/>
    <w:rsid w:val="002C6201"/>
    <w:rsid w:val="002C6673"/>
    <w:rsid w:val="002C719A"/>
    <w:rsid w:val="002C71B4"/>
    <w:rsid w:val="002C786B"/>
    <w:rsid w:val="002C7CBE"/>
    <w:rsid w:val="002D05EF"/>
    <w:rsid w:val="002D157C"/>
    <w:rsid w:val="002D1C3F"/>
    <w:rsid w:val="002D36AE"/>
    <w:rsid w:val="002D3839"/>
    <w:rsid w:val="002D3A4A"/>
    <w:rsid w:val="002D3FFB"/>
    <w:rsid w:val="002D5611"/>
    <w:rsid w:val="002D6047"/>
    <w:rsid w:val="002D6E59"/>
    <w:rsid w:val="002D7CD8"/>
    <w:rsid w:val="002D7FB1"/>
    <w:rsid w:val="002E0B3B"/>
    <w:rsid w:val="002E0F64"/>
    <w:rsid w:val="002E109B"/>
    <w:rsid w:val="002E14EE"/>
    <w:rsid w:val="002E2692"/>
    <w:rsid w:val="002E3241"/>
    <w:rsid w:val="002E3399"/>
    <w:rsid w:val="002E38BB"/>
    <w:rsid w:val="002E513C"/>
    <w:rsid w:val="002E612C"/>
    <w:rsid w:val="002E649B"/>
    <w:rsid w:val="002E6677"/>
    <w:rsid w:val="002E7314"/>
    <w:rsid w:val="002E7E5A"/>
    <w:rsid w:val="002E7F35"/>
    <w:rsid w:val="002F1618"/>
    <w:rsid w:val="002F1D37"/>
    <w:rsid w:val="002F36E8"/>
    <w:rsid w:val="002F529A"/>
    <w:rsid w:val="002F5BB5"/>
    <w:rsid w:val="002F6661"/>
    <w:rsid w:val="002F6D93"/>
    <w:rsid w:val="002F7EE7"/>
    <w:rsid w:val="0030002A"/>
    <w:rsid w:val="003008FB"/>
    <w:rsid w:val="00300F45"/>
    <w:rsid w:val="003014F3"/>
    <w:rsid w:val="00301643"/>
    <w:rsid w:val="0030170C"/>
    <w:rsid w:val="00301A91"/>
    <w:rsid w:val="0030248B"/>
    <w:rsid w:val="003045A0"/>
    <w:rsid w:val="00305B38"/>
    <w:rsid w:val="00306DA5"/>
    <w:rsid w:val="003104F2"/>
    <w:rsid w:val="00311CA9"/>
    <w:rsid w:val="0031292D"/>
    <w:rsid w:val="0031367A"/>
    <w:rsid w:val="003137CF"/>
    <w:rsid w:val="00313A14"/>
    <w:rsid w:val="003146D1"/>
    <w:rsid w:val="0031528B"/>
    <w:rsid w:val="0031556D"/>
    <w:rsid w:val="00315DB0"/>
    <w:rsid w:val="00315F3E"/>
    <w:rsid w:val="0031620E"/>
    <w:rsid w:val="003172BE"/>
    <w:rsid w:val="00320E3F"/>
    <w:rsid w:val="00322AAC"/>
    <w:rsid w:val="00322C47"/>
    <w:rsid w:val="00322E71"/>
    <w:rsid w:val="003230B5"/>
    <w:rsid w:val="00323FE4"/>
    <w:rsid w:val="003240BE"/>
    <w:rsid w:val="003243A5"/>
    <w:rsid w:val="00324F0C"/>
    <w:rsid w:val="003257DB"/>
    <w:rsid w:val="00325EDE"/>
    <w:rsid w:val="00326DBA"/>
    <w:rsid w:val="00330077"/>
    <w:rsid w:val="0033096C"/>
    <w:rsid w:val="00330AEE"/>
    <w:rsid w:val="00331549"/>
    <w:rsid w:val="00331604"/>
    <w:rsid w:val="00333450"/>
    <w:rsid w:val="003335ED"/>
    <w:rsid w:val="00333639"/>
    <w:rsid w:val="00333E51"/>
    <w:rsid w:val="00333EC9"/>
    <w:rsid w:val="00334478"/>
    <w:rsid w:val="00336094"/>
    <w:rsid w:val="00341862"/>
    <w:rsid w:val="0034203C"/>
    <w:rsid w:val="00342ED0"/>
    <w:rsid w:val="00343111"/>
    <w:rsid w:val="00344BB4"/>
    <w:rsid w:val="003457C2"/>
    <w:rsid w:val="00345BAA"/>
    <w:rsid w:val="00346168"/>
    <w:rsid w:val="00346988"/>
    <w:rsid w:val="003479E8"/>
    <w:rsid w:val="00347BFE"/>
    <w:rsid w:val="00350093"/>
    <w:rsid w:val="003533FF"/>
    <w:rsid w:val="00353EB6"/>
    <w:rsid w:val="0035508E"/>
    <w:rsid w:val="00355BA4"/>
    <w:rsid w:val="00355DE7"/>
    <w:rsid w:val="003605D5"/>
    <w:rsid w:val="0036078C"/>
    <w:rsid w:val="0036180A"/>
    <w:rsid w:val="00361890"/>
    <w:rsid w:val="00361EC8"/>
    <w:rsid w:val="00363503"/>
    <w:rsid w:val="00364050"/>
    <w:rsid w:val="0036413A"/>
    <w:rsid w:val="0036493E"/>
    <w:rsid w:val="00364EA4"/>
    <w:rsid w:val="00365625"/>
    <w:rsid w:val="003715FA"/>
    <w:rsid w:val="00371710"/>
    <w:rsid w:val="00372354"/>
    <w:rsid w:val="003723B0"/>
    <w:rsid w:val="00372E59"/>
    <w:rsid w:val="00373AFF"/>
    <w:rsid w:val="00373D30"/>
    <w:rsid w:val="00375CB6"/>
    <w:rsid w:val="00376276"/>
    <w:rsid w:val="003777F2"/>
    <w:rsid w:val="003803C4"/>
    <w:rsid w:val="003819CB"/>
    <w:rsid w:val="00381A96"/>
    <w:rsid w:val="00383792"/>
    <w:rsid w:val="00385823"/>
    <w:rsid w:val="0038737D"/>
    <w:rsid w:val="00390487"/>
    <w:rsid w:val="003928A6"/>
    <w:rsid w:val="00392949"/>
    <w:rsid w:val="00393988"/>
    <w:rsid w:val="00393D8A"/>
    <w:rsid w:val="00394A69"/>
    <w:rsid w:val="00394CC7"/>
    <w:rsid w:val="003950B7"/>
    <w:rsid w:val="00395BA6"/>
    <w:rsid w:val="00396205"/>
    <w:rsid w:val="0039649B"/>
    <w:rsid w:val="00396559"/>
    <w:rsid w:val="0039775C"/>
    <w:rsid w:val="003978C3"/>
    <w:rsid w:val="003979B7"/>
    <w:rsid w:val="00397B19"/>
    <w:rsid w:val="00397E6B"/>
    <w:rsid w:val="00397F96"/>
    <w:rsid w:val="003A04CD"/>
    <w:rsid w:val="003A059D"/>
    <w:rsid w:val="003A07B0"/>
    <w:rsid w:val="003A114F"/>
    <w:rsid w:val="003A299B"/>
    <w:rsid w:val="003A2E2E"/>
    <w:rsid w:val="003A39DD"/>
    <w:rsid w:val="003A535B"/>
    <w:rsid w:val="003A53DA"/>
    <w:rsid w:val="003A5419"/>
    <w:rsid w:val="003A596E"/>
    <w:rsid w:val="003B0168"/>
    <w:rsid w:val="003B04E8"/>
    <w:rsid w:val="003B079D"/>
    <w:rsid w:val="003B0873"/>
    <w:rsid w:val="003B0E02"/>
    <w:rsid w:val="003B2BD1"/>
    <w:rsid w:val="003B2DED"/>
    <w:rsid w:val="003B52B9"/>
    <w:rsid w:val="003B60A1"/>
    <w:rsid w:val="003B6113"/>
    <w:rsid w:val="003B64C7"/>
    <w:rsid w:val="003B6FE0"/>
    <w:rsid w:val="003B78BD"/>
    <w:rsid w:val="003B7F33"/>
    <w:rsid w:val="003C0206"/>
    <w:rsid w:val="003C1846"/>
    <w:rsid w:val="003C1D78"/>
    <w:rsid w:val="003C2CDB"/>
    <w:rsid w:val="003C38B5"/>
    <w:rsid w:val="003C3E5B"/>
    <w:rsid w:val="003C3F59"/>
    <w:rsid w:val="003C545E"/>
    <w:rsid w:val="003C54EF"/>
    <w:rsid w:val="003C55CE"/>
    <w:rsid w:val="003C5616"/>
    <w:rsid w:val="003C6515"/>
    <w:rsid w:val="003C6B26"/>
    <w:rsid w:val="003C72FC"/>
    <w:rsid w:val="003D00C7"/>
    <w:rsid w:val="003D0AD5"/>
    <w:rsid w:val="003D14A9"/>
    <w:rsid w:val="003D157E"/>
    <w:rsid w:val="003D1F50"/>
    <w:rsid w:val="003D2089"/>
    <w:rsid w:val="003D256E"/>
    <w:rsid w:val="003D35DA"/>
    <w:rsid w:val="003D3613"/>
    <w:rsid w:val="003D3EE8"/>
    <w:rsid w:val="003D4BF0"/>
    <w:rsid w:val="003D6C0D"/>
    <w:rsid w:val="003D7D09"/>
    <w:rsid w:val="003D7D8E"/>
    <w:rsid w:val="003D7F97"/>
    <w:rsid w:val="003E1257"/>
    <w:rsid w:val="003E1A59"/>
    <w:rsid w:val="003E261A"/>
    <w:rsid w:val="003E2CD9"/>
    <w:rsid w:val="003E31CE"/>
    <w:rsid w:val="003E3A2B"/>
    <w:rsid w:val="003E4235"/>
    <w:rsid w:val="003E46EF"/>
    <w:rsid w:val="003E51C3"/>
    <w:rsid w:val="003E5E33"/>
    <w:rsid w:val="003E61FC"/>
    <w:rsid w:val="003F00D2"/>
    <w:rsid w:val="003F0397"/>
    <w:rsid w:val="003F0869"/>
    <w:rsid w:val="003F177F"/>
    <w:rsid w:val="003F22B0"/>
    <w:rsid w:val="003F24C5"/>
    <w:rsid w:val="003F2713"/>
    <w:rsid w:val="003F2FCF"/>
    <w:rsid w:val="003F30F5"/>
    <w:rsid w:val="003F329A"/>
    <w:rsid w:val="003F353C"/>
    <w:rsid w:val="003F3815"/>
    <w:rsid w:val="003F3CDE"/>
    <w:rsid w:val="003F5AFF"/>
    <w:rsid w:val="003F67FF"/>
    <w:rsid w:val="003F6B11"/>
    <w:rsid w:val="003F7648"/>
    <w:rsid w:val="00400878"/>
    <w:rsid w:val="00401497"/>
    <w:rsid w:val="00402217"/>
    <w:rsid w:val="00403BB6"/>
    <w:rsid w:val="004052DE"/>
    <w:rsid w:val="0040535C"/>
    <w:rsid w:val="00405CE5"/>
    <w:rsid w:val="00405DEB"/>
    <w:rsid w:val="00406085"/>
    <w:rsid w:val="00406E3A"/>
    <w:rsid w:val="00410E74"/>
    <w:rsid w:val="00411589"/>
    <w:rsid w:val="00411D37"/>
    <w:rsid w:val="00411DDD"/>
    <w:rsid w:val="00413292"/>
    <w:rsid w:val="0041355D"/>
    <w:rsid w:val="00413A13"/>
    <w:rsid w:val="00413E45"/>
    <w:rsid w:val="0041436E"/>
    <w:rsid w:val="00415290"/>
    <w:rsid w:val="0041582C"/>
    <w:rsid w:val="00415CFF"/>
    <w:rsid w:val="0041650A"/>
    <w:rsid w:val="00416D1D"/>
    <w:rsid w:val="00417A28"/>
    <w:rsid w:val="00421E2B"/>
    <w:rsid w:val="00422025"/>
    <w:rsid w:val="0042204D"/>
    <w:rsid w:val="0042349A"/>
    <w:rsid w:val="0042350B"/>
    <w:rsid w:val="004239C3"/>
    <w:rsid w:val="00424578"/>
    <w:rsid w:val="00424DE1"/>
    <w:rsid w:val="0042608D"/>
    <w:rsid w:val="00427916"/>
    <w:rsid w:val="00427EE6"/>
    <w:rsid w:val="00431F22"/>
    <w:rsid w:val="00433217"/>
    <w:rsid w:val="004353C1"/>
    <w:rsid w:val="00436D72"/>
    <w:rsid w:val="00437936"/>
    <w:rsid w:val="004406DF"/>
    <w:rsid w:val="0044075D"/>
    <w:rsid w:val="004428C6"/>
    <w:rsid w:val="004429D3"/>
    <w:rsid w:val="00442CAA"/>
    <w:rsid w:val="00443579"/>
    <w:rsid w:val="00444C58"/>
    <w:rsid w:val="00445125"/>
    <w:rsid w:val="00446B13"/>
    <w:rsid w:val="00447F24"/>
    <w:rsid w:val="00450F69"/>
    <w:rsid w:val="00451163"/>
    <w:rsid w:val="00452D39"/>
    <w:rsid w:val="00453CB9"/>
    <w:rsid w:val="00453D17"/>
    <w:rsid w:val="00454BB3"/>
    <w:rsid w:val="00455B41"/>
    <w:rsid w:val="00455B7B"/>
    <w:rsid w:val="00457530"/>
    <w:rsid w:val="00457668"/>
    <w:rsid w:val="004576AC"/>
    <w:rsid w:val="00460E75"/>
    <w:rsid w:val="00461586"/>
    <w:rsid w:val="004620C9"/>
    <w:rsid w:val="00463148"/>
    <w:rsid w:val="00463153"/>
    <w:rsid w:val="00463D68"/>
    <w:rsid w:val="004640C5"/>
    <w:rsid w:val="00466189"/>
    <w:rsid w:val="00466F2F"/>
    <w:rsid w:val="00467D06"/>
    <w:rsid w:val="00472422"/>
    <w:rsid w:val="004729FE"/>
    <w:rsid w:val="00473711"/>
    <w:rsid w:val="00474027"/>
    <w:rsid w:val="00474445"/>
    <w:rsid w:val="00474F0B"/>
    <w:rsid w:val="004752DD"/>
    <w:rsid w:val="00475B27"/>
    <w:rsid w:val="00476A7E"/>
    <w:rsid w:val="00476D75"/>
    <w:rsid w:val="00476F5B"/>
    <w:rsid w:val="00477649"/>
    <w:rsid w:val="00480090"/>
    <w:rsid w:val="004811C8"/>
    <w:rsid w:val="0048136F"/>
    <w:rsid w:val="00481B2F"/>
    <w:rsid w:val="00482721"/>
    <w:rsid w:val="00482BB8"/>
    <w:rsid w:val="00484529"/>
    <w:rsid w:val="00484B16"/>
    <w:rsid w:val="00484C57"/>
    <w:rsid w:val="00485AFD"/>
    <w:rsid w:val="00487321"/>
    <w:rsid w:val="004915C4"/>
    <w:rsid w:val="00491D05"/>
    <w:rsid w:val="00492C85"/>
    <w:rsid w:val="0049319B"/>
    <w:rsid w:val="0049478D"/>
    <w:rsid w:val="00495008"/>
    <w:rsid w:val="0049507C"/>
    <w:rsid w:val="00495C28"/>
    <w:rsid w:val="004971C9"/>
    <w:rsid w:val="004974D0"/>
    <w:rsid w:val="004974FE"/>
    <w:rsid w:val="004A111B"/>
    <w:rsid w:val="004A1477"/>
    <w:rsid w:val="004A2F7B"/>
    <w:rsid w:val="004A3B63"/>
    <w:rsid w:val="004A4DDE"/>
    <w:rsid w:val="004A4EFE"/>
    <w:rsid w:val="004A5518"/>
    <w:rsid w:val="004A5FC1"/>
    <w:rsid w:val="004A6049"/>
    <w:rsid w:val="004A7ED5"/>
    <w:rsid w:val="004B45EC"/>
    <w:rsid w:val="004B5146"/>
    <w:rsid w:val="004B57D8"/>
    <w:rsid w:val="004B6008"/>
    <w:rsid w:val="004B7133"/>
    <w:rsid w:val="004B71ED"/>
    <w:rsid w:val="004B7991"/>
    <w:rsid w:val="004B7FA1"/>
    <w:rsid w:val="004C0079"/>
    <w:rsid w:val="004C0375"/>
    <w:rsid w:val="004C0463"/>
    <w:rsid w:val="004C1211"/>
    <w:rsid w:val="004C128F"/>
    <w:rsid w:val="004C18D6"/>
    <w:rsid w:val="004C21DE"/>
    <w:rsid w:val="004C227D"/>
    <w:rsid w:val="004C3DE3"/>
    <w:rsid w:val="004C46AF"/>
    <w:rsid w:val="004C4A5C"/>
    <w:rsid w:val="004C4C19"/>
    <w:rsid w:val="004C4DE6"/>
    <w:rsid w:val="004C58B8"/>
    <w:rsid w:val="004C5A26"/>
    <w:rsid w:val="004C5A67"/>
    <w:rsid w:val="004C5DD9"/>
    <w:rsid w:val="004C685C"/>
    <w:rsid w:val="004C7967"/>
    <w:rsid w:val="004C7F19"/>
    <w:rsid w:val="004D0140"/>
    <w:rsid w:val="004D11F1"/>
    <w:rsid w:val="004D247E"/>
    <w:rsid w:val="004D3021"/>
    <w:rsid w:val="004D347D"/>
    <w:rsid w:val="004D3BF9"/>
    <w:rsid w:val="004D4A9D"/>
    <w:rsid w:val="004D509D"/>
    <w:rsid w:val="004D61AC"/>
    <w:rsid w:val="004D6376"/>
    <w:rsid w:val="004D78C7"/>
    <w:rsid w:val="004E1BA7"/>
    <w:rsid w:val="004E25C8"/>
    <w:rsid w:val="004E2B64"/>
    <w:rsid w:val="004E302D"/>
    <w:rsid w:val="004E3C56"/>
    <w:rsid w:val="004E41D6"/>
    <w:rsid w:val="004E53F0"/>
    <w:rsid w:val="004E54C8"/>
    <w:rsid w:val="004E72BD"/>
    <w:rsid w:val="004F1E54"/>
    <w:rsid w:val="004F2393"/>
    <w:rsid w:val="004F3B6F"/>
    <w:rsid w:val="004F3E94"/>
    <w:rsid w:val="004F44AA"/>
    <w:rsid w:val="004F4A4B"/>
    <w:rsid w:val="004F62AF"/>
    <w:rsid w:val="004F6E8B"/>
    <w:rsid w:val="004F6F2D"/>
    <w:rsid w:val="004F75C3"/>
    <w:rsid w:val="004F7E67"/>
    <w:rsid w:val="0050023A"/>
    <w:rsid w:val="0050097C"/>
    <w:rsid w:val="00502176"/>
    <w:rsid w:val="00502391"/>
    <w:rsid w:val="005034A0"/>
    <w:rsid w:val="00503D38"/>
    <w:rsid w:val="00504503"/>
    <w:rsid w:val="005050FF"/>
    <w:rsid w:val="00507218"/>
    <w:rsid w:val="00507850"/>
    <w:rsid w:val="00510C53"/>
    <w:rsid w:val="00511B6B"/>
    <w:rsid w:val="00512741"/>
    <w:rsid w:val="0051403E"/>
    <w:rsid w:val="005147BF"/>
    <w:rsid w:val="00514B22"/>
    <w:rsid w:val="00515618"/>
    <w:rsid w:val="00515724"/>
    <w:rsid w:val="005167F9"/>
    <w:rsid w:val="00516E9C"/>
    <w:rsid w:val="005172CD"/>
    <w:rsid w:val="0051775A"/>
    <w:rsid w:val="005201CF"/>
    <w:rsid w:val="00520600"/>
    <w:rsid w:val="005209A4"/>
    <w:rsid w:val="005213BD"/>
    <w:rsid w:val="0052170C"/>
    <w:rsid w:val="00522D82"/>
    <w:rsid w:val="00522F8F"/>
    <w:rsid w:val="005241C8"/>
    <w:rsid w:val="00524E04"/>
    <w:rsid w:val="005255D1"/>
    <w:rsid w:val="005261F1"/>
    <w:rsid w:val="00526A0E"/>
    <w:rsid w:val="00527249"/>
    <w:rsid w:val="005277D0"/>
    <w:rsid w:val="0053248E"/>
    <w:rsid w:val="00532606"/>
    <w:rsid w:val="00533BB0"/>
    <w:rsid w:val="005343C2"/>
    <w:rsid w:val="00534E60"/>
    <w:rsid w:val="00535191"/>
    <w:rsid w:val="005371A1"/>
    <w:rsid w:val="0053770A"/>
    <w:rsid w:val="00540777"/>
    <w:rsid w:val="00541BDE"/>
    <w:rsid w:val="0054297E"/>
    <w:rsid w:val="005431B1"/>
    <w:rsid w:val="005449E1"/>
    <w:rsid w:val="005453F7"/>
    <w:rsid w:val="0054578E"/>
    <w:rsid w:val="00545917"/>
    <w:rsid w:val="00545A81"/>
    <w:rsid w:val="00546130"/>
    <w:rsid w:val="005464CF"/>
    <w:rsid w:val="005464DD"/>
    <w:rsid w:val="005466F6"/>
    <w:rsid w:val="00546A5E"/>
    <w:rsid w:val="00550039"/>
    <w:rsid w:val="00552D05"/>
    <w:rsid w:val="00552E13"/>
    <w:rsid w:val="00553081"/>
    <w:rsid w:val="00553C22"/>
    <w:rsid w:val="0055431A"/>
    <w:rsid w:val="00554715"/>
    <w:rsid w:val="00554D99"/>
    <w:rsid w:val="005550EF"/>
    <w:rsid w:val="00555582"/>
    <w:rsid w:val="005557D4"/>
    <w:rsid w:val="005578BF"/>
    <w:rsid w:val="00560AC0"/>
    <w:rsid w:val="0056297F"/>
    <w:rsid w:val="0056325C"/>
    <w:rsid w:val="0056469E"/>
    <w:rsid w:val="005709D7"/>
    <w:rsid w:val="005714A5"/>
    <w:rsid w:val="005716D5"/>
    <w:rsid w:val="00571B3A"/>
    <w:rsid w:val="00573B30"/>
    <w:rsid w:val="00575112"/>
    <w:rsid w:val="00575472"/>
    <w:rsid w:val="00576EA4"/>
    <w:rsid w:val="00576EBA"/>
    <w:rsid w:val="00576F28"/>
    <w:rsid w:val="00577799"/>
    <w:rsid w:val="005777D0"/>
    <w:rsid w:val="0057792C"/>
    <w:rsid w:val="00580229"/>
    <w:rsid w:val="00581158"/>
    <w:rsid w:val="005814FF"/>
    <w:rsid w:val="00581826"/>
    <w:rsid w:val="005836E2"/>
    <w:rsid w:val="00584180"/>
    <w:rsid w:val="005848EE"/>
    <w:rsid w:val="00584C64"/>
    <w:rsid w:val="00584CBA"/>
    <w:rsid w:val="005859E8"/>
    <w:rsid w:val="00585ACC"/>
    <w:rsid w:val="00586505"/>
    <w:rsid w:val="0058655C"/>
    <w:rsid w:val="005876B0"/>
    <w:rsid w:val="00587C23"/>
    <w:rsid w:val="00591E7A"/>
    <w:rsid w:val="0059247A"/>
    <w:rsid w:val="00592701"/>
    <w:rsid w:val="00592F21"/>
    <w:rsid w:val="00595212"/>
    <w:rsid w:val="00595DED"/>
    <w:rsid w:val="00597DD2"/>
    <w:rsid w:val="005A0136"/>
    <w:rsid w:val="005A0A61"/>
    <w:rsid w:val="005A1658"/>
    <w:rsid w:val="005A197F"/>
    <w:rsid w:val="005A2FE7"/>
    <w:rsid w:val="005A4A80"/>
    <w:rsid w:val="005A5224"/>
    <w:rsid w:val="005A64CA"/>
    <w:rsid w:val="005A65C2"/>
    <w:rsid w:val="005A6626"/>
    <w:rsid w:val="005A6C71"/>
    <w:rsid w:val="005A7665"/>
    <w:rsid w:val="005B10BC"/>
    <w:rsid w:val="005B12A7"/>
    <w:rsid w:val="005B12C7"/>
    <w:rsid w:val="005B1BE2"/>
    <w:rsid w:val="005B287A"/>
    <w:rsid w:val="005B3C3C"/>
    <w:rsid w:val="005B4DDD"/>
    <w:rsid w:val="005B7A6B"/>
    <w:rsid w:val="005B7E59"/>
    <w:rsid w:val="005C0047"/>
    <w:rsid w:val="005C057E"/>
    <w:rsid w:val="005C087B"/>
    <w:rsid w:val="005C1B91"/>
    <w:rsid w:val="005C1F7C"/>
    <w:rsid w:val="005C3C3A"/>
    <w:rsid w:val="005C515D"/>
    <w:rsid w:val="005C5674"/>
    <w:rsid w:val="005C6C00"/>
    <w:rsid w:val="005D0DF8"/>
    <w:rsid w:val="005D0E56"/>
    <w:rsid w:val="005D2BD0"/>
    <w:rsid w:val="005D38B2"/>
    <w:rsid w:val="005D4876"/>
    <w:rsid w:val="005D4A74"/>
    <w:rsid w:val="005D5D9F"/>
    <w:rsid w:val="005D5EE6"/>
    <w:rsid w:val="005D6E9E"/>
    <w:rsid w:val="005D6F67"/>
    <w:rsid w:val="005D70B1"/>
    <w:rsid w:val="005E05B5"/>
    <w:rsid w:val="005E0A61"/>
    <w:rsid w:val="005E13DC"/>
    <w:rsid w:val="005E1F3E"/>
    <w:rsid w:val="005E2FEA"/>
    <w:rsid w:val="005E33C8"/>
    <w:rsid w:val="005E34D2"/>
    <w:rsid w:val="005E5E96"/>
    <w:rsid w:val="005E644F"/>
    <w:rsid w:val="005E6476"/>
    <w:rsid w:val="005E6BD7"/>
    <w:rsid w:val="005E6DCF"/>
    <w:rsid w:val="005E77FC"/>
    <w:rsid w:val="005E7FB0"/>
    <w:rsid w:val="005F1BDC"/>
    <w:rsid w:val="005F1DF6"/>
    <w:rsid w:val="005F203B"/>
    <w:rsid w:val="005F284F"/>
    <w:rsid w:val="005F2DDE"/>
    <w:rsid w:val="005F37F9"/>
    <w:rsid w:val="005F42FA"/>
    <w:rsid w:val="005F7AD6"/>
    <w:rsid w:val="00601AAC"/>
    <w:rsid w:val="00604E0E"/>
    <w:rsid w:val="006051F1"/>
    <w:rsid w:val="0060554F"/>
    <w:rsid w:val="00606851"/>
    <w:rsid w:val="0060685D"/>
    <w:rsid w:val="00606EE5"/>
    <w:rsid w:val="006070D6"/>
    <w:rsid w:val="006075D6"/>
    <w:rsid w:val="00607B21"/>
    <w:rsid w:val="00610F47"/>
    <w:rsid w:val="006111E6"/>
    <w:rsid w:val="00613DAD"/>
    <w:rsid w:val="00616611"/>
    <w:rsid w:val="00622F96"/>
    <w:rsid w:val="00624DCA"/>
    <w:rsid w:val="00625EDC"/>
    <w:rsid w:val="0063013C"/>
    <w:rsid w:val="00630619"/>
    <w:rsid w:val="00630E51"/>
    <w:rsid w:val="00630EB1"/>
    <w:rsid w:val="00631A11"/>
    <w:rsid w:val="00631E41"/>
    <w:rsid w:val="00632A92"/>
    <w:rsid w:val="0063379A"/>
    <w:rsid w:val="00634EF4"/>
    <w:rsid w:val="00634F07"/>
    <w:rsid w:val="00636152"/>
    <w:rsid w:val="0063695E"/>
    <w:rsid w:val="0063753E"/>
    <w:rsid w:val="00637C40"/>
    <w:rsid w:val="006424EB"/>
    <w:rsid w:val="00643239"/>
    <w:rsid w:val="00643638"/>
    <w:rsid w:val="006446B5"/>
    <w:rsid w:val="0064527A"/>
    <w:rsid w:val="006461BF"/>
    <w:rsid w:val="00647FBE"/>
    <w:rsid w:val="00650393"/>
    <w:rsid w:val="00651E14"/>
    <w:rsid w:val="00652EB5"/>
    <w:rsid w:val="00655728"/>
    <w:rsid w:val="00655ECE"/>
    <w:rsid w:val="006600ED"/>
    <w:rsid w:val="00660BC2"/>
    <w:rsid w:val="0066156D"/>
    <w:rsid w:val="00661646"/>
    <w:rsid w:val="00663B38"/>
    <w:rsid w:val="00664D9F"/>
    <w:rsid w:val="00665520"/>
    <w:rsid w:val="0066559D"/>
    <w:rsid w:val="0067185C"/>
    <w:rsid w:val="0067219B"/>
    <w:rsid w:val="00672D34"/>
    <w:rsid w:val="0067411B"/>
    <w:rsid w:val="00674625"/>
    <w:rsid w:val="00675405"/>
    <w:rsid w:val="0067551B"/>
    <w:rsid w:val="006758CC"/>
    <w:rsid w:val="00675CF5"/>
    <w:rsid w:val="00676001"/>
    <w:rsid w:val="00676340"/>
    <w:rsid w:val="006777A4"/>
    <w:rsid w:val="00677E64"/>
    <w:rsid w:val="00677F7F"/>
    <w:rsid w:val="00680F95"/>
    <w:rsid w:val="00682354"/>
    <w:rsid w:val="006849F5"/>
    <w:rsid w:val="00685FA9"/>
    <w:rsid w:val="006862D4"/>
    <w:rsid w:val="00686658"/>
    <w:rsid w:val="006877BE"/>
    <w:rsid w:val="00687980"/>
    <w:rsid w:val="00690FD4"/>
    <w:rsid w:val="00691B31"/>
    <w:rsid w:val="0069234E"/>
    <w:rsid w:val="006923FA"/>
    <w:rsid w:val="0069266B"/>
    <w:rsid w:val="00692867"/>
    <w:rsid w:val="00693193"/>
    <w:rsid w:val="00693368"/>
    <w:rsid w:val="00693C1D"/>
    <w:rsid w:val="00693F11"/>
    <w:rsid w:val="00694A0B"/>
    <w:rsid w:val="00694BA3"/>
    <w:rsid w:val="006951FF"/>
    <w:rsid w:val="0069529C"/>
    <w:rsid w:val="00695339"/>
    <w:rsid w:val="0069600C"/>
    <w:rsid w:val="00697103"/>
    <w:rsid w:val="006A18A3"/>
    <w:rsid w:val="006A193E"/>
    <w:rsid w:val="006A1B4F"/>
    <w:rsid w:val="006A2244"/>
    <w:rsid w:val="006A3716"/>
    <w:rsid w:val="006A3C57"/>
    <w:rsid w:val="006A3E77"/>
    <w:rsid w:val="006A3F51"/>
    <w:rsid w:val="006A5A43"/>
    <w:rsid w:val="006A5EF7"/>
    <w:rsid w:val="006A7C11"/>
    <w:rsid w:val="006A7E34"/>
    <w:rsid w:val="006A7ED7"/>
    <w:rsid w:val="006B0019"/>
    <w:rsid w:val="006B1A2B"/>
    <w:rsid w:val="006B2597"/>
    <w:rsid w:val="006B28C6"/>
    <w:rsid w:val="006B298F"/>
    <w:rsid w:val="006B2CF3"/>
    <w:rsid w:val="006B341D"/>
    <w:rsid w:val="006B4141"/>
    <w:rsid w:val="006B4A50"/>
    <w:rsid w:val="006B5C40"/>
    <w:rsid w:val="006B6C98"/>
    <w:rsid w:val="006C055C"/>
    <w:rsid w:val="006C436C"/>
    <w:rsid w:val="006C478D"/>
    <w:rsid w:val="006C60C1"/>
    <w:rsid w:val="006C6F17"/>
    <w:rsid w:val="006C7543"/>
    <w:rsid w:val="006C7F21"/>
    <w:rsid w:val="006D03CA"/>
    <w:rsid w:val="006D0728"/>
    <w:rsid w:val="006D0A23"/>
    <w:rsid w:val="006D0AE1"/>
    <w:rsid w:val="006D26B7"/>
    <w:rsid w:val="006D27D9"/>
    <w:rsid w:val="006D2E7F"/>
    <w:rsid w:val="006D3CE6"/>
    <w:rsid w:val="006D3D1F"/>
    <w:rsid w:val="006D46AA"/>
    <w:rsid w:val="006D55EF"/>
    <w:rsid w:val="006D5AA9"/>
    <w:rsid w:val="006D634F"/>
    <w:rsid w:val="006D63AB"/>
    <w:rsid w:val="006D6C7C"/>
    <w:rsid w:val="006D736C"/>
    <w:rsid w:val="006D7FC9"/>
    <w:rsid w:val="006E1262"/>
    <w:rsid w:val="006E150E"/>
    <w:rsid w:val="006E1DBA"/>
    <w:rsid w:val="006E48FE"/>
    <w:rsid w:val="006E66D9"/>
    <w:rsid w:val="006E6DF5"/>
    <w:rsid w:val="006E7269"/>
    <w:rsid w:val="006E739C"/>
    <w:rsid w:val="006E7BDE"/>
    <w:rsid w:val="006F0848"/>
    <w:rsid w:val="006F1F97"/>
    <w:rsid w:val="006F359D"/>
    <w:rsid w:val="006F4171"/>
    <w:rsid w:val="006F4350"/>
    <w:rsid w:val="006F460A"/>
    <w:rsid w:val="006F472F"/>
    <w:rsid w:val="006F51D4"/>
    <w:rsid w:val="006F540A"/>
    <w:rsid w:val="006F6393"/>
    <w:rsid w:val="006F6FB2"/>
    <w:rsid w:val="00700632"/>
    <w:rsid w:val="00700E49"/>
    <w:rsid w:val="0070152D"/>
    <w:rsid w:val="00701895"/>
    <w:rsid w:val="00701D64"/>
    <w:rsid w:val="0070241A"/>
    <w:rsid w:val="007027C9"/>
    <w:rsid w:val="00702E58"/>
    <w:rsid w:val="00703FB5"/>
    <w:rsid w:val="007043AF"/>
    <w:rsid w:val="00704D0E"/>
    <w:rsid w:val="00705850"/>
    <w:rsid w:val="00707D52"/>
    <w:rsid w:val="00707E95"/>
    <w:rsid w:val="00710F34"/>
    <w:rsid w:val="0071126F"/>
    <w:rsid w:val="00711402"/>
    <w:rsid w:val="00711FDF"/>
    <w:rsid w:val="00712426"/>
    <w:rsid w:val="007127F3"/>
    <w:rsid w:val="0071309E"/>
    <w:rsid w:val="007132D6"/>
    <w:rsid w:val="0071596D"/>
    <w:rsid w:val="00715D7E"/>
    <w:rsid w:val="00716BF7"/>
    <w:rsid w:val="00720A2C"/>
    <w:rsid w:val="00720A30"/>
    <w:rsid w:val="00720C1F"/>
    <w:rsid w:val="00720D25"/>
    <w:rsid w:val="007211F9"/>
    <w:rsid w:val="0072160E"/>
    <w:rsid w:val="007217EA"/>
    <w:rsid w:val="00722825"/>
    <w:rsid w:val="0072329E"/>
    <w:rsid w:val="00724102"/>
    <w:rsid w:val="007251B8"/>
    <w:rsid w:val="007256F1"/>
    <w:rsid w:val="00725CFC"/>
    <w:rsid w:val="0072624D"/>
    <w:rsid w:val="007275B9"/>
    <w:rsid w:val="0073050B"/>
    <w:rsid w:val="007307C0"/>
    <w:rsid w:val="0073173D"/>
    <w:rsid w:val="00731AF6"/>
    <w:rsid w:val="00731F7E"/>
    <w:rsid w:val="00731FDB"/>
    <w:rsid w:val="007323F5"/>
    <w:rsid w:val="00733050"/>
    <w:rsid w:val="007333AE"/>
    <w:rsid w:val="007345DF"/>
    <w:rsid w:val="00735048"/>
    <w:rsid w:val="0073506F"/>
    <w:rsid w:val="00736B22"/>
    <w:rsid w:val="00740BE7"/>
    <w:rsid w:val="00741761"/>
    <w:rsid w:val="00741C23"/>
    <w:rsid w:val="00741D46"/>
    <w:rsid w:val="0074357D"/>
    <w:rsid w:val="00743590"/>
    <w:rsid w:val="00746D0C"/>
    <w:rsid w:val="007471E0"/>
    <w:rsid w:val="007479D2"/>
    <w:rsid w:val="00750D12"/>
    <w:rsid w:val="00751BF1"/>
    <w:rsid w:val="007528CC"/>
    <w:rsid w:val="00752F65"/>
    <w:rsid w:val="00753BFD"/>
    <w:rsid w:val="00753DBD"/>
    <w:rsid w:val="00753F3B"/>
    <w:rsid w:val="0075505B"/>
    <w:rsid w:val="00755851"/>
    <w:rsid w:val="00756225"/>
    <w:rsid w:val="00756804"/>
    <w:rsid w:val="00760282"/>
    <w:rsid w:val="00760455"/>
    <w:rsid w:val="007604D4"/>
    <w:rsid w:val="00761035"/>
    <w:rsid w:val="007614F2"/>
    <w:rsid w:val="007637A0"/>
    <w:rsid w:val="00765356"/>
    <w:rsid w:val="00765984"/>
    <w:rsid w:val="00765DDB"/>
    <w:rsid w:val="00766B5A"/>
    <w:rsid w:val="00766B9F"/>
    <w:rsid w:val="0076713C"/>
    <w:rsid w:val="00770489"/>
    <w:rsid w:val="00770578"/>
    <w:rsid w:val="00771B12"/>
    <w:rsid w:val="00771C5F"/>
    <w:rsid w:val="00771D5F"/>
    <w:rsid w:val="00775271"/>
    <w:rsid w:val="00775CB3"/>
    <w:rsid w:val="007772C0"/>
    <w:rsid w:val="007772DF"/>
    <w:rsid w:val="00782030"/>
    <w:rsid w:val="007823B3"/>
    <w:rsid w:val="00782750"/>
    <w:rsid w:val="0078287F"/>
    <w:rsid w:val="007829DF"/>
    <w:rsid w:val="0078388C"/>
    <w:rsid w:val="007846E9"/>
    <w:rsid w:val="00784E73"/>
    <w:rsid w:val="00785217"/>
    <w:rsid w:val="007864F0"/>
    <w:rsid w:val="00786AF5"/>
    <w:rsid w:val="0078701E"/>
    <w:rsid w:val="00787142"/>
    <w:rsid w:val="00790BB7"/>
    <w:rsid w:val="007928E9"/>
    <w:rsid w:val="00792DAF"/>
    <w:rsid w:val="00792ECF"/>
    <w:rsid w:val="00793BD1"/>
    <w:rsid w:val="0079436D"/>
    <w:rsid w:val="00795A93"/>
    <w:rsid w:val="00797415"/>
    <w:rsid w:val="0079793A"/>
    <w:rsid w:val="007A0D65"/>
    <w:rsid w:val="007A2608"/>
    <w:rsid w:val="007A291F"/>
    <w:rsid w:val="007A386A"/>
    <w:rsid w:val="007A3E5C"/>
    <w:rsid w:val="007A46F3"/>
    <w:rsid w:val="007A4E50"/>
    <w:rsid w:val="007A581A"/>
    <w:rsid w:val="007A660D"/>
    <w:rsid w:val="007A744B"/>
    <w:rsid w:val="007B26F7"/>
    <w:rsid w:val="007B28A3"/>
    <w:rsid w:val="007B2A22"/>
    <w:rsid w:val="007B3024"/>
    <w:rsid w:val="007B3460"/>
    <w:rsid w:val="007B4156"/>
    <w:rsid w:val="007B4B3E"/>
    <w:rsid w:val="007B5C94"/>
    <w:rsid w:val="007B65C2"/>
    <w:rsid w:val="007B75F9"/>
    <w:rsid w:val="007B7925"/>
    <w:rsid w:val="007B7F3A"/>
    <w:rsid w:val="007C00D8"/>
    <w:rsid w:val="007C0E92"/>
    <w:rsid w:val="007C1617"/>
    <w:rsid w:val="007C1697"/>
    <w:rsid w:val="007C181D"/>
    <w:rsid w:val="007C2056"/>
    <w:rsid w:val="007C2E6F"/>
    <w:rsid w:val="007C30F7"/>
    <w:rsid w:val="007C38A5"/>
    <w:rsid w:val="007C40BD"/>
    <w:rsid w:val="007C46FC"/>
    <w:rsid w:val="007C5F76"/>
    <w:rsid w:val="007C6717"/>
    <w:rsid w:val="007C7D70"/>
    <w:rsid w:val="007D06B7"/>
    <w:rsid w:val="007D1412"/>
    <w:rsid w:val="007D21FA"/>
    <w:rsid w:val="007D25C1"/>
    <w:rsid w:val="007D2B25"/>
    <w:rsid w:val="007D3B78"/>
    <w:rsid w:val="007D5793"/>
    <w:rsid w:val="007D582A"/>
    <w:rsid w:val="007D5E08"/>
    <w:rsid w:val="007D6BF1"/>
    <w:rsid w:val="007D6CDD"/>
    <w:rsid w:val="007D6D2E"/>
    <w:rsid w:val="007D7072"/>
    <w:rsid w:val="007E091D"/>
    <w:rsid w:val="007E5B56"/>
    <w:rsid w:val="007E5E69"/>
    <w:rsid w:val="007E69A0"/>
    <w:rsid w:val="007E6FAA"/>
    <w:rsid w:val="007F0AB5"/>
    <w:rsid w:val="007F0F80"/>
    <w:rsid w:val="007F1920"/>
    <w:rsid w:val="007F22AE"/>
    <w:rsid w:val="007F2FD5"/>
    <w:rsid w:val="007F3A4D"/>
    <w:rsid w:val="007F3B1E"/>
    <w:rsid w:val="007F3B8D"/>
    <w:rsid w:val="007F4D9B"/>
    <w:rsid w:val="007F5803"/>
    <w:rsid w:val="007F5A81"/>
    <w:rsid w:val="007F65F6"/>
    <w:rsid w:val="007F6E25"/>
    <w:rsid w:val="0080038E"/>
    <w:rsid w:val="0080254A"/>
    <w:rsid w:val="00802740"/>
    <w:rsid w:val="00802C36"/>
    <w:rsid w:val="008031FA"/>
    <w:rsid w:val="008031FF"/>
    <w:rsid w:val="00803821"/>
    <w:rsid w:val="008039E1"/>
    <w:rsid w:val="008039EE"/>
    <w:rsid w:val="00803FD1"/>
    <w:rsid w:val="00804709"/>
    <w:rsid w:val="00804917"/>
    <w:rsid w:val="00805B8F"/>
    <w:rsid w:val="00810588"/>
    <w:rsid w:val="00811EAE"/>
    <w:rsid w:val="008124C8"/>
    <w:rsid w:val="00813B9C"/>
    <w:rsid w:val="008144E4"/>
    <w:rsid w:val="008147E9"/>
    <w:rsid w:val="00816D91"/>
    <w:rsid w:val="00816E35"/>
    <w:rsid w:val="00817438"/>
    <w:rsid w:val="008174BC"/>
    <w:rsid w:val="00817809"/>
    <w:rsid w:val="00820D7D"/>
    <w:rsid w:val="008214A1"/>
    <w:rsid w:val="00821683"/>
    <w:rsid w:val="00821907"/>
    <w:rsid w:val="008228E0"/>
    <w:rsid w:val="00823CF1"/>
    <w:rsid w:val="00823E8D"/>
    <w:rsid w:val="008244D2"/>
    <w:rsid w:val="0082604A"/>
    <w:rsid w:val="008270C4"/>
    <w:rsid w:val="00827522"/>
    <w:rsid w:val="00827A00"/>
    <w:rsid w:val="00827C15"/>
    <w:rsid w:val="00830586"/>
    <w:rsid w:val="0083209B"/>
    <w:rsid w:val="008321E8"/>
    <w:rsid w:val="00832AD2"/>
    <w:rsid w:val="00835613"/>
    <w:rsid w:val="00836279"/>
    <w:rsid w:val="00836658"/>
    <w:rsid w:val="00837D9C"/>
    <w:rsid w:val="0084053D"/>
    <w:rsid w:val="00844756"/>
    <w:rsid w:val="00845884"/>
    <w:rsid w:val="008476A4"/>
    <w:rsid w:val="00847D37"/>
    <w:rsid w:val="00850D88"/>
    <w:rsid w:val="008514A8"/>
    <w:rsid w:val="00851704"/>
    <w:rsid w:val="008519A8"/>
    <w:rsid w:val="00851B3D"/>
    <w:rsid w:val="00852BB3"/>
    <w:rsid w:val="0085309F"/>
    <w:rsid w:val="00853513"/>
    <w:rsid w:val="008537BC"/>
    <w:rsid w:val="00853C11"/>
    <w:rsid w:val="00853E70"/>
    <w:rsid w:val="008545C9"/>
    <w:rsid w:val="008556CA"/>
    <w:rsid w:val="00856D97"/>
    <w:rsid w:val="00856DC9"/>
    <w:rsid w:val="00857152"/>
    <w:rsid w:val="00857F71"/>
    <w:rsid w:val="008609EC"/>
    <w:rsid w:val="00861BA5"/>
    <w:rsid w:val="00861C05"/>
    <w:rsid w:val="00861C32"/>
    <w:rsid w:val="00862E2D"/>
    <w:rsid w:val="0086337A"/>
    <w:rsid w:val="008639F9"/>
    <w:rsid w:val="00863DD5"/>
    <w:rsid w:val="00865136"/>
    <w:rsid w:val="00865F5A"/>
    <w:rsid w:val="00866836"/>
    <w:rsid w:val="00866C74"/>
    <w:rsid w:val="008702B1"/>
    <w:rsid w:val="008706CF"/>
    <w:rsid w:val="00870A4C"/>
    <w:rsid w:val="00871458"/>
    <w:rsid w:val="008714F4"/>
    <w:rsid w:val="00871E00"/>
    <w:rsid w:val="00872BFC"/>
    <w:rsid w:val="00873BCC"/>
    <w:rsid w:val="00874C52"/>
    <w:rsid w:val="008755BF"/>
    <w:rsid w:val="00881339"/>
    <w:rsid w:val="00881550"/>
    <w:rsid w:val="00882D6B"/>
    <w:rsid w:val="0088364C"/>
    <w:rsid w:val="0088397C"/>
    <w:rsid w:val="008841EC"/>
    <w:rsid w:val="00884271"/>
    <w:rsid w:val="00884925"/>
    <w:rsid w:val="008849DE"/>
    <w:rsid w:val="00884A11"/>
    <w:rsid w:val="00884ED3"/>
    <w:rsid w:val="008858D5"/>
    <w:rsid w:val="00886495"/>
    <w:rsid w:val="00887F56"/>
    <w:rsid w:val="0089001C"/>
    <w:rsid w:val="00891590"/>
    <w:rsid w:val="00892C37"/>
    <w:rsid w:val="00893701"/>
    <w:rsid w:val="0089374F"/>
    <w:rsid w:val="008939E5"/>
    <w:rsid w:val="008964DC"/>
    <w:rsid w:val="0089796F"/>
    <w:rsid w:val="008A0DC7"/>
    <w:rsid w:val="008A18EF"/>
    <w:rsid w:val="008A2EB0"/>
    <w:rsid w:val="008A3D64"/>
    <w:rsid w:val="008A620D"/>
    <w:rsid w:val="008A6BDD"/>
    <w:rsid w:val="008B0056"/>
    <w:rsid w:val="008B0383"/>
    <w:rsid w:val="008B1963"/>
    <w:rsid w:val="008B1AD7"/>
    <w:rsid w:val="008B4730"/>
    <w:rsid w:val="008B47E8"/>
    <w:rsid w:val="008B49B9"/>
    <w:rsid w:val="008B4FB6"/>
    <w:rsid w:val="008B5D61"/>
    <w:rsid w:val="008B6FA2"/>
    <w:rsid w:val="008B7131"/>
    <w:rsid w:val="008C0556"/>
    <w:rsid w:val="008C0651"/>
    <w:rsid w:val="008C1BCB"/>
    <w:rsid w:val="008C3484"/>
    <w:rsid w:val="008C3817"/>
    <w:rsid w:val="008C4408"/>
    <w:rsid w:val="008C46E3"/>
    <w:rsid w:val="008C5123"/>
    <w:rsid w:val="008C59C7"/>
    <w:rsid w:val="008C652B"/>
    <w:rsid w:val="008C7885"/>
    <w:rsid w:val="008C7993"/>
    <w:rsid w:val="008D24D5"/>
    <w:rsid w:val="008D2E13"/>
    <w:rsid w:val="008D5C91"/>
    <w:rsid w:val="008D689A"/>
    <w:rsid w:val="008D777A"/>
    <w:rsid w:val="008E169C"/>
    <w:rsid w:val="008E1B2D"/>
    <w:rsid w:val="008E1C3A"/>
    <w:rsid w:val="008E3CEF"/>
    <w:rsid w:val="008E3D4F"/>
    <w:rsid w:val="008E4ADE"/>
    <w:rsid w:val="008E71B8"/>
    <w:rsid w:val="008E71DF"/>
    <w:rsid w:val="008E7454"/>
    <w:rsid w:val="008E787A"/>
    <w:rsid w:val="008F094C"/>
    <w:rsid w:val="008F2649"/>
    <w:rsid w:val="008F2794"/>
    <w:rsid w:val="008F3FDE"/>
    <w:rsid w:val="008F5616"/>
    <w:rsid w:val="008F56C8"/>
    <w:rsid w:val="008F6081"/>
    <w:rsid w:val="008F6348"/>
    <w:rsid w:val="008F7255"/>
    <w:rsid w:val="008F74DF"/>
    <w:rsid w:val="008F77CC"/>
    <w:rsid w:val="008F7FA3"/>
    <w:rsid w:val="009006F9"/>
    <w:rsid w:val="00901EF0"/>
    <w:rsid w:val="00902411"/>
    <w:rsid w:val="00902720"/>
    <w:rsid w:val="00904197"/>
    <w:rsid w:val="009078F5"/>
    <w:rsid w:val="00907AA2"/>
    <w:rsid w:val="00907DFA"/>
    <w:rsid w:val="009112A9"/>
    <w:rsid w:val="00912A4E"/>
    <w:rsid w:val="00912B35"/>
    <w:rsid w:val="00912E65"/>
    <w:rsid w:val="00913011"/>
    <w:rsid w:val="0091357E"/>
    <w:rsid w:val="009135DD"/>
    <w:rsid w:val="009136B8"/>
    <w:rsid w:val="00914A77"/>
    <w:rsid w:val="00916746"/>
    <w:rsid w:val="00917040"/>
    <w:rsid w:val="009176E7"/>
    <w:rsid w:val="00920621"/>
    <w:rsid w:val="0092167D"/>
    <w:rsid w:val="00921FF1"/>
    <w:rsid w:val="009224B9"/>
    <w:rsid w:val="009234ED"/>
    <w:rsid w:val="00923723"/>
    <w:rsid w:val="00924078"/>
    <w:rsid w:val="009250A6"/>
    <w:rsid w:val="009253C5"/>
    <w:rsid w:val="00925669"/>
    <w:rsid w:val="00926764"/>
    <w:rsid w:val="00926C47"/>
    <w:rsid w:val="00926CA4"/>
    <w:rsid w:val="00926D86"/>
    <w:rsid w:val="00931DDC"/>
    <w:rsid w:val="009324BE"/>
    <w:rsid w:val="00933C31"/>
    <w:rsid w:val="0093454B"/>
    <w:rsid w:val="00934E7F"/>
    <w:rsid w:val="009350C6"/>
    <w:rsid w:val="00935187"/>
    <w:rsid w:val="0093575A"/>
    <w:rsid w:val="0093588D"/>
    <w:rsid w:val="00935CB8"/>
    <w:rsid w:val="009363ED"/>
    <w:rsid w:val="00936B0D"/>
    <w:rsid w:val="00936C09"/>
    <w:rsid w:val="00937917"/>
    <w:rsid w:val="00937FA9"/>
    <w:rsid w:val="00941523"/>
    <w:rsid w:val="00943273"/>
    <w:rsid w:val="0094395E"/>
    <w:rsid w:val="0094474A"/>
    <w:rsid w:val="00944864"/>
    <w:rsid w:val="00944865"/>
    <w:rsid w:val="00944C6D"/>
    <w:rsid w:val="00945249"/>
    <w:rsid w:val="0094592E"/>
    <w:rsid w:val="00946D2A"/>
    <w:rsid w:val="009473A3"/>
    <w:rsid w:val="009475D7"/>
    <w:rsid w:val="00947E96"/>
    <w:rsid w:val="009509A3"/>
    <w:rsid w:val="009509F7"/>
    <w:rsid w:val="00951562"/>
    <w:rsid w:val="00951576"/>
    <w:rsid w:val="00951973"/>
    <w:rsid w:val="009526E0"/>
    <w:rsid w:val="00952EA3"/>
    <w:rsid w:val="00953A26"/>
    <w:rsid w:val="00953F80"/>
    <w:rsid w:val="00954370"/>
    <w:rsid w:val="00954811"/>
    <w:rsid w:val="009554FA"/>
    <w:rsid w:val="00955802"/>
    <w:rsid w:val="00955B0B"/>
    <w:rsid w:val="009567A9"/>
    <w:rsid w:val="00957728"/>
    <w:rsid w:val="00957FC9"/>
    <w:rsid w:val="009605FC"/>
    <w:rsid w:val="0096096B"/>
    <w:rsid w:val="00960C61"/>
    <w:rsid w:val="0096121F"/>
    <w:rsid w:val="00961618"/>
    <w:rsid w:val="00961946"/>
    <w:rsid w:val="0096221B"/>
    <w:rsid w:val="009622C6"/>
    <w:rsid w:val="0096287C"/>
    <w:rsid w:val="00962BE0"/>
    <w:rsid w:val="009634EC"/>
    <w:rsid w:val="009642F3"/>
    <w:rsid w:val="009644BD"/>
    <w:rsid w:val="009646A6"/>
    <w:rsid w:val="00965ADD"/>
    <w:rsid w:val="00965DFA"/>
    <w:rsid w:val="00966762"/>
    <w:rsid w:val="009667B5"/>
    <w:rsid w:val="00967096"/>
    <w:rsid w:val="00967324"/>
    <w:rsid w:val="0096763E"/>
    <w:rsid w:val="00970CDB"/>
    <w:rsid w:val="009712D2"/>
    <w:rsid w:val="00972719"/>
    <w:rsid w:val="00973203"/>
    <w:rsid w:val="009734DB"/>
    <w:rsid w:val="0097370F"/>
    <w:rsid w:val="00973BAA"/>
    <w:rsid w:val="00975213"/>
    <w:rsid w:val="00976497"/>
    <w:rsid w:val="00976AFA"/>
    <w:rsid w:val="00976EC4"/>
    <w:rsid w:val="00977F69"/>
    <w:rsid w:val="0098127F"/>
    <w:rsid w:val="00982C11"/>
    <w:rsid w:val="00983125"/>
    <w:rsid w:val="00983B80"/>
    <w:rsid w:val="00983D38"/>
    <w:rsid w:val="00983F3F"/>
    <w:rsid w:val="009842B9"/>
    <w:rsid w:val="009855F1"/>
    <w:rsid w:val="00985BC0"/>
    <w:rsid w:val="00986500"/>
    <w:rsid w:val="00990DE5"/>
    <w:rsid w:val="0099175E"/>
    <w:rsid w:val="0099371B"/>
    <w:rsid w:val="00996342"/>
    <w:rsid w:val="009967C1"/>
    <w:rsid w:val="00996BA3"/>
    <w:rsid w:val="009A0580"/>
    <w:rsid w:val="009A0D7B"/>
    <w:rsid w:val="009A26C0"/>
    <w:rsid w:val="009A2F1F"/>
    <w:rsid w:val="009A39B9"/>
    <w:rsid w:val="009A40C8"/>
    <w:rsid w:val="009A4891"/>
    <w:rsid w:val="009A4C01"/>
    <w:rsid w:val="009A560C"/>
    <w:rsid w:val="009A5A70"/>
    <w:rsid w:val="009A6471"/>
    <w:rsid w:val="009A6C97"/>
    <w:rsid w:val="009A7726"/>
    <w:rsid w:val="009B080E"/>
    <w:rsid w:val="009B09CC"/>
    <w:rsid w:val="009B19DC"/>
    <w:rsid w:val="009B3610"/>
    <w:rsid w:val="009B42C8"/>
    <w:rsid w:val="009B4854"/>
    <w:rsid w:val="009B4DE3"/>
    <w:rsid w:val="009B6CEE"/>
    <w:rsid w:val="009C1B00"/>
    <w:rsid w:val="009C1D48"/>
    <w:rsid w:val="009C287A"/>
    <w:rsid w:val="009C338B"/>
    <w:rsid w:val="009C3BE9"/>
    <w:rsid w:val="009C44C6"/>
    <w:rsid w:val="009C451B"/>
    <w:rsid w:val="009C69B3"/>
    <w:rsid w:val="009C6CB6"/>
    <w:rsid w:val="009C7CB2"/>
    <w:rsid w:val="009D0601"/>
    <w:rsid w:val="009D342B"/>
    <w:rsid w:val="009D5E5A"/>
    <w:rsid w:val="009D6089"/>
    <w:rsid w:val="009D618B"/>
    <w:rsid w:val="009D671B"/>
    <w:rsid w:val="009D6D26"/>
    <w:rsid w:val="009D74FD"/>
    <w:rsid w:val="009E1187"/>
    <w:rsid w:val="009E1F26"/>
    <w:rsid w:val="009E465A"/>
    <w:rsid w:val="009E4A42"/>
    <w:rsid w:val="009E553C"/>
    <w:rsid w:val="009E5FA3"/>
    <w:rsid w:val="009E6209"/>
    <w:rsid w:val="009F04E8"/>
    <w:rsid w:val="009F0A1C"/>
    <w:rsid w:val="009F10CB"/>
    <w:rsid w:val="009F18D7"/>
    <w:rsid w:val="009F3A1F"/>
    <w:rsid w:val="009F3BF2"/>
    <w:rsid w:val="009F5F8F"/>
    <w:rsid w:val="009F6E40"/>
    <w:rsid w:val="009F7795"/>
    <w:rsid w:val="00A00483"/>
    <w:rsid w:val="00A01618"/>
    <w:rsid w:val="00A018C6"/>
    <w:rsid w:val="00A01B97"/>
    <w:rsid w:val="00A0292F"/>
    <w:rsid w:val="00A03292"/>
    <w:rsid w:val="00A03352"/>
    <w:rsid w:val="00A03C1C"/>
    <w:rsid w:val="00A06672"/>
    <w:rsid w:val="00A06995"/>
    <w:rsid w:val="00A10C45"/>
    <w:rsid w:val="00A10D24"/>
    <w:rsid w:val="00A114BE"/>
    <w:rsid w:val="00A11C25"/>
    <w:rsid w:val="00A12287"/>
    <w:rsid w:val="00A12307"/>
    <w:rsid w:val="00A12722"/>
    <w:rsid w:val="00A131E6"/>
    <w:rsid w:val="00A13E5E"/>
    <w:rsid w:val="00A13F8F"/>
    <w:rsid w:val="00A15549"/>
    <w:rsid w:val="00A1593C"/>
    <w:rsid w:val="00A15D5E"/>
    <w:rsid w:val="00A16213"/>
    <w:rsid w:val="00A1638F"/>
    <w:rsid w:val="00A20003"/>
    <w:rsid w:val="00A203BB"/>
    <w:rsid w:val="00A2613E"/>
    <w:rsid w:val="00A262EC"/>
    <w:rsid w:val="00A27675"/>
    <w:rsid w:val="00A30679"/>
    <w:rsid w:val="00A306AF"/>
    <w:rsid w:val="00A30DF0"/>
    <w:rsid w:val="00A31377"/>
    <w:rsid w:val="00A31E21"/>
    <w:rsid w:val="00A321FB"/>
    <w:rsid w:val="00A32897"/>
    <w:rsid w:val="00A33021"/>
    <w:rsid w:val="00A3384A"/>
    <w:rsid w:val="00A3599B"/>
    <w:rsid w:val="00A36065"/>
    <w:rsid w:val="00A367AB"/>
    <w:rsid w:val="00A375ED"/>
    <w:rsid w:val="00A3783F"/>
    <w:rsid w:val="00A4098B"/>
    <w:rsid w:val="00A4184A"/>
    <w:rsid w:val="00A41AD7"/>
    <w:rsid w:val="00A41AEE"/>
    <w:rsid w:val="00A42C7C"/>
    <w:rsid w:val="00A42F99"/>
    <w:rsid w:val="00A43193"/>
    <w:rsid w:val="00A434FF"/>
    <w:rsid w:val="00A45453"/>
    <w:rsid w:val="00A46443"/>
    <w:rsid w:val="00A47517"/>
    <w:rsid w:val="00A50414"/>
    <w:rsid w:val="00A5075E"/>
    <w:rsid w:val="00A51429"/>
    <w:rsid w:val="00A52E98"/>
    <w:rsid w:val="00A52F47"/>
    <w:rsid w:val="00A5457C"/>
    <w:rsid w:val="00A554A0"/>
    <w:rsid w:val="00A55EB8"/>
    <w:rsid w:val="00A56900"/>
    <w:rsid w:val="00A5764C"/>
    <w:rsid w:val="00A5770C"/>
    <w:rsid w:val="00A60006"/>
    <w:rsid w:val="00A6129B"/>
    <w:rsid w:val="00A6261C"/>
    <w:rsid w:val="00A62A9C"/>
    <w:rsid w:val="00A62DBE"/>
    <w:rsid w:val="00A62EFC"/>
    <w:rsid w:val="00A65A02"/>
    <w:rsid w:val="00A66C1D"/>
    <w:rsid w:val="00A67F34"/>
    <w:rsid w:val="00A70B08"/>
    <w:rsid w:val="00A713A7"/>
    <w:rsid w:val="00A72FFC"/>
    <w:rsid w:val="00A73729"/>
    <w:rsid w:val="00A73E05"/>
    <w:rsid w:val="00A751FE"/>
    <w:rsid w:val="00A753C0"/>
    <w:rsid w:val="00A75B67"/>
    <w:rsid w:val="00A75C4E"/>
    <w:rsid w:val="00A76FBF"/>
    <w:rsid w:val="00A771B8"/>
    <w:rsid w:val="00A774E7"/>
    <w:rsid w:val="00A77A54"/>
    <w:rsid w:val="00A77BF6"/>
    <w:rsid w:val="00A8042B"/>
    <w:rsid w:val="00A8108F"/>
    <w:rsid w:val="00A8119F"/>
    <w:rsid w:val="00A8138C"/>
    <w:rsid w:val="00A81511"/>
    <w:rsid w:val="00A817DF"/>
    <w:rsid w:val="00A81843"/>
    <w:rsid w:val="00A83FAA"/>
    <w:rsid w:val="00A83FF5"/>
    <w:rsid w:val="00A85EF2"/>
    <w:rsid w:val="00A87C0A"/>
    <w:rsid w:val="00A87DA4"/>
    <w:rsid w:val="00A9055C"/>
    <w:rsid w:val="00A90A5F"/>
    <w:rsid w:val="00A912EC"/>
    <w:rsid w:val="00A916C9"/>
    <w:rsid w:val="00A932E7"/>
    <w:rsid w:val="00A9372E"/>
    <w:rsid w:val="00A9425E"/>
    <w:rsid w:val="00A95C8E"/>
    <w:rsid w:val="00A966DD"/>
    <w:rsid w:val="00A96992"/>
    <w:rsid w:val="00A9754A"/>
    <w:rsid w:val="00A97D6D"/>
    <w:rsid w:val="00AA0FB9"/>
    <w:rsid w:val="00AA108E"/>
    <w:rsid w:val="00AA1D1C"/>
    <w:rsid w:val="00AA2666"/>
    <w:rsid w:val="00AA30CD"/>
    <w:rsid w:val="00AA3D21"/>
    <w:rsid w:val="00AA4592"/>
    <w:rsid w:val="00AA4B7A"/>
    <w:rsid w:val="00AA5427"/>
    <w:rsid w:val="00AA77C1"/>
    <w:rsid w:val="00AB00B9"/>
    <w:rsid w:val="00AB2E6B"/>
    <w:rsid w:val="00AB402A"/>
    <w:rsid w:val="00AB6186"/>
    <w:rsid w:val="00AB63F6"/>
    <w:rsid w:val="00AB6FE4"/>
    <w:rsid w:val="00AB7704"/>
    <w:rsid w:val="00AB7D1C"/>
    <w:rsid w:val="00AC2285"/>
    <w:rsid w:val="00AC2854"/>
    <w:rsid w:val="00AC2967"/>
    <w:rsid w:val="00AC2C80"/>
    <w:rsid w:val="00AC3B34"/>
    <w:rsid w:val="00AC40BD"/>
    <w:rsid w:val="00AC610B"/>
    <w:rsid w:val="00AC6C80"/>
    <w:rsid w:val="00AC7539"/>
    <w:rsid w:val="00AC798A"/>
    <w:rsid w:val="00AD0B6A"/>
    <w:rsid w:val="00AD118C"/>
    <w:rsid w:val="00AD2146"/>
    <w:rsid w:val="00AD3D47"/>
    <w:rsid w:val="00AD4294"/>
    <w:rsid w:val="00AD43AD"/>
    <w:rsid w:val="00AD594E"/>
    <w:rsid w:val="00AD619F"/>
    <w:rsid w:val="00AD65F5"/>
    <w:rsid w:val="00AD6CCB"/>
    <w:rsid w:val="00AD7BD3"/>
    <w:rsid w:val="00AD7F4B"/>
    <w:rsid w:val="00AE11E0"/>
    <w:rsid w:val="00AE1A54"/>
    <w:rsid w:val="00AE1FA4"/>
    <w:rsid w:val="00AE1FA8"/>
    <w:rsid w:val="00AE248F"/>
    <w:rsid w:val="00AE2729"/>
    <w:rsid w:val="00AE2ED7"/>
    <w:rsid w:val="00AE3403"/>
    <w:rsid w:val="00AE3AD7"/>
    <w:rsid w:val="00AE47A3"/>
    <w:rsid w:val="00AE486A"/>
    <w:rsid w:val="00AE522F"/>
    <w:rsid w:val="00AE5486"/>
    <w:rsid w:val="00AE559C"/>
    <w:rsid w:val="00AF060F"/>
    <w:rsid w:val="00AF0891"/>
    <w:rsid w:val="00AF0A29"/>
    <w:rsid w:val="00AF152B"/>
    <w:rsid w:val="00AF268B"/>
    <w:rsid w:val="00AF28A1"/>
    <w:rsid w:val="00AF3521"/>
    <w:rsid w:val="00AF3900"/>
    <w:rsid w:val="00AF5B81"/>
    <w:rsid w:val="00AF76AD"/>
    <w:rsid w:val="00B0017A"/>
    <w:rsid w:val="00B01138"/>
    <w:rsid w:val="00B01218"/>
    <w:rsid w:val="00B01676"/>
    <w:rsid w:val="00B03599"/>
    <w:rsid w:val="00B04DC3"/>
    <w:rsid w:val="00B05981"/>
    <w:rsid w:val="00B05FF9"/>
    <w:rsid w:val="00B073A1"/>
    <w:rsid w:val="00B10153"/>
    <w:rsid w:val="00B105A7"/>
    <w:rsid w:val="00B1179F"/>
    <w:rsid w:val="00B13121"/>
    <w:rsid w:val="00B134C6"/>
    <w:rsid w:val="00B13961"/>
    <w:rsid w:val="00B13C16"/>
    <w:rsid w:val="00B155AF"/>
    <w:rsid w:val="00B1632B"/>
    <w:rsid w:val="00B16559"/>
    <w:rsid w:val="00B16D30"/>
    <w:rsid w:val="00B17E60"/>
    <w:rsid w:val="00B211C6"/>
    <w:rsid w:val="00B21979"/>
    <w:rsid w:val="00B2273F"/>
    <w:rsid w:val="00B22A14"/>
    <w:rsid w:val="00B22F39"/>
    <w:rsid w:val="00B236EE"/>
    <w:rsid w:val="00B24A9A"/>
    <w:rsid w:val="00B24CFB"/>
    <w:rsid w:val="00B25220"/>
    <w:rsid w:val="00B26D5A"/>
    <w:rsid w:val="00B309DE"/>
    <w:rsid w:val="00B30EEB"/>
    <w:rsid w:val="00B31C5D"/>
    <w:rsid w:val="00B33473"/>
    <w:rsid w:val="00B334BA"/>
    <w:rsid w:val="00B36DE2"/>
    <w:rsid w:val="00B3793D"/>
    <w:rsid w:val="00B37B6D"/>
    <w:rsid w:val="00B41FA1"/>
    <w:rsid w:val="00B42970"/>
    <w:rsid w:val="00B45625"/>
    <w:rsid w:val="00B465C9"/>
    <w:rsid w:val="00B46A6E"/>
    <w:rsid w:val="00B47E7F"/>
    <w:rsid w:val="00B511C7"/>
    <w:rsid w:val="00B51415"/>
    <w:rsid w:val="00B51597"/>
    <w:rsid w:val="00B5160B"/>
    <w:rsid w:val="00B5238E"/>
    <w:rsid w:val="00B52A0D"/>
    <w:rsid w:val="00B52F06"/>
    <w:rsid w:val="00B539B5"/>
    <w:rsid w:val="00B55E79"/>
    <w:rsid w:val="00B56820"/>
    <w:rsid w:val="00B569C7"/>
    <w:rsid w:val="00B57CE2"/>
    <w:rsid w:val="00B60745"/>
    <w:rsid w:val="00B617CC"/>
    <w:rsid w:val="00B62391"/>
    <w:rsid w:val="00B624CA"/>
    <w:rsid w:val="00B62541"/>
    <w:rsid w:val="00B641CF"/>
    <w:rsid w:val="00B65A68"/>
    <w:rsid w:val="00B66A91"/>
    <w:rsid w:val="00B6795C"/>
    <w:rsid w:val="00B7123F"/>
    <w:rsid w:val="00B71328"/>
    <w:rsid w:val="00B735EE"/>
    <w:rsid w:val="00B7387D"/>
    <w:rsid w:val="00B750E1"/>
    <w:rsid w:val="00B751CA"/>
    <w:rsid w:val="00B76215"/>
    <w:rsid w:val="00B804BD"/>
    <w:rsid w:val="00B811A4"/>
    <w:rsid w:val="00B8348B"/>
    <w:rsid w:val="00B83AA6"/>
    <w:rsid w:val="00B84167"/>
    <w:rsid w:val="00B84DD6"/>
    <w:rsid w:val="00B85A52"/>
    <w:rsid w:val="00B902C8"/>
    <w:rsid w:val="00B91211"/>
    <w:rsid w:val="00B914F2"/>
    <w:rsid w:val="00B91C46"/>
    <w:rsid w:val="00B923E5"/>
    <w:rsid w:val="00B93C9D"/>
    <w:rsid w:val="00B946A9"/>
    <w:rsid w:val="00B947B0"/>
    <w:rsid w:val="00B95AAC"/>
    <w:rsid w:val="00B95D1E"/>
    <w:rsid w:val="00B96491"/>
    <w:rsid w:val="00B969BC"/>
    <w:rsid w:val="00B96D35"/>
    <w:rsid w:val="00B96E96"/>
    <w:rsid w:val="00BA0EC6"/>
    <w:rsid w:val="00BA1F77"/>
    <w:rsid w:val="00BA1FA4"/>
    <w:rsid w:val="00BA2D9E"/>
    <w:rsid w:val="00BA3090"/>
    <w:rsid w:val="00BA38BB"/>
    <w:rsid w:val="00BA3BF9"/>
    <w:rsid w:val="00BA3E74"/>
    <w:rsid w:val="00BA5313"/>
    <w:rsid w:val="00BA770C"/>
    <w:rsid w:val="00BA77D9"/>
    <w:rsid w:val="00BA7FE1"/>
    <w:rsid w:val="00BB049D"/>
    <w:rsid w:val="00BB0DE7"/>
    <w:rsid w:val="00BB1A15"/>
    <w:rsid w:val="00BB2B2E"/>
    <w:rsid w:val="00BB37BF"/>
    <w:rsid w:val="00BB4CA8"/>
    <w:rsid w:val="00BB5D41"/>
    <w:rsid w:val="00BB68A4"/>
    <w:rsid w:val="00BB745E"/>
    <w:rsid w:val="00BB7CC0"/>
    <w:rsid w:val="00BC0D1D"/>
    <w:rsid w:val="00BC0E30"/>
    <w:rsid w:val="00BC240A"/>
    <w:rsid w:val="00BC275C"/>
    <w:rsid w:val="00BC285A"/>
    <w:rsid w:val="00BC2EE4"/>
    <w:rsid w:val="00BC50D9"/>
    <w:rsid w:val="00BC709C"/>
    <w:rsid w:val="00BC70EA"/>
    <w:rsid w:val="00BC71BC"/>
    <w:rsid w:val="00BC73DE"/>
    <w:rsid w:val="00BD02FE"/>
    <w:rsid w:val="00BD0875"/>
    <w:rsid w:val="00BD091B"/>
    <w:rsid w:val="00BD1D4B"/>
    <w:rsid w:val="00BD202B"/>
    <w:rsid w:val="00BD370B"/>
    <w:rsid w:val="00BD3A47"/>
    <w:rsid w:val="00BD3A7B"/>
    <w:rsid w:val="00BD4D8B"/>
    <w:rsid w:val="00BD50DB"/>
    <w:rsid w:val="00BD61C7"/>
    <w:rsid w:val="00BD64AE"/>
    <w:rsid w:val="00BD70C7"/>
    <w:rsid w:val="00BD7506"/>
    <w:rsid w:val="00BE0593"/>
    <w:rsid w:val="00BE2221"/>
    <w:rsid w:val="00BE24AD"/>
    <w:rsid w:val="00BE284E"/>
    <w:rsid w:val="00BE3BAA"/>
    <w:rsid w:val="00BE493F"/>
    <w:rsid w:val="00BE54CC"/>
    <w:rsid w:val="00BE6AFA"/>
    <w:rsid w:val="00BE781F"/>
    <w:rsid w:val="00BF06BD"/>
    <w:rsid w:val="00BF08BA"/>
    <w:rsid w:val="00BF09F8"/>
    <w:rsid w:val="00BF12CB"/>
    <w:rsid w:val="00BF17EA"/>
    <w:rsid w:val="00BF1B2A"/>
    <w:rsid w:val="00BF252B"/>
    <w:rsid w:val="00BF2E31"/>
    <w:rsid w:val="00BF3AAB"/>
    <w:rsid w:val="00BF4EE8"/>
    <w:rsid w:val="00BF590C"/>
    <w:rsid w:val="00BF6E9D"/>
    <w:rsid w:val="00BF7841"/>
    <w:rsid w:val="00C014F6"/>
    <w:rsid w:val="00C02073"/>
    <w:rsid w:val="00C022E8"/>
    <w:rsid w:val="00C03060"/>
    <w:rsid w:val="00C03A78"/>
    <w:rsid w:val="00C03C7C"/>
    <w:rsid w:val="00C04657"/>
    <w:rsid w:val="00C0647E"/>
    <w:rsid w:val="00C06BFD"/>
    <w:rsid w:val="00C10CD3"/>
    <w:rsid w:val="00C1101D"/>
    <w:rsid w:val="00C11D84"/>
    <w:rsid w:val="00C139DD"/>
    <w:rsid w:val="00C14984"/>
    <w:rsid w:val="00C15515"/>
    <w:rsid w:val="00C159D4"/>
    <w:rsid w:val="00C15F27"/>
    <w:rsid w:val="00C1775C"/>
    <w:rsid w:val="00C20467"/>
    <w:rsid w:val="00C21A87"/>
    <w:rsid w:val="00C237FE"/>
    <w:rsid w:val="00C23952"/>
    <w:rsid w:val="00C23B94"/>
    <w:rsid w:val="00C252BF"/>
    <w:rsid w:val="00C25664"/>
    <w:rsid w:val="00C26623"/>
    <w:rsid w:val="00C26BCA"/>
    <w:rsid w:val="00C27B8E"/>
    <w:rsid w:val="00C31C90"/>
    <w:rsid w:val="00C3226C"/>
    <w:rsid w:val="00C3277A"/>
    <w:rsid w:val="00C33358"/>
    <w:rsid w:val="00C33445"/>
    <w:rsid w:val="00C33610"/>
    <w:rsid w:val="00C33694"/>
    <w:rsid w:val="00C339DC"/>
    <w:rsid w:val="00C357E2"/>
    <w:rsid w:val="00C35C01"/>
    <w:rsid w:val="00C35D28"/>
    <w:rsid w:val="00C35EE2"/>
    <w:rsid w:val="00C40C85"/>
    <w:rsid w:val="00C41145"/>
    <w:rsid w:val="00C4193B"/>
    <w:rsid w:val="00C42F0B"/>
    <w:rsid w:val="00C44DAA"/>
    <w:rsid w:val="00C45983"/>
    <w:rsid w:val="00C505B1"/>
    <w:rsid w:val="00C5113A"/>
    <w:rsid w:val="00C5192F"/>
    <w:rsid w:val="00C52A7F"/>
    <w:rsid w:val="00C52E39"/>
    <w:rsid w:val="00C55882"/>
    <w:rsid w:val="00C56C27"/>
    <w:rsid w:val="00C57CAD"/>
    <w:rsid w:val="00C60C99"/>
    <w:rsid w:val="00C62774"/>
    <w:rsid w:val="00C63037"/>
    <w:rsid w:val="00C6347C"/>
    <w:rsid w:val="00C64410"/>
    <w:rsid w:val="00C647E9"/>
    <w:rsid w:val="00C66044"/>
    <w:rsid w:val="00C66D1A"/>
    <w:rsid w:val="00C66EE4"/>
    <w:rsid w:val="00C710B9"/>
    <w:rsid w:val="00C7197B"/>
    <w:rsid w:val="00C726EE"/>
    <w:rsid w:val="00C72BED"/>
    <w:rsid w:val="00C73BB0"/>
    <w:rsid w:val="00C746E1"/>
    <w:rsid w:val="00C7671A"/>
    <w:rsid w:val="00C77F47"/>
    <w:rsid w:val="00C80338"/>
    <w:rsid w:val="00C819D6"/>
    <w:rsid w:val="00C821C7"/>
    <w:rsid w:val="00C823E0"/>
    <w:rsid w:val="00C831A8"/>
    <w:rsid w:val="00C8470C"/>
    <w:rsid w:val="00C84CCD"/>
    <w:rsid w:val="00C8575D"/>
    <w:rsid w:val="00C860DE"/>
    <w:rsid w:val="00C9228F"/>
    <w:rsid w:val="00C926D7"/>
    <w:rsid w:val="00C92958"/>
    <w:rsid w:val="00C92B34"/>
    <w:rsid w:val="00C92B71"/>
    <w:rsid w:val="00C932A8"/>
    <w:rsid w:val="00C943F5"/>
    <w:rsid w:val="00C94E7F"/>
    <w:rsid w:val="00C97AB7"/>
    <w:rsid w:val="00CA004E"/>
    <w:rsid w:val="00CA1ABC"/>
    <w:rsid w:val="00CA25BC"/>
    <w:rsid w:val="00CA27B6"/>
    <w:rsid w:val="00CA3436"/>
    <w:rsid w:val="00CA386D"/>
    <w:rsid w:val="00CA4781"/>
    <w:rsid w:val="00CA5CD6"/>
    <w:rsid w:val="00CA5DBC"/>
    <w:rsid w:val="00CB039D"/>
    <w:rsid w:val="00CB2F53"/>
    <w:rsid w:val="00CB3303"/>
    <w:rsid w:val="00CB35E3"/>
    <w:rsid w:val="00CB3743"/>
    <w:rsid w:val="00CB38D1"/>
    <w:rsid w:val="00CB4701"/>
    <w:rsid w:val="00CB7A6F"/>
    <w:rsid w:val="00CC09D6"/>
    <w:rsid w:val="00CC1137"/>
    <w:rsid w:val="00CC13C4"/>
    <w:rsid w:val="00CC3593"/>
    <w:rsid w:val="00CC3BC6"/>
    <w:rsid w:val="00CC7025"/>
    <w:rsid w:val="00CC75FE"/>
    <w:rsid w:val="00CD1CC8"/>
    <w:rsid w:val="00CD2E84"/>
    <w:rsid w:val="00CD4DD4"/>
    <w:rsid w:val="00CD57D1"/>
    <w:rsid w:val="00CD57DB"/>
    <w:rsid w:val="00CD7853"/>
    <w:rsid w:val="00CE01D3"/>
    <w:rsid w:val="00CE0661"/>
    <w:rsid w:val="00CE1851"/>
    <w:rsid w:val="00CE22E2"/>
    <w:rsid w:val="00CE23BF"/>
    <w:rsid w:val="00CE23FA"/>
    <w:rsid w:val="00CE2B1B"/>
    <w:rsid w:val="00CE45DC"/>
    <w:rsid w:val="00CE4BA6"/>
    <w:rsid w:val="00CE4C47"/>
    <w:rsid w:val="00CE6BBC"/>
    <w:rsid w:val="00CE7029"/>
    <w:rsid w:val="00CE70F6"/>
    <w:rsid w:val="00CF0FCF"/>
    <w:rsid w:val="00CF139B"/>
    <w:rsid w:val="00CF182A"/>
    <w:rsid w:val="00CF24B9"/>
    <w:rsid w:val="00CF4692"/>
    <w:rsid w:val="00CF4AC3"/>
    <w:rsid w:val="00CF5186"/>
    <w:rsid w:val="00CF53E2"/>
    <w:rsid w:val="00CF55A5"/>
    <w:rsid w:val="00CF6098"/>
    <w:rsid w:val="00CF653F"/>
    <w:rsid w:val="00CF6B1B"/>
    <w:rsid w:val="00D00C9B"/>
    <w:rsid w:val="00D01EC9"/>
    <w:rsid w:val="00D02458"/>
    <w:rsid w:val="00D02C5A"/>
    <w:rsid w:val="00D0470E"/>
    <w:rsid w:val="00D04968"/>
    <w:rsid w:val="00D05223"/>
    <w:rsid w:val="00D05D7E"/>
    <w:rsid w:val="00D06048"/>
    <w:rsid w:val="00D061C8"/>
    <w:rsid w:val="00D064BA"/>
    <w:rsid w:val="00D06E8D"/>
    <w:rsid w:val="00D0752B"/>
    <w:rsid w:val="00D10968"/>
    <w:rsid w:val="00D1192E"/>
    <w:rsid w:val="00D11E78"/>
    <w:rsid w:val="00D126B6"/>
    <w:rsid w:val="00D130E9"/>
    <w:rsid w:val="00D1345F"/>
    <w:rsid w:val="00D1452E"/>
    <w:rsid w:val="00D14AF1"/>
    <w:rsid w:val="00D15609"/>
    <w:rsid w:val="00D15D79"/>
    <w:rsid w:val="00D15F19"/>
    <w:rsid w:val="00D16F40"/>
    <w:rsid w:val="00D2046C"/>
    <w:rsid w:val="00D21096"/>
    <w:rsid w:val="00D21201"/>
    <w:rsid w:val="00D21308"/>
    <w:rsid w:val="00D21929"/>
    <w:rsid w:val="00D219BC"/>
    <w:rsid w:val="00D2361A"/>
    <w:rsid w:val="00D246D7"/>
    <w:rsid w:val="00D252D6"/>
    <w:rsid w:val="00D25452"/>
    <w:rsid w:val="00D25B15"/>
    <w:rsid w:val="00D26C8D"/>
    <w:rsid w:val="00D2780A"/>
    <w:rsid w:val="00D2780D"/>
    <w:rsid w:val="00D27F13"/>
    <w:rsid w:val="00D304B3"/>
    <w:rsid w:val="00D30682"/>
    <w:rsid w:val="00D312CD"/>
    <w:rsid w:val="00D32A9E"/>
    <w:rsid w:val="00D331B3"/>
    <w:rsid w:val="00D3340A"/>
    <w:rsid w:val="00D33889"/>
    <w:rsid w:val="00D35E91"/>
    <w:rsid w:val="00D37275"/>
    <w:rsid w:val="00D377A7"/>
    <w:rsid w:val="00D37BC6"/>
    <w:rsid w:val="00D40B2C"/>
    <w:rsid w:val="00D40C15"/>
    <w:rsid w:val="00D427E2"/>
    <w:rsid w:val="00D428A3"/>
    <w:rsid w:val="00D4290B"/>
    <w:rsid w:val="00D43B9B"/>
    <w:rsid w:val="00D44512"/>
    <w:rsid w:val="00D453E2"/>
    <w:rsid w:val="00D454C7"/>
    <w:rsid w:val="00D4642E"/>
    <w:rsid w:val="00D4648A"/>
    <w:rsid w:val="00D465F9"/>
    <w:rsid w:val="00D46DA8"/>
    <w:rsid w:val="00D473A4"/>
    <w:rsid w:val="00D4759E"/>
    <w:rsid w:val="00D475F4"/>
    <w:rsid w:val="00D505DD"/>
    <w:rsid w:val="00D50A7A"/>
    <w:rsid w:val="00D50D6C"/>
    <w:rsid w:val="00D51B0B"/>
    <w:rsid w:val="00D528D7"/>
    <w:rsid w:val="00D53D76"/>
    <w:rsid w:val="00D54378"/>
    <w:rsid w:val="00D5650C"/>
    <w:rsid w:val="00D56FC6"/>
    <w:rsid w:val="00D60305"/>
    <w:rsid w:val="00D60898"/>
    <w:rsid w:val="00D60BE0"/>
    <w:rsid w:val="00D60BFA"/>
    <w:rsid w:val="00D6169B"/>
    <w:rsid w:val="00D61BE0"/>
    <w:rsid w:val="00D633E6"/>
    <w:rsid w:val="00D64AA2"/>
    <w:rsid w:val="00D6609E"/>
    <w:rsid w:val="00D667B0"/>
    <w:rsid w:val="00D66A2B"/>
    <w:rsid w:val="00D66DCF"/>
    <w:rsid w:val="00D711F4"/>
    <w:rsid w:val="00D718F6"/>
    <w:rsid w:val="00D72CBC"/>
    <w:rsid w:val="00D736E1"/>
    <w:rsid w:val="00D73930"/>
    <w:rsid w:val="00D74799"/>
    <w:rsid w:val="00D75857"/>
    <w:rsid w:val="00D75895"/>
    <w:rsid w:val="00D761A1"/>
    <w:rsid w:val="00D7635F"/>
    <w:rsid w:val="00D77124"/>
    <w:rsid w:val="00D77989"/>
    <w:rsid w:val="00D80870"/>
    <w:rsid w:val="00D824A1"/>
    <w:rsid w:val="00D82723"/>
    <w:rsid w:val="00D82C2B"/>
    <w:rsid w:val="00D83DFF"/>
    <w:rsid w:val="00D843A2"/>
    <w:rsid w:val="00D854CA"/>
    <w:rsid w:val="00D9078B"/>
    <w:rsid w:val="00D9199A"/>
    <w:rsid w:val="00D927FC"/>
    <w:rsid w:val="00D94792"/>
    <w:rsid w:val="00D94BBB"/>
    <w:rsid w:val="00D956C5"/>
    <w:rsid w:val="00D95CDE"/>
    <w:rsid w:val="00D9719B"/>
    <w:rsid w:val="00D973A4"/>
    <w:rsid w:val="00D976DC"/>
    <w:rsid w:val="00DA084C"/>
    <w:rsid w:val="00DA167B"/>
    <w:rsid w:val="00DA1C3C"/>
    <w:rsid w:val="00DA537F"/>
    <w:rsid w:val="00DA5EC7"/>
    <w:rsid w:val="00DA7844"/>
    <w:rsid w:val="00DA78CA"/>
    <w:rsid w:val="00DB1ACA"/>
    <w:rsid w:val="00DB1C0E"/>
    <w:rsid w:val="00DB1F2B"/>
    <w:rsid w:val="00DB41C3"/>
    <w:rsid w:val="00DB522B"/>
    <w:rsid w:val="00DB5501"/>
    <w:rsid w:val="00DB5B92"/>
    <w:rsid w:val="00DB6617"/>
    <w:rsid w:val="00DB68C4"/>
    <w:rsid w:val="00DB6D65"/>
    <w:rsid w:val="00DB7956"/>
    <w:rsid w:val="00DC0636"/>
    <w:rsid w:val="00DC0DC8"/>
    <w:rsid w:val="00DC1F9E"/>
    <w:rsid w:val="00DC21FC"/>
    <w:rsid w:val="00DC4107"/>
    <w:rsid w:val="00DC5481"/>
    <w:rsid w:val="00DC5C39"/>
    <w:rsid w:val="00DC5EBC"/>
    <w:rsid w:val="00DC68CD"/>
    <w:rsid w:val="00DC6A34"/>
    <w:rsid w:val="00DC6D08"/>
    <w:rsid w:val="00DC6DA7"/>
    <w:rsid w:val="00DC6FF6"/>
    <w:rsid w:val="00DC7160"/>
    <w:rsid w:val="00DC7B7F"/>
    <w:rsid w:val="00DD0C04"/>
    <w:rsid w:val="00DD49BB"/>
    <w:rsid w:val="00DD5B95"/>
    <w:rsid w:val="00DD66EA"/>
    <w:rsid w:val="00DD682E"/>
    <w:rsid w:val="00DD6C1D"/>
    <w:rsid w:val="00DD6F37"/>
    <w:rsid w:val="00DE25BC"/>
    <w:rsid w:val="00DE272B"/>
    <w:rsid w:val="00DE2A4A"/>
    <w:rsid w:val="00DE3423"/>
    <w:rsid w:val="00DE3FCB"/>
    <w:rsid w:val="00DE4D77"/>
    <w:rsid w:val="00DE6761"/>
    <w:rsid w:val="00DE7661"/>
    <w:rsid w:val="00DF01CA"/>
    <w:rsid w:val="00DF2BB7"/>
    <w:rsid w:val="00DF3063"/>
    <w:rsid w:val="00DF3404"/>
    <w:rsid w:val="00DF3838"/>
    <w:rsid w:val="00DF570B"/>
    <w:rsid w:val="00DF6361"/>
    <w:rsid w:val="00DF6A8B"/>
    <w:rsid w:val="00DF740A"/>
    <w:rsid w:val="00DF75D0"/>
    <w:rsid w:val="00E001CA"/>
    <w:rsid w:val="00E0036B"/>
    <w:rsid w:val="00E01E94"/>
    <w:rsid w:val="00E02117"/>
    <w:rsid w:val="00E02285"/>
    <w:rsid w:val="00E02298"/>
    <w:rsid w:val="00E03968"/>
    <w:rsid w:val="00E04BBB"/>
    <w:rsid w:val="00E06867"/>
    <w:rsid w:val="00E06CE2"/>
    <w:rsid w:val="00E07058"/>
    <w:rsid w:val="00E07C68"/>
    <w:rsid w:val="00E10460"/>
    <w:rsid w:val="00E11B52"/>
    <w:rsid w:val="00E13AEB"/>
    <w:rsid w:val="00E140E0"/>
    <w:rsid w:val="00E14969"/>
    <w:rsid w:val="00E150BB"/>
    <w:rsid w:val="00E15998"/>
    <w:rsid w:val="00E167F9"/>
    <w:rsid w:val="00E16B74"/>
    <w:rsid w:val="00E16C3A"/>
    <w:rsid w:val="00E2222F"/>
    <w:rsid w:val="00E227BB"/>
    <w:rsid w:val="00E239A3"/>
    <w:rsid w:val="00E23E8B"/>
    <w:rsid w:val="00E25C8B"/>
    <w:rsid w:val="00E268EC"/>
    <w:rsid w:val="00E316EE"/>
    <w:rsid w:val="00E32886"/>
    <w:rsid w:val="00E32A6B"/>
    <w:rsid w:val="00E333B5"/>
    <w:rsid w:val="00E3346C"/>
    <w:rsid w:val="00E33759"/>
    <w:rsid w:val="00E33C5F"/>
    <w:rsid w:val="00E3464E"/>
    <w:rsid w:val="00E3465F"/>
    <w:rsid w:val="00E35722"/>
    <w:rsid w:val="00E35873"/>
    <w:rsid w:val="00E3758B"/>
    <w:rsid w:val="00E400AB"/>
    <w:rsid w:val="00E40D6E"/>
    <w:rsid w:val="00E40FB0"/>
    <w:rsid w:val="00E41227"/>
    <w:rsid w:val="00E414B1"/>
    <w:rsid w:val="00E41996"/>
    <w:rsid w:val="00E4277D"/>
    <w:rsid w:val="00E43237"/>
    <w:rsid w:val="00E445CD"/>
    <w:rsid w:val="00E45F1E"/>
    <w:rsid w:val="00E46269"/>
    <w:rsid w:val="00E467F9"/>
    <w:rsid w:val="00E4693A"/>
    <w:rsid w:val="00E4707C"/>
    <w:rsid w:val="00E47A4F"/>
    <w:rsid w:val="00E51259"/>
    <w:rsid w:val="00E5161F"/>
    <w:rsid w:val="00E51AAA"/>
    <w:rsid w:val="00E51B71"/>
    <w:rsid w:val="00E51BDA"/>
    <w:rsid w:val="00E51BF3"/>
    <w:rsid w:val="00E52348"/>
    <w:rsid w:val="00E5315B"/>
    <w:rsid w:val="00E5345A"/>
    <w:rsid w:val="00E53735"/>
    <w:rsid w:val="00E54249"/>
    <w:rsid w:val="00E547B8"/>
    <w:rsid w:val="00E55201"/>
    <w:rsid w:val="00E552F1"/>
    <w:rsid w:val="00E57909"/>
    <w:rsid w:val="00E604C9"/>
    <w:rsid w:val="00E6171F"/>
    <w:rsid w:val="00E61C6D"/>
    <w:rsid w:val="00E626A0"/>
    <w:rsid w:val="00E6440A"/>
    <w:rsid w:val="00E647B7"/>
    <w:rsid w:val="00E657FE"/>
    <w:rsid w:val="00E66532"/>
    <w:rsid w:val="00E6784B"/>
    <w:rsid w:val="00E67DF4"/>
    <w:rsid w:val="00E70297"/>
    <w:rsid w:val="00E70943"/>
    <w:rsid w:val="00E7123F"/>
    <w:rsid w:val="00E72232"/>
    <w:rsid w:val="00E723FE"/>
    <w:rsid w:val="00E75A02"/>
    <w:rsid w:val="00E75A5E"/>
    <w:rsid w:val="00E75B4D"/>
    <w:rsid w:val="00E7632C"/>
    <w:rsid w:val="00E76622"/>
    <w:rsid w:val="00E77ECC"/>
    <w:rsid w:val="00E800EA"/>
    <w:rsid w:val="00E808C6"/>
    <w:rsid w:val="00E8197D"/>
    <w:rsid w:val="00E82A51"/>
    <w:rsid w:val="00E831E1"/>
    <w:rsid w:val="00E835B3"/>
    <w:rsid w:val="00E83DC6"/>
    <w:rsid w:val="00E83F5B"/>
    <w:rsid w:val="00E84348"/>
    <w:rsid w:val="00E85E70"/>
    <w:rsid w:val="00E90974"/>
    <w:rsid w:val="00E914E4"/>
    <w:rsid w:val="00E91E62"/>
    <w:rsid w:val="00E92136"/>
    <w:rsid w:val="00E94771"/>
    <w:rsid w:val="00E94A7C"/>
    <w:rsid w:val="00E94B56"/>
    <w:rsid w:val="00E9567D"/>
    <w:rsid w:val="00E95A7C"/>
    <w:rsid w:val="00E95D89"/>
    <w:rsid w:val="00EA069D"/>
    <w:rsid w:val="00EA0AED"/>
    <w:rsid w:val="00EA2469"/>
    <w:rsid w:val="00EA2857"/>
    <w:rsid w:val="00EA2A19"/>
    <w:rsid w:val="00EA2FE1"/>
    <w:rsid w:val="00EA4395"/>
    <w:rsid w:val="00EA4603"/>
    <w:rsid w:val="00EA5256"/>
    <w:rsid w:val="00EA713A"/>
    <w:rsid w:val="00EA7927"/>
    <w:rsid w:val="00EB090D"/>
    <w:rsid w:val="00EB1667"/>
    <w:rsid w:val="00EB1C7A"/>
    <w:rsid w:val="00EB3FF4"/>
    <w:rsid w:val="00EB4263"/>
    <w:rsid w:val="00EB4B0F"/>
    <w:rsid w:val="00EB4DB8"/>
    <w:rsid w:val="00EB60E8"/>
    <w:rsid w:val="00EB70A1"/>
    <w:rsid w:val="00EB71DB"/>
    <w:rsid w:val="00EB7B23"/>
    <w:rsid w:val="00EB7BB3"/>
    <w:rsid w:val="00EB7D67"/>
    <w:rsid w:val="00EC0328"/>
    <w:rsid w:val="00EC2B9E"/>
    <w:rsid w:val="00EC2C4E"/>
    <w:rsid w:val="00EC2F71"/>
    <w:rsid w:val="00EC4314"/>
    <w:rsid w:val="00EC46B5"/>
    <w:rsid w:val="00EC57AB"/>
    <w:rsid w:val="00EC5816"/>
    <w:rsid w:val="00EC6F1E"/>
    <w:rsid w:val="00EC7DCE"/>
    <w:rsid w:val="00ED0BBC"/>
    <w:rsid w:val="00ED1031"/>
    <w:rsid w:val="00ED10EF"/>
    <w:rsid w:val="00ED14B1"/>
    <w:rsid w:val="00ED15B2"/>
    <w:rsid w:val="00ED1E4C"/>
    <w:rsid w:val="00ED1F06"/>
    <w:rsid w:val="00ED1FCD"/>
    <w:rsid w:val="00ED5228"/>
    <w:rsid w:val="00ED5536"/>
    <w:rsid w:val="00ED7809"/>
    <w:rsid w:val="00ED7934"/>
    <w:rsid w:val="00EE0746"/>
    <w:rsid w:val="00EE0B70"/>
    <w:rsid w:val="00EE1F6D"/>
    <w:rsid w:val="00EE2405"/>
    <w:rsid w:val="00EE3228"/>
    <w:rsid w:val="00EE4EEA"/>
    <w:rsid w:val="00EE662D"/>
    <w:rsid w:val="00EE7381"/>
    <w:rsid w:val="00EE76C1"/>
    <w:rsid w:val="00EF0E45"/>
    <w:rsid w:val="00EF2798"/>
    <w:rsid w:val="00EF3771"/>
    <w:rsid w:val="00EF5E63"/>
    <w:rsid w:val="00EF7C05"/>
    <w:rsid w:val="00EF7F4B"/>
    <w:rsid w:val="00F00C9D"/>
    <w:rsid w:val="00F012A9"/>
    <w:rsid w:val="00F0211E"/>
    <w:rsid w:val="00F025AE"/>
    <w:rsid w:val="00F02AE5"/>
    <w:rsid w:val="00F02E1A"/>
    <w:rsid w:val="00F02E9D"/>
    <w:rsid w:val="00F03280"/>
    <w:rsid w:val="00F0369D"/>
    <w:rsid w:val="00F0482D"/>
    <w:rsid w:val="00F04A50"/>
    <w:rsid w:val="00F0639B"/>
    <w:rsid w:val="00F06924"/>
    <w:rsid w:val="00F07A42"/>
    <w:rsid w:val="00F111E2"/>
    <w:rsid w:val="00F11461"/>
    <w:rsid w:val="00F13631"/>
    <w:rsid w:val="00F139D5"/>
    <w:rsid w:val="00F13FDD"/>
    <w:rsid w:val="00F150AB"/>
    <w:rsid w:val="00F15A60"/>
    <w:rsid w:val="00F203A5"/>
    <w:rsid w:val="00F203F8"/>
    <w:rsid w:val="00F20585"/>
    <w:rsid w:val="00F207F8"/>
    <w:rsid w:val="00F20F6B"/>
    <w:rsid w:val="00F2352F"/>
    <w:rsid w:val="00F23831"/>
    <w:rsid w:val="00F242CB"/>
    <w:rsid w:val="00F24B16"/>
    <w:rsid w:val="00F24F2E"/>
    <w:rsid w:val="00F271C8"/>
    <w:rsid w:val="00F30DEC"/>
    <w:rsid w:val="00F32D6C"/>
    <w:rsid w:val="00F3361E"/>
    <w:rsid w:val="00F34794"/>
    <w:rsid w:val="00F35147"/>
    <w:rsid w:val="00F3627C"/>
    <w:rsid w:val="00F36516"/>
    <w:rsid w:val="00F36E43"/>
    <w:rsid w:val="00F36FB4"/>
    <w:rsid w:val="00F412BA"/>
    <w:rsid w:val="00F4181E"/>
    <w:rsid w:val="00F41EC7"/>
    <w:rsid w:val="00F42BC5"/>
    <w:rsid w:val="00F439AE"/>
    <w:rsid w:val="00F45CFD"/>
    <w:rsid w:val="00F45F29"/>
    <w:rsid w:val="00F4711F"/>
    <w:rsid w:val="00F471A3"/>
    <w:rsid w:val="00F50E86"/>
    <w:rsid w:val="00F514D6"/>
    <w:rsid w:val="00F52093"/>
    <w:rsid w:val="00F52683"/>
    <w:rsid w:val="00F52F6B"/>
    <w:rsid w:val="00F5378A"/>
    <w:rsid w:val="00F5392C"/>
    <w:rsid w:val="00F53C2A"/>
    <w:rsid w:val="00F53D77"/>
    <w:rsid w:val="00F54646"/>
    <w:rsid w:val="00F5542A"/>
    <w:rsid w:val="00F55518"/>
    <w:rsid w:val="00F56A78"/>
    <w:rsid w:val="00F56E5A"/>
    <w:rsid w:val="00F56ED8"/>
    <w:rsid w:val="00F57121"/>
    <w:rsid w:val="00F57E17"/>
    <w:rsid w:val="00F603EF"/>
    <w:rsid w:val="00F62760"/>
    <w:rsid w:val="00F63AC8"/>
    <w:rsid w:val="00F65519"/>
    <w:rsid w:val="00F670FB"/>
    <w:rsid w:val="00F721A6"/>
    <w:rsid w:val="00F7238D"/>
    <w:rsid w:val="00F7269D"/>
    <w:rsid w:val="00F73EF4"/>
    <w:rsid w:val="00F74968"/>
    <w:rsid w:val="00F75226"/>
    <w:rsid w:val="00F7561F"/>
    <w:rsid w:val="00F75BCA"/>
    <w:rsid w:val="00F75CDD"/>
    <w:rsid w:val="00F75D60"/>
    <w:rsid w:val="00F766D6"/>
    <w:rsid w:val="00F76741"/>
    <w:rsid w:val="00F802B1"/>
    <w:rsid w:val="00F806A5"/>
    <w:rsid w:val="00F82594"/>
    <w:rsid w:val="00F82CCA"/>
    <w:rsid w:val="00F82D30"/>
    <w:rsid w:val="00F8368B"/>
    <w:rsid w:val="00F83875"/>
    <w:rsid w:val="00F83E78"/>
    <w:rsid w:val="00F844E2"/>
    <w:rsid w:val="00F85E47"/>
    <w:rsid w:val="00F85F3D"/>
    <w:rsid w:val="00F8652B"/>
    <w:rsid w:val="00F86D73"/>
    <w:rsid w:val="00F92545"/>
    <w:rsid w:val="00F9382C"/>
    <w:rsid w:val="00F9460F"/>
    <w:rsid w:val="00F9709A"/>
    <w:rsid w:val="00F97152"/>
    <w:rsid w:val="00F973C8"/>
    <w:rsid w:val="00FA2807"/>
    <w:rsid w:val="00FA2E8D"/>
    <w:rsid w:val="00FA30A8"/>
    <w:rsid w:val="00FA3594"/>
    <w:rsid w:val="00FA3724"/>
    <w:rsid w:val="00FA3DED"/>
    <w:rsid w:val="00FA43E7"/>
    <w:rsid w:val="00FA4409"/>
    <w:rsid w:val="00FA4B34"/>
    <w:rsid w:val="00FA5DE5"/>
    <w:rsid w:val="00FA6544"/>
    <w:rsid w:val="00FA656E"/>
    <w:rsid w:val="00FA6827"/>
    <w:rsid w:val="00FA74F1"/>
    <w:rsid w:val="00FA7643"/>
    <w:rsid w:val="00FB03B5"/>
    <w:rsid w:val="00FB13DF"/>
    <w:rsid w:val="00FB2056"/>
    <w:rsid w:val="00FB2419"/>
    <w:rsid w:val="00FB3656"/>
    <w:rsid w:val="00FB3F6E"/>
    <w:rsid w:val="00FB4070"/>
    <w:rsid w:val="00FB478C"/>
    <w:rsid w:val="00FB48BA"/>
    <w:rsid w:val="00FB5188"/>
    <w:rsid w:val="00FB625D"/>
    <w:rsid w:val="00FB7D09"/>
    <w:rsid w:val="00FC02D3"/>
    <w:rsid w:val="00FC02F7"/>
    <w:rsid w:val="00FC03BD"/>
    <w:rsid w:val="00FC0A26"/>
    <w:rsid w:val="00FC0F6D"/>
    <w:rsid w:val="00FC238D"/>
    <w:rsid w:val="00FC3209"/>
    <w:rsid w:val="00FC36A4"/>
    <w:rsid w:val="00FC3736"/>
    <w:rsid w:val="00FC3BEC"/>
    <w:rsid w:val="00FC48C8"/>
    <w:rsid w:val="00FC4DA3"/>
    <w:rsid w:val="00FC4EEB"/>
    <w:rsid w:val="00FC502D"/>
    <w:rsid w:val="00FC5328"/>
    <w:rsid w:val="00FC64E1"/>
    <w:rsid w:val="00FC711D"/>
    <w:rsid w:val="00FD0521"/>
    <w:rsid w:val="00FD2EF1"/>
    <w:rsid w:val="00FD3B88"/>
    <w:rsid w:val="00FD3DC8"/>
    <w:rsid w:val="00FD4C5B"/>
    <w:rsid w:val="00FD5449"/>
    <w:rsid w:val="00FD605C"/>
    <w:rsid w:val="00FD61A6"/>
    <w:rsid w:val="00FD65E7"/>
    <w:rsid w:val="00FD678A"/>
    <w:rsid w:val="00FD73BF"/>
    <w:rsid w:val="00FD7632"/>
    <w:rsid w:val="00FE0413"/>
    <w:rsid w:val="00FE0705"/>
    <w:rsid w:val="00FE0CA5"/>
    <w:rsid w:val="00FE139E"/>
    <w:rsid w:val="00FE1D20"/>
    <w:rsid w:val="00FE1DBA"/>
    <w:rsid w:val="00FE66BE"/>
    <w:rsid w:val="00FE746B"/>
    <w:rsid w:val="00FF07EE"/>
    <w:rsid w:val="00FF2473"/>
    <w:rsid w:val="00FF35FA"/>
    <w:rsid w:val="00FF5D0D"/>
    <w:rsid w:val="00FF6AC9"/>
    <w:rsid w:val="00FF763D"/>
    <w:rsid w:val="00FF7C61"/>
    <w:rsid w:val="03257471"/>
    <w:rsid w:val="04D39D53"/>
    <w:rsid w:val="05026D4B"/>
    <w:rsid w:val="05755481"/>
    <w:rsid w:val="05F7646F"/>
    <w:rsid w:val="06011F73"/>
    <w:rsid w:val="06882242"/>
    <w:rsid w:val="06F258F7"/>
    <w:rsid w:val="0738013C"/>
    <w:rsid w:val="073A7173"/>
    <w:rsid w:val="074DF9F3"/>
    <w:rsid w:val="07703F91"/>
    <w:rsid w:val="0794D0EB"/>
    <w:rsid w:val="07ED9A0F"/>
    <w:rsid w:val="09B7A014"/>
    <w:rsid w:val="0AAF06CA"/>
    <w:rsid w:val="0B745683"/>
    <w:rsid w:val="0B7C0499"/>
    <w:rsid w:val="0BAC4ADC"/>
    <w:rsid w:val="0C390B62"/>
    <w:rsid w:val="0C5C7E64"/>
    <w:rsid w:val="0CC9393A"/>
    <w:rsid w:val="0D461B30"/>
    <w:rsid w:val="0D501741"/>
    <w:rsid w:val="0DEE5F77"/>
    <w:rsid w:val="0DFFDE8C"/>
    <w:rsid w:val="0E2E535E"/>
    <w:rsid w:val="0E75E2E0"/>
    <w:rsid w:val="0ED5F063"/>
    <w:rsid w:val="0F7F7ACF"/>
    <w:rsid w:val="0FDBD93A"/>
    <w:rsid w:val="1031756B"/>
    <w:rsid w:val="11275C77"/>
    <w:rsid w:val="11931F79"/>
    <w:rsid w:val="11BD5413"/>
    <w:rsid w:val="11EFAB9F"/>
    <w:rsid w:val="133A1F99"/>
    <w:rsid w:val="147FF452"/>
    <w:rsid w:val="14E63D87"/>
    <w:rsid w:val="15FB8984"/>
    <w:rsid w:val="16F9C773"/>
    <w:rsid w:val="1703504B"/>
    <w:rsid w:val="1733271C"/>
    <w:rsid w:val="1738BD8F"/>
    <w:rsid w:val="17BD6F03"/>
    <w:rsid w:val="17EBC4E9"/>
    <w:rsid w:val="18753A87"/>
    <w:rsid w:val="194D2360"/>
    <w:rsid w:val="19A250E6"/>
    <w:rsid w:val="19DE42E1"/>
    <w:rsid w:val="1B3BDA6D"/>
    <w:rsid w:val="1B487F31"/>
    <w:rsid w:val="1B737351"/>
    <w:rsid w:val="1BDFFAE9"/>
    <w:rsid w:val="1BFD85E5"/>
    <w:rsid w:val="1C5A34B6"/>
    <w:rsid w:val="1CFF414B"/>
    <w:rsid w:val="1DBB58C0"/>
    <w:rsid w:val="1DEB7023"/>
    <w:rsid w:val="1DEF59C4"/>
    <w:rsid w:val="1E5FB1B8"/>
    <w:rsid w:val="1EF7E5F1"/>
    <w:rsid w:val="1EF7FBE6"/>
    <w:rsid w:val="1EFD0303"/>
    <w:rsid w:val="1F3E742C"/>
    <w:rsid w:val="1F4652BE"/>
    <w:rsid w:val="1F6C0009"/>
    <w:rsid w:val="1F7F3089"/>
    <w:rsid w:val="1FA57D22"/>
    <w:rsid w:val="1FBB2EC2"/>
    <w:rsid w:val="1FBF0309"/>
    <w:rsid w:val="1FCDD9AA"/>
    <w:rsid w:val="226E52B9"/>
    <w:rsid w:val="238C33B2"/>
    <w:rsid w:val="239258A8"/>
    <w:rsid w:val="23FF077F"/>
    <w:rsid w:val="249A6036"/>
    <w:rsid w:val="25D78893"/>
    <w:rsid w:val="25FC4C82"/>
    <w:rsid w:val="277F2054"/>
    <w:rsid w:val="279B2AD2"/>
    <w:rsid w:val="27D60ABE"/>
    <w:rsid w:val="27FDF959"/>
    <w:rsid w:val="29483366"/>
    <w:rsid w:val="295C133B"/>
    <w:rsid w:val="29B67BB5"/>
    <w:rsid w:val="2A283EEB"/>
    <w:rsid w:val="2A8B6F09"/>
    <w:rsid w:val="2A9D47AC"/>
    <w:rsid w:val="2BFB5437"/>
    <w:rsid w:val="2D57955E"/>
    <w:rsid w:val="2D9FA04F"/>
    <w:rsid w:val="2DB8F648"/>
    <w:rsid w:val="2EBBF9A3"/>
    <w:rsid w:val="2EE47259"/>
    <w:rsid w:val="2F4F7A7D"/>
    <w:rsid w:val="2F6F0148"/>
    <w:rsid w:val="2F76C28C"/>
    <w:rsid w:val="2F7C15D8"/>
    <w:rsid w:val="2FCF2002"/>
    <w:rsid w:val="2FE53D59"/>
    <w:rsid w:val="2FEF821A"/>
    <w:rsid w:val="302502D1"/>
    <w:rsid w:val="30BD0622"/>
    <w:rsid w:val="315C6D68"/>
    <w:rsid w:val="3170B803"/>
    <w:rsid w:val="31FB6DD1"/>
    <w:rsid w:val="321D5862"/>
    <w:rsid w:val="32D54D47"/>
    <w:rsid w:val="334B2B5E"/>
    <w:rsid w:val="336C2A59"/>
    <w:rsid w:val="33B9A17D"/>
    <w:rsid w:val="33BBF0AF"/>
    <w:rsid w:val="33F6F1A4"/>
    <w:rsid w:val="3406592D"/>
    <w:rsid w:val="34523632"/>
    <w:rsid w:val="3480002C"/>
    <w:rsid w:val="350B5EF2"/>
    <w:rsid w:val="35325872"/>
    <w:rsid w:val="35777913"/>
    <w:rsid w:val="357DAA2F"/>
    <w:rsid w:val="358C4137"/>
    <w:rsid w:val="359BF424"/>
    <w:rsid w:val="35D346CC"/>
    <w:rsid w:val="35D727FD"/>
    <w:rsid w:val="364FA772"/>
    <w:rsid w:val="367B3895"/>
    <w:rsid w:val="36DEE552"/>
    <w:rsid w:val="36FC5189"/>
    <w:rsid w:val="3775E35A"/>
    <w:rsid w:val="37C3E342"/>
    <w:rsid w:val="37CD23E8"/>
    <w:rsid w:val="37E59665"/>
    <w:rsid w:val="37E670AF"/>
    <w:rsid w:val="37EED666"/>
    <w:rsid w:val="37F785FF"/>
    <w:rsid w:val="37F883BD"/>
    <w:rsid w:val="37FA8E25"/>
    <w:rsid w:val="38473916"/>
    <w:rsid w:val="38B9BD68"/>
    <w:rsid w:val="38F94ECD"/>
    <w:rsid w:val="39585634"/>
    <w:rsid w:val="395F216C"/>
    <w:rsid w:val="39EF2089"/>
    <w:rsid w:val="3A8258AD"/>
    <w:rsid w:val="3AB37492"/>
    <w:rsid w:val="3AEA78A1"/>
    <w:rsid w:val="3AED135B"/>
    <w:rsid w:val="3AF78677"/>
    <w:rsid w:val="3B7D71CC"/>
    <w:rsid w:val="3B9FB96D"/>
    <w:rsid w:val="3BDD156D"/>
    <w:rsid w:val="3C072F26"/>
    <w:rsid w:val="3C77988A"/>
    <w:rsid w:val="3C8B3830"/>
    <w:rsid w:val="3CDE1871"/>
    <w:rsid w:val="3CDF526A"/>
    <w:rsid w:val="3CE75508"/>
    <w:rsid w:val="3CFA5C70"/>
    <w:rsid w:val="3CFD7226"/>
    <w:rsid w:val="3CFE02EA"/>
    <w:rsid w:val="3D73E980"/>
    <w:rsid w:val="3D8D34C8"/>
    <w:rsid w:val="3DB9B48E"/>
    <w:rsid w:val="3DBF2FAE"/>
    <w:rsid w:val="3DDE6685"/>
    <w:rsid w:val="3DE28566"/>
    <w:rsid w:val="3DF3419F"/>
    <w:rsid w:val="3DF99385"/>
    <w:rsid w:val="3E74F004"/>
    <w:rsid w:val="3E7FD2B8"/>
    <w:rsid w:val="3EA7BC07"/>
    <w:rsid w:val="3EB54A1B"/>
    <w:rsid w:val="3EBF9715"/>
    <w:rsid w:val="3EEDCB0D"/>
    <w:rsid w:val="3EF9FA8C"/>
    <w:rsid w:val="3EFBA353"/>
    <w:rsid w:val="3EFFFDBD"/>
    <w:rsid w:val="3F5A0424"/>
    <w:rsid w:val="3F7E5EB1"/>
    <w:rsid w:val="3F8F1AB2"/>
    <w:rsid w:val="3F986E86"/>
    <w:rsid w:val="3FB50DB9"/>
    <w:rsid w:val="3FB6D05C"/>
    <w:rsid w:val="3FB79853"/>
    <w:rsid w:val="3FBBD6FC"/>
    <w:rsid w:val="3FD43472"/>
    <w:rsid w:val="3FDD07DC"/>
    <w:rsid w:val="3FE7C132"/>
    <w:rsid w:val="3FEEF7D0"/>
    <w:rsid w:val="3FF7C09F"/>
    <w:rsid w:val="3FFB89FA"/>
    <w:rsid w:val="3FFCB57A"/>
    <w:rsid w:val="3FFCE46E"/>
    <w:rsid w:val="3FFF4FB8"/>
    <w:rsid w:val="3FFF6282"/>
    <w:rsid w:val="3FFF6380"/>
    <w:rsid w:val="3FFFACD9"/>
    <w:rsid w:val="3FFFD90D"/>
    <w:rsid w:val="40244F73"/>
    <w:rsid w:val="40CF51AE"/>
    <w:rsid w:val="415EEB71"/>
    <w:rsid w:val="419F2DC1"/>
    <w:rsid w:val="42DE52BC"/>
    <w:rsid w:val="4301054F"/>
    <w:rsid w:val="43DB3FAF"/>
    <w:rsid w:val="43ED6CE9"/>
    <w:rsid w:val="4501774B"/>
    <w:rsid w:val="451B1EC8"/>
    <w:rsid w:val="4556490C"/>
    <w:rsid w:val="4559200A"/>
    <w:rsid w:val="457BAEA1"/>
    <w:rsid w:val="45FB0EBB"/>
    <w:rsid w:val="46DCFC67"/>
    <w:rsid w:val="476F2604"/>
    <w:rsid w:val="477F75FB"/>
    <w:rsid w:val="479FA454"/>
    <w:rsid w:val="47B3FCFE"/>
    <w:rsid w:val="47D62CD2"/>
    <w:rsid w:val="484C29A9"/>
    <w:rsid w:val="48598FC3"/>
    <w:rsid w:val="48700954"/>
    <w:rsid w:val="48FFF461"/>
    <w:rsid w:val="4A6A4369"/>
    <w:rsid w:val="4AC05CD6"/>
    <w:rsid w:val="4AF505EB"/>
    <w:rsid w:val="4BAB026F"/>
    <w:rsid w:val="4BBD49D0"/>
    <w:rsid w:val="4BF46C68"/>
    <w:rsid w:val="4BFBF4E3"/>
    <w:rsid w:val="4C912CFD"/>
    <w:rsid w:val="4CD22221"/>
    <w:rsid w:val="4D066243"/>
    <w:rsid w:val="4D736872"/>
    <w:rsid w:val="4DA94C04"/>
    <w:rsid w:val="4DC15695"/>
    <w:rsid w:val="4DFF069B"/>
    <w:rsid w:val="4DFF6E57"/>
    <w:rsid w:val="4EEF29BB"/>
    <w:rsid w:val="4F7BF497"/>
    <w:rsid w:val="4F7E6DA5"/>
    <w:rsid w:val="4FBB958A"/>
    <w:rsid w:val="4FBDADC8"/>
    <w:rsid w:val="4FD74ACC"/>
    <w:rsid w:val="4FFBAC9D"/>
    <w:rsid w:val="500736A0"/>
    <w:rsid w:val="503B103B"/>
    <w:rsid w:val="5050538F"/>
    <w:rsid w:val="512E0303"/>
    <w:rsid w:val="51D75ED3"/>
    <w:rsid w:val="530748AA"/>
    <w:rsid w:val="537DE542"/>
    <w:rsid w:val="538E3AD1"/>
    <w:rsid w:val="538E7ED0"/>
    <w:rsid w:val="53FFE21F"/>
    <w:rsid w:val="547F7CFA"/>
    <w:rsid w:val="55A87015"/>
    <w:rsid w:val="55FFEC09"/>
    <w:rsid w:val="56390221"/>
    <w:rsid w:val="56501B9C"/>
    <w:rsid w:val="56B3B432"/>
    <w:rsid w:val="56BF5DE1"/>
    <w:rsid w:val="56FBCBEF"/>
    <w:rsid w:val="57712235"/>
    <w:rsid w:val="57930EA2"/>
    <w:rsid w:val="57D73424"/>
    <w:rsid w:val="57EB987F"/>
    <w:rsid w:val="57F72CB6"/>
    <w:rsid w:val="57F7FFDF"/>
    <w:rsid w:val="57FB11FD"/>
    <w:rsid w:val="57FC5C33"/>
    <w:rsid w:val="580679EB"/>
    <w:rsid w:val="58463DF3"/>
    <w:rsid w:val="58A334CB"/>
    <w:rsid w:val="590837E9"/>
    <w:rsid w:val="595E394E"/>
    <w:rsid w:val="59AEAB1E"/>
    <w:rsid w:val="59DFE2F9"/>
    <w:rsid w:val="59F19D15"/>
    <w:rsid w:val="5A4017EE"/>
    <w:rsid w:val="5A7C108E"/>
    <w:rsid w:val="5AAA060E"/>
    <w:rsid w:val="5AE7FEF3"/>
    <w:rsid w:val="5AFFDB19"/>
    <w:rsid w:val="5B3FA485"/>
    <w:rsid w:val="5B9531DB"/>
    <w:rsid w:val="5BB16861"/>
    <w:rsid w:val="5BB53817"/>
    <w:rsid w:val="5BE9381F"/>
    <w:rsid w:val="5BEF561B"/>
    <w:rsid w:val="5BFB00CD"/>
    <w:rsid w:val="5C3F6100"/>
    <w:rsid w:val="5C7BE46C"/>
    <w:rsid w:val="5C9C2A1D"/>
    <w:rsid w:val="5CDA733D"/>
    <w:rsid w:val="5D1FE9B9"/>
    <w:rsid w:val="5D6D170F"/>
    <w:rsid w:val="5D7DA08E"/>
    <w:rsid w:val="5DADB071"/>
    <w:rsid w:val="5DAF9677"/>
    <w:rsid w:val="5DDF11AC"/>
    <w:rsid w:val="5DE75D41"/>
    <w:rsid w:val="5DEE3896"/>
    <w:rsid w:val="5DEFAF62"/>
    <w:rsid w:val="5DFAC4DC"/>
    <w:rsid w:val="5DFCC0AF"/>
    <w:rsid w:val="5DFDCB88"/>
    <w:rsid w:val="5DFEB1B3"/>
    <w:rsid w:val="5E122951"/>
    <w:rsid w:val="5E6E0D0C"/>
    <w:rsid w:val="5E940777"/>
    <w:rsid w:val="5EAF4465"/>
    <w:rsid w:val="5EBF4CDB"/>
    <w:rsid w:val="5ED76B26"/>
    <w:rsid w:val="5EDF6D0E"/>
    <w:rsid w:val="5F0D725D"/>
    <w:rsid w:val="5F190DDA"/>
    <w:rsid w:val="5F3B564C"/>
    <w:rsid w:val="5F3EBE45"/>
    <w:rsid w:val="5F4FCB8C"/>
    <w:rsid w:val="5F5E022E"/>
    <w:rsid w:val="5F5F0A3E"/>
    <w:rsid w:val="5F643CCB"/>
    <w:rsid w:val="5F6497B5"/>
    <w:rsid w:val="5F683235"/>
    <w:rsid w:val="5F7BF44E"/>
    <w:rsid w:val="5F7DC7D1"/>
    <w:rsid w:val="5F7E8FAE"/>
    <w:rsid w:val="5F7EFBCD"/>
    <w:rsid w:val="5F7F1FB1"/>
    <w:rsid w:val="5F9F5BFA"/>
    <w:rsid w:val="5FA7E5F9"/>
    <w:rsid w:val="5FB76FFD"/>
    <w:rsid w:val="5FCF408C"/>
    <w:rsid w:val="5FCF8A36"/>
    <w:rsid w:val="5FD67BC5"/>
    <w:rsid w:val="5FDA59CB"/>
    <w:rsid w:val="5FDBB4A9"/>
    <w:rsid w:val="5FE8EB8C"/>
    <w:rsid w:val="5FECBB75"/>
    <w:rsid w:val="5FEFAAE1"/>
    <w:rsid w:val="5FFD1B9B"/>
    <w:rsid w:val="5FFE6AE2"/>
    <w:rsid w:val="5FFEC04C"/>
    <w:rsid w:val="5FFF22BB"/>
    <w:rsid w:val="5FFF6BA0"/>
    <w:rsid w:val="606ABF91"/>
    <w:rsid w:val="60825A37"/>
    <w:rsid w:val="61F8823D"/>
    <w:rsid w:val="6233322B"/>
    <w:rsid w:val="6274048D"/>
    <w:rsid w:val="63BEEAC4"/>
    <w:rsid w:val="647FB6F4"/>
    <w:rsid w:val="6497BDD7"/>
    <w:rsid w:val="64CF81B8"/>
    <w:rsid w:val="64D98556"/>
    <w:rsid w:val="65BD6B43"/>
    <w:rsid w:val="65CBBEC7"/>
    <w:rsid w:val="65DBB81E"/>
    <w:rsid w:val="65E5C601"/>
    <w:rsid w:val="66276B33"/>
    <w:rsid w:val="667B6202"/>
    <w:rsid w:val="66BE43AE"/>
    <w:rsid w:val="66DF7F3B"/>
    <w:rsid w:val="67365B12"/>
    <w:rsid w:val="677996E1"/>
    <w:rsid w:val="677EF5F4"/>
    <w:rsid w:val="677F7EE4"/>
    <w:rsid w:val="67BB3F3B"/>
    <w:rsid w:val="67CBFE08"/>
    <w:rsid w:val="67D29154"/>
    <w:rsid w:val="67DF21BE"/>
    <w:rsid w:val="67EF1E8A"/>
    <w:rsid w:val="67EFBBBB"/>
    <w:rsid w:val="67FFA012"/>
    <w:rsid w:val="67FFA517"/>
    <w:rsid w:val="683755CB"/>
    <w:rsid w:val="689B27BB"/>
    <w:rsid w:val="69971412"/>
    <w:rsid w:val="69BBA61F"/>
    <w:rsid w:val="69EF9D6C"/>
    <w:rsid w:val="6A64148A"/>
    <w:rsid w:val="6A76A750"/>
    <w:rsid w:val="6ABF3567"/>
    <w:rsid w:val="6AD3CFA4"/>
    <w:rsid w:val="6AF7CDDC"/>
    <w:rsid w:val="6AFBB243"/>
    <w:rsid w:val="6B48784C"/>
    <w:rsid w:val="6B5FC19B"/>
    <w:rsid w:val="6B66E548"/>
    <w:rsid w:val="6B7D0742"/>
    <w:rsid w:val="6B8F5BD1"/>
    <w:rsid w:val="6BD73154"/>
    <w:rsid w:val="6BFD0739"/>
    <w:rsid w:val="6BFE87C7"/>
    <w:rsid w:val="6BFF3143"/>
    <w:rsid w:val="6BFFF06D"/>
    <w:rsid w:val="6C027254"/>
    <w:rsid w:val="6C176C2D"/>
    <w:rsid w:val="6C9B2F1B"/>
    <w:rsid w:val="6CDC16CA"/>
    <w:rsid w:val="6CDE9BBF"/>
    <w:rsid w:val="6CEEFB6C"/>
    <w:rsid w:val="6CFDE3D9"/>
    <w:rsid w:val="6D637EC6"/>
    <w:rsid w:val="6DAF0AAC"/>
    <w:rsid w:val="6DCF8297"/>
    <w:rsid w:val="6DDF2565"/>
    <w:rsid w:val="6DEE19AB"/>
    <w:rsid w:val="6DF54B59"/>
    <w:rsid w:val="6DF7E2EC"/>
    <w:rsid w:val="6DFD14D4"/>
    <w:rsid w:val="6DFE5252"/>
    <w:rsid w:val="6DFEA0AA"/>
    <w:rsid w:val="6DFF7113"/>
    <w:rsid w:val="6DFF8A25"/>
    <w:rsid w:val="6E46739E"/>
    <w:rsid w:val="6E7F067A"/>
    <w:rsid w:val="6EBDDC90"/>
    <w:rsid w:val="6ECAB4E3"/>
    <w:rsid w:val="6ECB1B80"/>
    <w:rsid w:val="6ED7348E"/>
    <w:rsid w:val="6EDD239C"/>
    <w:rsid w:val="6EE76F97"/>
    <w:rsid w:val="6EF5CB8E"/>
    <w:rsid w:val="6EFA8E61"/>
    <w:rsid w:val="6EFFCB96"/>
    <w:rsid w:val="6EFFDC49"/>
    <w:rsid w:val="6F133F6C"/>
    <w:rsid w:val="6F2FB053"/>
    <w:rsid w:val="6F3F9F45"/>
    <w:rsid w:val="6F58F130"/>
    <w:rsid w:val="6F5E433E"/>
    <w:rsid w:val="6F615109"/>
    <w:rsid w:val="6F735177"/>
    <w:rsid w:val="6F796A39"/>
    <w:rsid w:val="6F7F25B9"/>
    <w:rsid w:val="6F9B90A3"/>
    <w:rsid w:val="6F9F6808"/>
    <w:rsid w:val="6FAF7C23"/>
    <w:rsid w:val="6FB7AA55"/>
    <w:rsid w:val="6FBFE009"/>
    <w:rsid w:val="6FC70803"/>
    <w:rsid w:val="6FCD4DB0"/>
    <w:rsid w:val="6FCF99B9"/>
    <w:rsid w:val="6FDB7227"/>
    <w:rsid w:val="6FE20EA7"/>
    <w:rsid w:val="6FED2A25"/>
    <w:rsid w:val="6FEF8DBC"/>
    <w:rsid w:val="6FF27A2E"/>
    <w:rsid w:val="6FF7E9EE"/>
    <w:rsid w:val="6FFC68F4"/>
    <w:rsid w:val="6FFF3CF1"/>
    <w:rsid w:val="6FFF88F7"/>
    <w:rsid w:val="6FFFAAB2"/>
    <w:rsid w:val="70126C4D"/>
    <w:rsid w:val="70AE6BA7"/>
    <w:rsid w:val="70ED9C73"/>
    <w:rsid w:val="717FEAD9"/>
    <w:rsid w:val="71DF82D7"/>
    <w:rsid w:val="71E76416"/>
    <w:rsid w:val="71EF1D20"/>
    <w:rsid w:val="71F75308"/>
    <w:rsid w:val="71FDACB6"/>
    <w:rsid w:val="722B6294"/>
    <w:rsid w:val="722F1EB8"/>
    <w:rsid w:val="72CFCC9C"/>
    <w:rsid w:val="72FFEAAF"/>
    <w:rsid w:val="73BD072A"/>
    <w:rsid w:val="73DE0BD0"/>
    <w:rsid w:val="73EA8A1D"/>
    <w:rsid w:val="73FEB562"/>
    <w:rsid w:val="73FF30D6"/>
    <w:rsid w:val="743F3A42"/>
    <w:rsid w:val="746058BD"/>
    <w:rsid w:val="74727280"/>
    <w:rsid w:val="74B9D1FF"/>
    <w:rsid w:val="7573110B"/>
    <w:rsid w:val="757D3C0C"/>
    <w:rsid w:val="75BB01EC"/>
    <w:rsid w:val="75DFB8EB"/>
    <w:rsid w:val="75F798FF"/>
    <w:rsid w:val="75FDC1B4"/>
    <w:rsid w:val="75FF0F53"/>
    <w:rsid w:val="761ABDC0"/>
    <w:rsid w:val="763DBC23"/>
    <w:rsid w:val="764F2F6D"/>
    <w:rsid w:val="767F9574"/>
    <w:rsid w:val="76CB553E"/>
    <w:rsid w:val="76D961D7"/>
    <w:rsid w:val="76FB9BD7"/>
    <w:rsid w:val="76FEF82E"/>
    <w:rsid w:val="77160A92"/>
    <w:rsid w:val="77595339"/>
    <w:rsid w:val="776F9B31"/>
    <w:rsid w:val="777F59B7"/>
    <w:rsid w:val="778F03BE"/>
    <w:rsid w:val="77AA3248"/>
    <w:rsid w:val="77AE9B9B"/>
    <w:rsid w:val="77B9C990"/>
    <w:rsid w:val="77DF9DCB"/>
    <w:rsid w:val="77E2B723"/>
    <w:rsid w:val="77EAE132"/>
    <w:rsid w:val="77EB225D"/>
    <w:rsid w:val="77EFA6C1"/>
    <w:rsid w:val="77F50F1B"/>
    <w:rsid w:val="77F737BD"/>
    <w:rsid w:val="77FB26DC"/>
    <w:rsid w:val="77FC5075"/>
    <w:rsid w:val="77FDEA60"/>
    <w:rsid w:val="77FDF57C"/>
    <w:rsid w:val="77FE984F"/>
    <w:rsid w:val="77FF3A94"/>
    <w:rsid w:val="77FFE031"/>
    <w:rsid w:val="783A9350"/>
    <w:rsid w:val="78423D13"/>
    <w:rsid w:val="786625C1"/>
    <w:rsid w:val="78BFE71E"/>
    <w:rsid w:val="78EA67CE"/>
    <w:rsid w:val="797FCF2F"/>
    <w:rsid w:val="79AF2782"/>
    <w:rsid w:val="79D8F9BD"/>
    <w:rsid w:val="79ED3711"/>
    <w:rsid w:val="79FB95F8"/>
    <w:rsid w:val="79FCB030"/>
    <w:rsid w:val="79FEA0F1"/>
    <w:rsid w:val="79FF5F25"/>
    <w:rsid w:val="7A383883"/>
    <w:rsid w:val="7A5F2438"/>
    <w:rsid w:val="7AB5C788"/>
    <w:rsid w:val="7ABB2E41"/>
    <w:rsid w:val="7AC7FFFC"/>
    <w:rsid w:val="7AD71DEF"/>
    <w:rsid w:val="7ADB5FA8"/>
    <w:rsid w:val="7ADB6072"/>
    <w:rsid w:val="7AF72DA7"/>
    <w:rsid w:val="7AFE7BB9"/>
    <w:rsid w:val="7AFF5990"/>
    <w:rsid w:val="7B0B2CBC"/>
    <w:rsid w:val="7B294E15"/>
    <w:rsid w:val="7B4DF754"/>
    <w:rsid w:val="7B97C7EC"/>
    <w:rsid w:val="7BA6E560"/>
    <w:rsid w:val="7BB10551"/>
    <w:rsid w:val="7BB367F5"/>
    <w:rsid w:val="7BBFFE9D"/>
    <w:rsid w:val="7BDB6C82"/>
    <w:rsid w:val="7BDE9FE4"/>
    <w:rsid w:val="7BE1525C"/>
    <w:rsid w:val="7BE33D5A"/>
    <w:rsid w:val="7BF75266"/>
    <w:rsid w:val="7BF7A9D7"/>
    <w:rsid w:val="7BFB5772"/>
    <w:rsid w:val="7BFD1290"/>
    <w:rsid w:val="7BFDA493"/>
    <w:rsid w:val="7BFEDC3F"/>
    <w:rsid w:val="7BFF4DC6"/>
    <w:rsid w:val="7BFF69C9"/>
    <w:rsid w:val="7BFF7A4B"/>
    <w:rsid w:val="7BFFA718"/>
    <w:rsid w:val="7C1977A8"/>
    <w:rsid w:val="7C32BA45"/>
    <w:rsid w:val="7C5F07AE"/>
    <w:rsid w:val="7C5F70B7"/>
    <w:rsid w:val="7C7A1DDA"/>
    <w:rsid w:val="7C7F6047"/>
    <w:rsid w:val="7C992F21"/>
    <w:rsid w:val="7CAA1482"/>
    <w:rsid w:val="7CAE4944"/>
    <w:rsid w:val="7CE5A62E"/>
    <w:rsid w:val="7CED0F0D"/>
    <w:rsid w:val="7CF6457B"/>
    <w:rsid w:val="7CFF8AC5"/>
    <w:rsid w:val="7D1F0F5A"/>
    <w:rsid w:val="7D2FE12E"/>
    <w:rsid w:val="7D6AB12F"/>
    <w:rsid w:val="7D6E736C"/>
    <w:rsid w:val="7D6FFE28"/>
    <w:rsid w:val="7D78CAFA"/>
    <w:rsid w:val="7D7B66AA"/>
    <w:rsid w:val="7D7C112C"/>
    <w:rsid w:val="7D7F07B2"/>
    <w:rsid w:val="7D97A6DC"/>
    <w:rsid w:val="7D9E3215"/>
    <w:rsid w:val="7DAB27FE"/>
    <w:rsid w:val="7DB96489"/>
    <w:rsid w:val="7DBB7344"/>
    <w:rsid w:val="7DBBB84D"/>
    <w:rsid w:val="7DBD797D"/>
    <w:rsid w:val="7DBFF487"/>
    <w:rsid w:val="7DD6C59C"/>
    <w:rsid w:val="7DDBEFD6"/>
    <w:rsid w:val="7DDF8DD3"/>
    <w:rsid w:val="7DEB5E24"/>
    <w:rsid w:val="7DEEA260"/>
    <w:rsid w:val="7DF7FA69"/>
    <w:rsid w:val="7DFF17DB"/>
    <w:rsid w:val="7DFF3412"/>
    <w:rsid w:val="7E3F3E2F"/>
    <w:rsid w:val="7E5F44D2"/>
    <w:rsid w:val="7E7A8C24"/>
    <w:rsid w:val="7E7FE011"/>
    <w:rsid w:val="7E99450F"/>
    <w:rsid w:val="7E9F65EF"/>
    <w:rsid w:val="7EA6F4D0"/>
    <w:rsid w:val="7EBBF8AB"/>
    <w:rsid w:val="7ED74442"/>
    <w:rsid w:val="7EDB0CBC"/>
    <w:rsid w:val="7EDB9DC8"/>
    <w:rsid w:val="7EEDB958"/>
    <w:rsid w:val="7EEF4590"/>
    <w:rsid w:val="7EF3D7CC"/>
    <w:rsid w:val="7EF77678"/>
    <w:rsid w:val="7EFC4C37"/>
    <w:rsid w:val="7EFE50CB"/>
    <w:rsid w:val="7EFE6B23"/>
    <w:rsid w:val="7EFF0B6F"/>
    <w:rsid w:val="7EFF7B69"/>
    <w:rsid w:val="7EFFE6A8"/>
    <w:rsid w:val="7F075BC0"/>
    <w:rsid w:val="7F0B1FF2"/>
    <w:rsid w:val="7F0F1DA7"/>
    <w:rsid w:val="7F174713"/>
    <w:rsid w:val="7F1D3D5E"/>
    <w:rsid w:val="7F1E259A"/>
    <w:rsid w:val="7F1F6E1F"/>
    <w:rsid w:val="7F2B921D"/>
    <w:rsid w:val="7F571E67"/>
    <w:rsid w:val="7F5F55A6"/>
    <w:rsid w:val="7F5F5D8D"/>
    <w:rsid w:val="7F5F8489"/>
    <w:rsid w:val="7F6481B7"/>
    <w:rsid w:val="7F6BB1F7"/>
    <w:rsid w:val="7F6E9AC4"/>
    <w:rsid w:val="7F6F0251"/>
    <w:rsid w:val="7F6FFC9A"/>
    <w:rsid w:val="7F751BA6"/>
    <w:rsid w:val="7F778ADE"/>
    <w:rsid w:val="7F790518"/>
    <w:rsid w:val="7F7B16B6"/>
    <w:rsid w:val="7F7B2A8A"/>
    <w:rsid w:val="7F7BCEC0"/>
    <w:rsid w:val="7F7CBD32"/>
    <w:rsid w:val="7F7F4F9B"/>
    <w:rsid w:val="7F7F7D25"/>
    <w:rsid w:val="7F7FCE60"/>
    <w:rsid w:val="7F7FDCC5"/>
    <w:rsid w:val="7F8F02C3"/>
    <w:rsid w:val="7F9BF628"/>
    <w:rsid w:val="7F9F9A25"/>
    <w:rsid w:val="7FB498EB"/>
    <w:rsid w:val="7FB5E271"/>
    <w:rsid w:val="7FB725F3"/>
    <w:rsid w:val="7FB73A99"/>
    <w:rsid w:val="7FBC9B9D"/>
    <w:rsid w:val="7FBCCB97"/>
    <w:rsid w:val="7FBF6F5C"/>
    <w:rsid w:val="7FBFEAD1"/>
    <w:rsid w:val="7FBFEEEA"/>
    <w:rsid w:val="7FCA25C7"/>
    <w:rsid w:val="7FCF3F45"/>
    <w:rsid w:val="7FD740A6"/>
    <w:rsid w:val="7FDB2374"/>
    <w:rsid w:val="7FDC2C7D"/>
    <w:rsid w:val="7FDD13A4"/>
    <w:rsid w:val="7FDD90C2"/>
    <w:rsid w:val="7FDE254A"/>
    <w:rsid w:val="7FDEC9C7"/>
    <w:rsid w:val="7FDF5695"/>
    <w:rsid w:val="7FDF670E"/>
    <w:rsid w:val="7FEB104A"/>
    <w:rsid w:val="7FEB60B0"/>
    <w:rsid w:val="7FEB6E46"/>
    <w:rsid w:val="7FED6913"/>
    <w:rsid w:val="7FEEBFF1"/>
    <w:rsid w:val="7FEED4FB"/>
    <w:rsid w:val="7FEF22CB"/>
    <w:rsid w:val="7FF2AAFA"/>
    <w:rsid w:val="7FF2FD5E"/>
    <w:rsid w:val="7FF30E83"/>
    <w:rsid w:val="7FF3F163"/>
    <w:rsid w:val="7FF65232"/>
    <w:rsid w:val="7FF86BBF"/>
    <w:rsid w:val="7FFB14ED"/>
    <w:rsid w:val="7FFB3EF3"/>
    <w:rsid w:val="7FFB8B13"/>
    <w:rsid w:val="7FFC5239"/>
    <w:rsid w:val="7FFD47DB"/>
    <w:rsid w:val="7FFDD731"/>
    <w:rsid w:val="7FFE7725"/>
    <w:rsid w:val="7FFED17E"/>
    <w:rsid w:val="7FFF5823"/>
    <w:rsid w:val="7FFF65BB"/>
    <w:rsid w:val="7FFF8EAB"/>
    <w:rsid w:val="7FFF95BF"/>
    <w:rsid w:val="7FFF9795"/>
    <w:rsid w:val="7FFFC8EC"/>
    <w:rsid w:val="7FFFCB03"/>
    <w:rsid w:val="7FFFEDF2"/>
    <w:rsid w:val="83BFD64C"/>
    <w:rsid w:val="865F0948"/>
    <w:rsid w:val="87E76729"/>
    <w:rsid w:val="88EFDD46"/>
    <w:rsid w:val="8BDD2D11"/>
    <w:rsid w:val="8BFB81A2"/>
    <w:rsid w:val="8DB92E08"/>
    <w:rsid w:val="8F1DA4C1"/>
    <w:rsid w:val="8F5CD62F"/>
    <w:rsid w:val="93F73735"/>
    <w:rsid w:val="947A5510"/>
    <w:rsid w:val="957CEC5C"/>
    <w:rsid w:val="97F91B66"/>
    <w:rsid w:val="97FF75D9"/>
    <w:rsid w:val="97FFCF6F"/>
    <w:rsid w:val="9A67B193"/>
    <w:rsid w:val="9A9B3806"/>
    <w:rsid w:val="9AFE503D"/>
    <w:rsid w:val="9B7CA2F4"/>
    <w:rsid w:val="9B933EA7"/>
    <w:rsid w:val="9BAF34C6"/>
    <w:rsid w:val="9BFFE5D9"/>
    <w:rsid w:val="9CAF1639"/>
    <w:rsid w:val="9CED2955"/>
    <w:rsid w:val="9CEFCE36"/>
    <w:rsid w:val="9D7D666A"/>
    <w:rsid w:val="9DFFAC36"/>
    <w:rsid w:val="9E3ECBEE"/>
    <w:rsid w:val="9E4F1123"/>
    <w:rsid w:val="9EEFC51B"/>
    <w:rsid w:val="9EF952AE"/>
    <w:rsid w:val="9EFA0FFD"/>
    <w:rsid w:val="9EFFDECA"/>
    <w:rsid w:val="9F6FE640"/>
    <w:rsid w:val="9F94998B"/>
    <w:rsid w:val="9F9DBB0C"/>
    <w:rsid w:val="9FBE6AB9"/>
    <w:rsid w:val="9FBE7698"/>
    <w:rsid w:val="9FC7FCA5"/>
    <w:rsid w:val="9FDFA5FE"/>
    <w:rsid w:val="9FFDCDEE"/>
    <w:rsid w:val="9FFFF9D6"/>
    <w:rsid w:val="A26DFE41"/>
    <w:rsid w:val="A4BED7D7"/>
    <w:rsid w:val="A5CF3A02"/>
    <w:rsid w:val="A6B5B875"/>
    <w:rsid w:val="A6BBBF37"/>
    <w:rsid w:val="A77FECDB"/>
    <w:rsid w:val="AACDDC5C"/>
    <w:rsid w:val="ABBFB5A3"/>
    <w:rsid w:val="ABFEC53C"/>
    <w:rsid w:val="ADDEB295"/>
    <w:rsid w:val="ADEFB8F4"/>
    <w:rsid w:val="AE1E3A1A"/>
    <w:rsid w:val="AE3AF747"/>
    <w:rsid w:val="AF7F17C5"/>
    <w:rsid w:val="AF8FFBFD"/>
    <w:rsid w:val="AFA64DFC"/>
    <w:rsid w:val="AFB6AD3A"/>
    <w:rsid w:val="AFDEBD6E"/>
    <w:rsid w:val="AFF1A459"/>
    <w:rsid w:val="AFF90A9E"/>
    <w:rsid w:val="AFFB7E36"/>
    <w:rsid w:val="AFFF6A00"/>
    <w:rsid w:val="B0F748BA"/>
    <w:rsid w:val="B0FEF6B6"/>
    <w:rsid w:val="B1FF8D4E"/>
    <w:rsid w:val="B2EE62AA"/>
    <w:rsid w:val="B36E5179"/>
    <w:rsid w:val="B3F29275"/>
    <w:rsid w:val="B3F7B197"/>
    <w:rsid w:val="B3FCA770"/>
    <w:rsid w:val="B3FF2768"/>
    <w:rsid w:val="B57B28D5"/>
    <w:rsid w:val="B58F3BB5"/>
    <w:rsid w:val="B5DE82AA"/>
    <w:rsid w:val="B5EC47C0"/>
    <w:rsid w:val="B5EFF886"/>
    <w:rsid w:val="B6571943"/>
    <w:rsid w:val="B67F5C11"/>
    <w:rsid w:val="B6EF4211"/>
    <w:rsid w:val="B6FA68BE"/>
    <w:rsid w:val="B715923B"/>
    <w:rsid w:val="B776F3D5"/>
    <w:rsid w:val="B77B0FA3"/>
    <w:rsid w:val="B77B6F60"/>
    <w:rsid w:val="B77F5244"/>
    <w:rsid w:val="B7CF5A26"/>
    <w:rsid w:val="B7ED04B2"/>
    <w:rsid w:val="B7FB7BA5"/>
    <w:rsid w:val="B9B7335F"/>
    <w:rsid w:val="B9FE7C18"/>
    <w:rsid w:val="BAD3055B"/>
    <w:rsid w:val="BAF6A80D"/>
    <w:rsid w:val="BAFEA682"/>
    <w:rsid w:val="BB3A48BB"/>
    <w:rsid w:val="BB5F8ED4"/>
    <w:rsid w:val="BBFBEB5E"/>
    <w:rsid w:val="BBFF5DFC"/>
    <w:rsid w:val="BC999329"/>
    <w:rsid w:val="BD50C970"/>
    <w:rsid w:val="BD5B5AAB"/>
    <w:rsid w:val="BD5E2A4D"/>
    <w:rsid w:val="BD7D08EA"/>
    <w:rsid w:val="BDDBBEBC"/>
    <w:rsid w:val="BDE7E7F3"/>
    <w:rsid w:val="BDEE64A5"/>
    <w:rsid w:val="BDF7276A"/>
    <w:rsid w:val="BDFFEBF0"/>
    <w:rsid w:val="BE62DA3C"/>
    <w:rsid w:val="BE732394"/>
    <w:rsid w:val="BE7F1684"/>
    <w:rsid w:val="BEBCE093"/>
    <w:rsid w:val="BEBFB6AA"/>
    <w:rsid w:val="BEF1CF7F"/>
    <w:rsid w:val="BEF6429D"/>
    <w:rsid w:val="BEF93BF3"/>
    <w:rsid w:val="BEFED930"/>
    <w:rsid w:val="BEFF17BE"/>
    <w:rsid w:val="BEFFBFFC"/>
    <w:rsid w:val="BEFFFF39"/>
    <w:rsid w:val="BF5EEA74"/>
    <w:rsid w:val="BF779D8E"/>
    <w:rsid w:val="BF7F0CD6"/>
    <w:rsid w:val="BF7F10E1"/>
    <w:rsid w:val="BF7F1966"/>
    <w:rsid w:val="BF9B9225"/>
    <w:rsid w:val="BF9FC674"/>
    <w:rsid w:val="BFB3CDA1"/>
    <w:rsid w:val="BFBB6F5E"/>
    <w:rsid w:val="BFBEF1B1"/>
    <w:rsid w:val="BFBFD05B"/>
    <w:rsid w:val="BFC77E5F"/>
    <w:rsid w:val="BFCA4A4B"/>
    <w:rsid w:val="BFDAB7B1"/>
    <w:rsid w:val="BFDBBD83"/>
    <w:rsid w:val="BFEF5F06"/>
    <w:rsid w:val="BFEF7109"/>
    <w:rsid w:val="BFF34CA3"/>
    <w:rsid w:val="BFF46BAC"/>
    <w:rsid w:val="BFF479AD"/>
    <w:rsid w:val="BFF5C3A8"/>
    <w:rsid w:val="BFF6F5D0"/>
    <w:rsid w:val="BFFEAF31"/>
    <w:rsid w:val="BFFF9A57"/>
    <w:rsid w:val="C5DC0E3F"/>
    <w:rsid w:val="C66B9FEB"/>
    <w:rsid w:val="C7BDA248"/>
    <w:rsid w:val="C7D72C8A"/>
    <w:rsid w:val="C8BEB855"/>
    <w:rsid w:val="CB6490A2"/>
    <w:rsid w:val="CB9A93B2"/>
    <w:rsid w:val="CBD39841"/>
    <w:rsid w:val="CBDB22A3"/>
    <w:rsid w:val="CBFF77AE"/>
    <w:rsid w:val="CD5D91C3"/>
    <w:rsid w:val="CE47082E"/>
    <w:rsid w:val="CEA92C04"/>
    <w:rsid w:val="CEFB3173"/>
    <w:rsid w:val="CEFD6FD5"/>
    <w:rsid w:val="CEFF4050"/>
    <w:rsid w:val="CEFF5149"/>
    <w:rsid w:val="CF4BBE3F"/>
    <w:rsid w:val="CF64B160"/>
    <w:rsid w:val="CF656061"/>
    <w:rsid w:val="CF7E832A"/>
    <w:rsid w:val="CF7EF2D1"/>
    <w:rsid w:val="CFCA55ED"/>
    <w:rsid w:val="CFD5B1AD"/>
    <w:rsid w:val="CFDDB635"/>
    <w:rsid w:val="CFDE9DF3"/>
    <w:rsid w:val="CFEF09AF"/>
    <w:rsid w:val="CFEFCFAE"/>
    <w:rsid w:val="CFF57357"/>
    <w:rsid w:val="CFFE7D40"/>
    <w:rsid w:val="CFFF9AF5"/>
    <w:rsid w:val="CFFFED6A"/>
    <w:rsid w:val="D1339C79"/>
    <w:rsid w:val="D2FC0B8E"/>
    <w:rsid w:val="D30F8CB5"/>
    <w:rsid w:val="D31FFE88"/>
    <w:rsid w:val="D36C18D8"/>
    <w:rsid w:val="D3FEFBEF"/>
    <w:rsid w:val="D567CE78"/>
    <w:rsid w:val="D5FBCDB7"/>
    <w:rsid w:val="D667971C"/>
    <w:rsid w:val="D6E4FEA2"/>
    <w:rsid w:val="D6F723CD"/>
    <w:rsid w:val="D6FFB27C"/>
    <w:rsid w:val="D71AC84C"/>
    <w:rsid w:val="D73D97C9"/>
    <w:rsid w:val="D75E0D0B"/>
    <w:rsid w:val="D77F2315"/>
    <w:rsid w:val="D7CFA427"/>
    <w:rsid w:val="D7DA153C"/>
    <w:rsid w:val="D7DCCD67"/>
    <w:rsid w:val="D7DE9A82"/>
    <w:rsid w:val="D7EBB7B4"/>
    <w:rsid w:val="D7EF2406"/>
    <w:rsid w:val="D7FF01A0"/>
    <w:rsid w:val="D87FD8D7"/>
    <w:rsid w:val="D8DC649D"/>
    <w:rsid w:val="D92F890E"/>
    <w:rsid w:val="D9775417"/>
    <w:rsid w:val="D9DF5DBE"/>
    <w:rsid w:val="D9F7F80C"/>
    <w:rsid w:val="D9FDB461"/>
    <w:rsid w:val="DA1D5E1E"/>
    <w:rsid w:val="DA5FB176"/>
    <w:rsid w:val="DAAB7AA4"/>
    <w:rsid w:val="DAEDC090"/>
    <w:rsid w:val="DB73F3A3"/>
    <w:rsid w:val="DBFE44CC"/>
    <w:rsid w:val="DBFE8A31"/>
    <w:rsid w:val="DCFB9A6D"/>
    <w:rsid w:val="DD39FABE"/>
    <w:rsid w:val="DD79D06D"/>
    <w:rsid w:val="DDDB7160"/>
    <w:rsid w:val="DDDD5041"/>
    <w:rsid w:val="DDEF463F"/>
    <w:rsid w:val="DDF79BF9"/>
    <w:rsid w:val="DDF7AC06"/>
    <w:rsid w:val="DDF8F1A5"/>
    <w:rsid w:val="DDFE7CCC"/>
    <w:rsid w:val="DE37894B"/>
    <w:rsid w:val="DE7CBE08"/>
    <w:rsid w:val="DEBB51CB"/>
    <w:rsid w:val="DEDBCFA8"/>
    <w:rsid w:val="DEE31FCB"/>
    <w:rsid w:val="DEFF9A39"/>
    <w:rsid w:val="DF13C9E3"/>
    <w:rsid w:val="DF357310"/>
    <w:rsid w:val="DF5B5945"/>
    <w:rsid w:val="DF6F8B6A"/>
    <w:rsid w:val="DF6FEB77"/>
    <w:rsid w:val="DF6FFF27"/>
    <w:rsid w:val="DF7B0560"/>
    <w:rsid w:val="DF7DAD96"/>
    <w:rsid w:val="DF7E0415"/>
    <w:rsid w:val="DF8DEDFC"/>
    <w:rsid w:val="DF97C28B"/>
    <w:rsid w:val="DFB6AE9C"/>
    <w:rsid w:val="DFC9C963"/>
    <w:rsid w:val="DFD2793F"/>
    <w:rsid w:val="DFD4D46E"/>
    <w:rsid w:val="DFDBE325"/>
    <w:rsid w:val="DFDDCB3E"/>
    <w:rsid w:val="DFDE1A02"/>
    <w:rsid w:val="DFDF7368"/>
    <w:rsid w:val="DFEB8292"/>
    <w:rsid w:val="DFF78F27"/>
    <w:rsid w:val="DFF96272"/>
    <w:rsid w:val="DFF994AD"/>
    <w:rsid w:val="DFFEF938"/>
    <w:rsid w:val="DFFF0A2F"/>
    <w:rsid w:val="DFFF797A"/>
    <w:rsid w:val="DFFFAD01"/>
    <w:rsid w:val="E1F3F0CE"/>
    <w:rsid w:val="E1F4654E"/>
    <w:rsid w:val="E2FFD23E"/>
    <w:rsid w:val="E32DBE6E"/>
    <w:rsid w:val="E377F8F3"/>
    <w:rsid w:val="E3AD1835"/>
    <w:rsid w:val="E3BFEF14"/>
    <w:rsid w:val="E3F68DE5"/>
    <w:rsid w:val="E4D321EB"/>
    <w:rsid w:val="E4DC9553"/>
    <w:rsid w:val="E5F7A8B6"/>
    <w:rsid w:val="E5F94DFB"/>
    <w:rsid w:val="E6974AE4"/>
    <w:rsid w:val="E6BD1C4C"/>
    <w:rsid w:val="E6DB6CAA"/>
    <w:rsid w:val="E6ED7800"/>
    <w:rsid w:val="E6EF50A9"/>
    <w:rsid w:val="E75B2F4E"/>
    <w:rsid w:val="E7778BA4"/>
    <w:rsid w:val="E77FB12E"/>
    <w:rsid w:val="E7B58720"/>
    <w:rsid w:val="E7D56EF7"/>
    <w:rsid w:val="E7DFA9D7"/>
    <w:rsid w:val="E7F78DBA"/>
    <w:rsid w:val="E8FFB8F4"/>
    <w:rsid w:val="E9B7E745"/>
    <w:rsid w:val="EA7F8EE7"/>
    <w:rsid w:val="EAB518B0"/>
    <w:rsid w:val="EAF94FAB"/>
    <w:rsid w:val="EB4F03C4"/>
    <w:rsid w:val="EB5FB8FF"/>
    <w:rsid w:val="EB7DADF7"/>
    <w:rsid w:val="EBB330BD"/>
    <w:rsid w:val="EBBEEBC0"/>
    <w:rsid w:val="EBBFFDFC"/>
    <w:rsid w:val="EBDE82E4"/>
    <w:rsid w:val="EBDEA5CC"/>
    <w:rsid w:val="EBEBE157"/>
    <w:rsid w:val="EBF95E81"/>
    <w:rsid w:val="EC3BF733"/>
    <w:rsid w:val="ECD25E0C"/>
    <w:rsid w:val="ECDAF89C"/>
    <w:rsid w:val="ECFF25E8"/>
    <w:rsid w:val="ED577024"/>
    <w:rsid w:val="ED5FA988"/>
    <w:rsid w:val="ED5FED7D"/>
    <w:rsid w:val="ED77E293"/>
    <w:rsid w:val="ED7BABEA"/>
    <w:rsid w:val="ED8EE9BA"/>
    <w:rsid w:val="EDE72ECC"/>
    <w:rsid w:val="EDEFA37C"/>
    <w:rsid w:val="EDFB8758"/>
    <w:rsid w:val="EDFCB815"/>
    <w:rsid w:val="EE37BC0D"/>
    <w:rsid w:val="EE7E9BC6"/>
    <w:rsid w:val="EE9B89A4"/>
    <w:rsid w:val="EEAF4233"/>
    <w:rsid w:val="EEBE5B2F"/>
    <w:rsid w:val="EED759A7"/>
    <w:rsid w:val="EEF7E284"/>
    <w:rsid w:val="EEFE9A53"/>
    <w:rsid w:val="EF35808D"/>
    <w:rsid w:val="EF3596C0"/>
    <w:rsid w:val="EF5F549F"/>
    <w:rsid w:val="EF7E9546"/>
    <w:rsid w:val="EF7F0D12"/>
    <w:rsid w:val="EF995AC1"/>
    <w:rsid w:val="EF9FCBAF"/>
    <w:rsid w:val="EFA70C80"/>
    <w:rsid w:val="EFAD5772"/>
    <w:rsid w:val="EFB37416"/>
    <w:rsid w:val="EFBE5199"/>
    <w:rsid w:val="EFCA7C54"/>
    <w:rsid w:val="EFCB5822"/>
    <w:rsid w:val="EFDD2462"/>
    <w:rsid w:val="EFF38F7F"/>
    <w:rsid w:val="EFF7E79C"/>
    <w:rsid w:val="EFF7EEC4"/>
    <w:rsid w:val="EFFC930C"/>
    <w:rsid w:val="EFFD14C7"/>
    <w:rsid w:val="EFFD19B5"/>
    <w:rsid w:val="EFFE0E91"/>
    <w:rsid w:val="EFFE1072"/>
    <w:rsid w:val="EFFE4854"/>
    <w:rsid w:val="EFFE9ADB"/>
    <w:rsid w:val="EFFFBF8B"/>
    <w:rsid w:val="EFFFDEA6"/>
    <w:rsid w:val="EFFFF8D3"/>
    <w:rsid w:val="EFFFFB17"/>
    <w:rsid w:val="F0F5519B"/>
    <w:rsid w:val="F167CAB1"/>
    <w:rsid w:val="F1BFE9ED"/>
    <w:rsid w:val="F1E37086"/>
    <w:rsid w:val="F1ED405F"/>
    <w:rsid w:val="F27BD834"/>
    <w:rsid w:val="F2BF58D8"/>
    <w:rsid w:val="F2FB57BD"/>
    <w:rsid w:val="F2FF7BA2"/>
    <w:rsid w:val="F31FC317"/>
    <w:rsid w:val="F37F4FEE"/>
    <w:rsid w:val="F39B163C"/>
    <w:rsid w:val="F3BE7DE3"/>
    <w:rsid w:val="F3DFC48A"/>
    <w:rsid w:val="F3DFCAE4"/>
    <w:rsid w:val="F3DFF222"/>
    <w:rsid w:val="F3EB2583"/>
    <w:rsid w:val="F3FD1286"/>
    <w:rsid w:val="F47D5AF7"/>
    <w:rsid w:val="F4BF0967"/>
    <w:rsid w:val="F4BFB974"/>
    <w:rsid w:val="F56F22EA"/>
    <w:rsid w:val="F56F86AE"/>
    <w:rsid w:val="F578C90D"/>
    <w:rsid w:val="F57FF291"/>
    <w:rsid w:val="F5BA7558"/>
    <w:rsid w:val="F5C7FA36"/>
    <w:rsid w:val="F5ED3376"/>
    <w:rsid w:val="F5EFA01E"/>
    <w:rsid w:val="F5F87707"/>
    <w:rsid w:val="F5F9F206"/>
    <w:rsid w:val="F5FF167F"/>
    <w:rsid w:val="F5FF8AA0"/>
    <w:rsid w:val="F5FFAC7B"/>
    <w:rsid w:val="F5FFB075"/>
    <w:rsid w:val="F5FFEF8A"/>
    <w:rsid w:val="F6BB0101"/>
    <w:rsid w:val="F6FC556E"/>
    <w:rsid w:val="F6FDDB1D"/>
    <w:rsid w:val="F6FF8109"/>
    <w:rsid w:val="F6FFB558"/>
    <w:rsid w:val="F73291CF"/>
    <w:rsid w:val="F75EF2F1"/>
    <w:rsid w:val="F76749FE"/>
    <w:rsid w:val="F77D5A68"/>
    <w:rsid w:val="F77F0F55"/>
    <w:rsid w:val="F7B598AD"/>
    <w:rsid w:val="F7B7705E"/>
    <w:rsid w:val="F7B7989D"/>
    <w:rsid w:val="F7BE2F5C"/>
    <w:rsid w:val="F7BFD072"/>
    <w:rsid w:val="F7DF7E8F"/>
    <w:rsid w:val="F7EC0D58"/>
    <w:rsid w:val="F7EC7BB3"/>
    <w:rsid w:val="F7EEC53B"/>
    <w:rsid w:val="F7EFBBEC"/>
    <w:rsid w:val="F7F6DB64"/>
    <w:rsid w:val="F7F79B7A"/>
    <w:rsid w:val="F7FB8AFB"/>
    <w:rsid w:val="F7FEAB6A"/>
    <w:rsid w:val="F7FFAFAC"/>
    <w:rsid w:val="F7FFF598"/>
    <w:rsid w:val="F7FFFEA2"/>
    <w:rsid w:val="F87B109A"/>
    <w:rsid w:val="F8E701ED"/>
    <w:rsid w:val="F8F7D448"/>
    <w:rsid w:val="F8FF5DE6"/>
    <w:rsid w:val="F935474C"/>
    <w:rsid w:val="F973E303"/>
    <w:rsid w:val="F97BD2F7"/>
    <w:rsid w:val="F97E8FAD"/>
    <w:rsid w:val="F989BCE8"/>
    <w:rsid w:val="F9D5EEE4"/>
    <w:rsid w:val="F9EBAD40"/>
    <w:rsid w:val="F9FE34DA"/>
    <w:rsid w:val="FA3B60A2"/>
    <w:rsid w:val="FA67B7F9"/>
    <w:rsid w:val="FA6F3E70"/>
    <w:rsid w:val="FA7F2156"/>
    <w:rsid w:val="FABF5568"/>
    <w:rsid w:val="FAD5A73A"/>
    <w:rsid w:val="FAE6603B"/>
    <w:rsid w:val="FAE7269E"/>
    <w:rsid w:val="FAEF0ACD"/>
    <w:rsid w:val="FAEFD81C"/>
    <w:rsid w:val="FAFBDDD8"/>
    <w:rsid w:val="FAFD88EB"/>
    <w:rsid w:val="FAFE7B2C"/>
    <w:rsid w:val="FB587594"/>
    <w:rsid w:val="FB6DB040"/>
    <w:rsid w:val="FB7ABBD4"/>
    <w:rsid w:val="FB7DFB10"/>
    <w:rsid w:val="FB7F4B15"/>
    <w:rsid w:val="FB7FDA2F"/>
    <w:rsid w:val="FB997A69"/>
    <w:rsid w:val="FBAF1493"/>
    <w:rsid w:val="FBB3EAC1"/>
    <w:rsid w:val="FBBB231F"/>
    <w:rsid w:val="FBBB7E16"/>
    <w:rsid w:val="FBBF0695"/>
    <w:rsid w:val="FBC192C2"/>
    <w:rsid w:val="FBC2B7E7"/>
    <w:rsid w:val="FBC70928"/>
    <w:rsid w:val="FBDBFF00"/>
    <w:rsid w:val="FBE0C1FC"/>
    <w:rsid w:val="FBE2E6C1"/>
    <w:rsid w:val="FBF0ABF8"/>
    <w:rsid w:val="FBF32540"/>
    <w:rsid w:val="FBF6935F"/>
    <w:rsid w:val="FBF76111"/>
    <w:rsid w:val="FBF92603"/>
    <w:rsid w:val="FBFC4870"/>
    <w:rsid w:val="FBFD3067"/>
    <w:rsid w:val="FBFDF176"/>
    <w:rsid w:val="FBFE2CE0"/>
    <w:rsid w:val="FBFEC5B0"/>
    <w:rsid w:val="FBFEEE2D"/>
    <w:rsid w:val="FBFF0D31"/>
    <w:rsid w:val="FBFFC873"/>
    <w:rsid w:val="FBFFF2F4"/>
    <w:rsid w:val="FC55BFA8"/>
    <w:rsid w:val="FC575829"/>
    <w:rsid w:val="FC7898D7"/>
    <w:rsid w:val="FC7F5D0D"/>
    <w:rsid w:val="FCB1D545"/>
    <w:rsid w:val="FCB75032"/>
    <w:rsid w:val="FCBFE769"/>
    <w:rsid w:val="FCDED1FF"/>
    <w:rsid w:val="FCDF580D"/>
    <w:rsid w:val="FCFE1A13"/>
    <w:rsid w:val="FCFE7E79"/>
    <w:rsid w:val="FCFF30AB"/>
    <w:rsid w:val="FD45B524"/>
    <w:rsid w:val="FD754BBA"/>
    <w:rsid w:val="FD7AC442"/>
    <w:rsid w:val="FD7E939C"/>
    <w:rsid w:val="FD7F05A4"/>
    <w:rsid w:val="FD7FF3C1"/>
    <w:rsid w:val="FD8F70B2"/>
    <w:rsid w:val="FDCF27B9"/>
    <w:rsid w:val="FDD5A136"/>
    <w:rsid w:val="FDDABDF9"/>
    <w:rsid w:val="FDDADE22"/>
    <w:rsid w:val="FDDB76C7"/>
    <w:rsid w:val="FDE7330F"/>
    <w:rsid w:val="FDEB3DFF"/>
    <w:rsid w:val="FDEB9D10"/>
    <w:rsid w:val="FDECD6F2"/>
    <w:rsid w:val="FDEDC709"/>
    <w:rsid w:val="FDEF56BA"/>
    <w:rsid w:val="FDF2B6F1"/>
    <w:rsid w:val="FDF36DC7"/>
    <w:rsid w:val="FDF63529"/>
    <w:rsid w:val="FDF74124"/>
    <w:rsid w:val="FDF75B62"/>
    <w:rsid w:val="FDFB2A11"/>
    <w:rsid w:val="FDFD2422"/>
    <w:rsid w:val="FDFD9D19"/>
    <w:rsid w:val="FDFDE6BA"/>
    <w:rsid w:val="FDFEA790"/>
    <w:rsid w:val="FDFF7EAF"/>
    <w:rsid w:val="FDFF94C4"/>
    <w:rsid w:val="FDFFE98A"/>
    <w:rsid w:val="FE1FE7D7"/>
    <w:rsid w:val="FE36DAA5"/>
    <w:rsid w:val="FE53CFCF"/>
    <w:rsid w:val="FE7D59FF"/>
    <w:rsid w:val="FE7E4CB6"/>
    <w:rsid w:val="FE7F97BA"/>
    <w:rsid w:val="FE9B7309"/>
    <w:rsid w:val="FE9EA74D"/>
    <w:rsid w:val="FE9FDBD7"/>
    <w:rsid w:val="FEABB1FD"/>
    <w:rsid w:val="FEB772AB"/>
    <w:rsid w:val="FED94C7D"/>
    <w:rsid w:val="FEDF20A8"/>
    <w:rsid w:val="FEE7520C"/>
    <w:rsid w:val="FEE7C03F"/>
    <w:rsid w:val="FEECB418"/>
    <w:rsid w:val="FEEF16D9"/>
    <w:rsid w:val="FEEF310D"/>
    <w:rsid w:val="FEF7557B"/>
    <w:rsid w:val="FEF8EB3B"/>
    <w:rsid w:val="FEFCF7D4"/>
    <w:rsid w:val="FEFD7249"/>
    <w:rsid w:val="FEFE6B30"/>
    <w:rsid w:val="FEFF4BB5"/>
    <w:rsid w:val="FF2B7C5F"/>
    <w:rsid w:val="FF2D0EBC"/>
    <w:rsid w:val="FF372FFF"/>
    <w:rsid w:val="FF3A91E1"/>
    <w:rsid w:val="FF3FBE0C"/>
    <w:rsid w:val="FF5509FB"/>
    <w:rsid w:val="FF5757B8"/>
    <w:rsid w:val="FF5F2F33"/>
    <w:rsid w:val="FF63452B"/>
    <w:rsid w:val="FF6B77E7"/>
    <w:rsid w:val="FF6F8271"/>
    <w:rsid w:val="FF6FC3D0"/>
    <w:rsid w:val="FF7753CC"/>
    <w:rsid w:val="FF77A231"/>
    <w:rsid w:val="FF7D6919"/>
    <w:rsid w:val="FF7F23FD"/>
    <w:rsid w:val="FF7F32C1"/>
    <w:rsid w:val="FF7F5935"/>
    <w:rsid w:val="FF7F68AE"/>
    <w:rsid w:val="FF7F7A0B"/>
    <w:rsid w:val="FF7F7BA5"/>
    <w:rsid w:val="FF7F97B9"/>
    <w:rsid w:val="FF8FAA62"/>
    <w:rsid w:val="FF8FB52A"/>
    <w:rsid w:val="FF940639"/>
    <w:rsid w:val="FF9B26FD"/>
    <w:rsid w:val="FFA5E8BF"/>
    <w:rsid w:val="FFAE5AAE"/>
    <w:rsid w:val="FFAF258A"/>
    <w:rsid w:val="FFAF41C6"/>
    <w:rsid w:val="FFAFC2A5"/>
    <w:rsid w:val="FFAFE52E"/>
    <w:rsid w:val="FFB2807B"/>
    <w:rsid w:val="FFB7AD4D"/>
    <w:rsid w:val="FFBD3C71"/>
    <w:rsid w:val="FFBE0ACA"/>
    <w:rsid w:val="FFBEB288"/>
    <w:rsid w:val="FFBF4905"/>
    <w:rsid w:val="FFBF6738"/>
    <w:rsid w:val="FFBF8D58"/>
    <w:rsid w:val="FFC2A09D"/>
    <w:rsid w:val="FFC7DDBF"/>
    <w:rsid w:val="FFCB4822"/>
    <w:rsid w:val="FFCE12C2"/>
    <w:rsid w:val="FFCF2151"/>
    <w:rsid w:val="FFCFFEFE"/>
    <w:rsid w:val="FFD36876"/>
    <w:rsid w:val="FFD6FE28"/>
    <w:rsid w:val="FFD97AF0"/>
    <w:rsid w:val="FFDDEB4A"/>
    <w:rsid w:val="FFDF2B71"/>
    <w:rsid w:val="FFDF65FC"/>
    <w:rsid w:val="FFDF79E6"/>
    <w:rsid w:val="FFDF82FC"/>
    <w:rsid w:val="FFDFCCA9"/>
    <w:rsid w:val="FFDFD518"/>
    <w:rsid w:val="FFDFDAB5"/>
    <w:rsid w:val="FFDFE918"/>
    <w:rsid w:val="FFE3CB32"/>
    <w:rsid w:val="FFE75944"/>
    <w:rsid w:val="FFE940FA"/>
    <w:rsid w:val="FFE9E2B2"/>
    <w:rsid w:val="FFEA3193"/>
    <w:rsid w:val="FFEB7173"/>
    <w:rsid w:val="FFEBF2A3"/>
    <w:rsid w:val="FFEC6AC9"/>
    <w:rsid w:val="FFED513F"/>
    <w:rsid w:val="FFEDEFE3"/>
    <w:rsid w:val="FFEF28CC"/>
    <w:rsid w:val="FFEF8DD2"/>
    <w:rsid w:val="FFF15A00"/>
    <w:rsid w:val="FFF39CAC"/>
    <w:rsid w:val="FFF67C4B"/>
    <w:rsid w:val="FFF71217"/>
    <w:rsid w:val="FFF71AB4"/>
    <w:rsid w:val="FFF721F4"/>
    <w:rsid w:val="FFF9166F"/>
    <w:rsid w:val="FFF9F249"/>
    <w:rsid w:val="FFFA0E8C"/>
    <w:rsid w:val="FFFA551F"/>
    <w:rsid w:val="FFFC5155"/>
    <w:rsid w:val="FFFCBBC5"/>
    <w:rsid w:val="FFFD7161"/>
    <w:rsid w:val="FFFD7DAB"/>
    <w:rsid w:val="FFFD8445"/>
    <w:rsid w:val="FFFE50EF"/>
    <w:rsid w:val="FFFE612D"/>
    <w:rsid w:val="FFFE94BE"/>
    <w:rsid w:val="FFFF0927"/>
    <w:rsid w:val="FFFF0E25"/>
    <w:rsid w:val="FFFF0E34"/>
    <w:rsid w:val="FFFF72D0"/>
    <w:rsid w:val="FFFF77C1"/>
    <w:rsid w:val="FFFFB04E"/>
    <w:rsid w:val="FFFFC286"/>
    <w:rsid w:val="FFFFD8F8"/>
    <w:rsid w:val="FFFFDB02"/>
    <w:rsid w:val="FFFFE83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1"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line="588" w:lineRule="exact"/>
      <w:ind w:firstLine="200" w:firstLineChars="200"/>
      <w:jc w:val="both"/>
    </w:pPr>
    <w:rPr>
      <w:rFonts w:ascii="宋体" w:hAnsi="宋体" w:eastAsia="仿宋_GB2312" w:cs="Times New Roman"/>
      <w:kern w:val="2"/>
      <w:sz w:val="32"/>
      <w:szCs w:val="22"/>
      <w:lang w:val="en-US" w:eastAsia="zh-CN" w:bidi="ar-SA"/>
    </w:rPr>
  </w:style>
  <w:style w:type="paragraph" w:styleId="2">
    <w:name w:val="heading 1"/>
    <w:next w:val="1"/>
    <w:link w:val="40"/>
    <w:qFormat/>
    <w:uiPriority w:val="9"/>
    <w:pPr>
      <w:keepNext/>
      <w:keepLines/>
      <w:numPr>
        <w:ilvl w:val="0"/>
        <w:numId w:val="1"/>
      </w:numPr>
      <w:adjustRightInd w:val="0"/>
      <w:snapToGrid w:val="0"/>
      <w:spacing w:before="489" w:after="489"/>
      <w:ind w:left="0"/>
      <w:jc w:val="center"/>
      <w:outlineLvl w:val="0"/>
    </w:pPr>
    <w:rPr>
      <w:rFonts w:ascii="方正小标宋简体" w:hAnsi="方正小标宋简体" w:eastAsia="方正小标宋简体" w:cs="方正小标宋简体"/>
      <w:bCs/>
      <w:kern w:val="44"/>
      <w:sz w:val="36"/>
      <w:szCs w:val="36"/>
      <w:lang w:val="en-US" w:eastAsia="zh-CN" w:bidi="ar-SA"/>
    </w:rPr>
  </w:style>
  <w:style w:type="paragraph" w:styleId="3">
    <w:name w:val="heading 2"/>
    <w:next w:val="1"/>
    <w:link w:val="41"/>
    <w:qFormat/>
    <w:uiPriority w:val="9"/>
    <w:pPr>
      <w:keepNext/>
      <w:keepLines/>
      <w:numPr>
        <w:ilvl w:val="1"/>
        <w:numId w:val="1"/>
      </w:numPr>
      <w:adjustRightInd w:val="0"/>
      <w:snapToGrid w:val="0"/>
      <w:spacing w:before="200" w:after="200"/>
      <w:ind w:left="0"/>
      <w:jc w:val="center"/>
      <w:outlineLvl w:val="1"/>
    </w:pPr>
    <w:rPr>
      <w:rFonts w:ascii="黑体" w:hAnsi="Cambria" w:eastAsia="黑体" w:cs="Times New Roman"/>
      <w:bCs/>
      <w:kern w:val="2"/>
      <w:sz w:val="32"/>
      <w:szCs w:val="30"/>
      <w:lang w:val="en-US" w:eastAsia="zh-CN" w:bidi="ar-SA"/>
    </w:rPr>
  </w:style>
  <w:style w:type="paragraph" w:styleId="4">
    <w:name w:val="heading 3"/>
    <w:next w:val="1"/>
    <w:link w:val="42"/>
    <w:qFormat/>
    <w:uiPriority w:val="9"/>
    <w:pPr>
      <w:keepNext/>
      <w:keepLines/>
      <w:numPr>
        <w:ilvl w:val="0"/>
        <w:numId w:val="2"/>
      </w:numPr>
      <w:adjustRightInd w:val="0"/>
      <w:snapToGrid w:val="0"/>
      <w:spacing w:before="195" w:after="195" w:line="588" w:lineRule="exact"/>
      <w:ind w:left="567" w:firstLine="0"/>
      <w:outlineLvl w:val="2"/>
    </w:pPr>
    <w:rPr>
      <w:rFonts w:ascii="楷体" w:hAnsi="楷体" w:eastAsia="楷体" w:cs="楷体"/>
      <w:bCs/>
      <w:kern w:val="2"/>
      <w:sz w:val="32"/>
      <w:szCs w:val="32"/>
      <w:lang w:val="en-US" w:eastAsia="zh-CN" w:bidi="ar-SA"/>
    </w:rPr>
  </w:style>
  <w:style w:type="paragraph" w:styleId="5">
    <w:name w:val="heading 4"/>
    <w:next w:val="1"/>
    <w:link w:val="43"/>
    <w:qFormat/>
    <w:uiPriority w:val="9"/>
    <w:pPr>
      <w:keepNext/>
      <w:keepLines/>
      <w:numPr>
        <w:ilvl w:val="3"/>
        <w:numId w:val="1"/>
      </w:numPr>
      <w:adjustRightInd w:val="0"/>
      <w:snapToGrid w:val="0"/>
      <w:spacing w:line="560" w:lineRule="exact"/>
      <w:ind w:left="0" w:firstLine="200" w:firstLineChars="200"/>
      <w:outlineLvl w:val="3"/>
    </w:pPr>
    <w:rPr>
      <w:rFonts w:ascii="仿宋_GB2312" w:hAnsi="仿宋_GB2312" w:eastAsia="仿宋_GB2312" w:cs="仿宋_GB2312"/>
      <w:bCs/>
      <w:kern w:val="2"/>
      <w:sz w:val="32"/>
      <w:szCs w:val="32"/>
      <w:lang w:val="en-US" w:eastAsia="zh-CN" w:bidi="ar-SA"/>
    </w:rPr>
  </w:style>
  <w:style w:type="paragraph" w:styleId="6">
    <w:name w:val="heading 5"/>
    <w:basedOn w:val="5"/>
    <w:next w:val="1"/>
    <w:link w:val="44"/>
    <w:qFormat/>
    <w:uiPriority w:val="9"/>
    <w:pPr>
      <w:numPr>
        <w:ilvl w:val="4"/>
      </w:numPr>
      <w:outlineLvl w:val="4"/>
    </w:pPr>
  </w:style>
  <w:style w:type="paragraph" w:styleId="7">
    <w:name w:val="heading 6"/>
    <w:basedOn w:val="1"/>
    <w:next w:val="1"/>
    <w:link w:val="45"/>
    <w:qFormat/>
    <w:uiPriority w:val="9"/>
    <w:pPr>
      <w:keepNext/>
      <w:keepLines/>
      <w:spacing w:before="240" w:after="64" w:line="320" w:lineRule="auto"/>
      <w:ind w:firstLine="0" w:firstLineChars="0"/>
      <w:outlineLvl w:val="5"/>
    </w:pPr>
    <w:rPr>
      <w:rFonts w:ascii="Cambria" w:hAnsi="Cambria"/>
      <w:b/>
      <w:bCs/>
      <w:szCs w:val="24"/>
    </w:rPr>
  </w:style>
  <w:style w:type="paragraph" w:styleId="8">
    <w:name w:val="heading 7"/>
    <w:basedOn w:val="1"/>
    <w:next w:val="1"/>
    <w:link w:val="46"/>
    <w:qFormat/>
    <w:uiPriority w:val="9"/>
    <w:pPr>
      <w:keepNext/>
      <w:keepLines/>
      <w:spacing w:before="240" w:after="64" w:line="320" w:lineRule="auto"/>
      <w:ind w:firstLine="0" w:firstLineChars="0"/>
      <w:outlineLvl w:val="6"/>
    </w:pPr>
    <w:rPr>
      <w:b/>
      <w:bCs/>
      <w:szCs w:val="24"/>
    </w:rPr>
  </w:style>
  <w:style w:type="paragraph" w:styleId="9">
    <w:name w:val="heading 8"/>
    <w:basedOn w:val="1"/>
    <w:next w:val="1"/>
    <w:link w:val="47"/>
    <w:qFormat/>
    <w:uiPriority w:val="9"/>
    <w:pPr>
      <w:keepNext/>
      <w:keepLines/>
      <w:numPr>
        <w:ilvl w:val="7"/>
        <w:numId w:val="1"/>
      </w:numPr>
      <w:spacing w:before="240" w:after="64" w:line="320" w:lineRule="auto"/>
      <w:ind w:firstLine="0" w:firstLineChars="0"/>
      <w:outlineLvl w:val="7"/>
    </w:pPr>
    <w:rPr>
      <w:rFonts w:ascii="Cambria" w:hAnsi="Cambria"/>
      <w:szCs w:val="24"/>
    </w:rPr>
  </w:style>
  <w:style w:type="paragraph" w:styleId="10">
    <w:name w:val="heading 9"/>
    <w:basedOn w:val="1"/>
    <w:next w:val="1"/>
    <w:link w:val="48"/>
    <w:qFormat/>
    <w:uiPriority w:val="9"/>
    <w:pPr>
      <w:keepNext/>
      <w:keepLines/>
      <w:numPr>
        <w:ilvl w:val="8"/>
        <w:numId w:val="1"/>
      </w:numPr>
      <w:spacing w:before="240" w:after="64" w:line="320" w:lineRule="auto"/>
      <w:ind w:firstLine="0" w:firstLineChars="0"/>
      <w:outlineLvl w:val="8"/>
    </w:pPr>
    <w:rPr>
      <w:rFonts w:ascii="Cambria" w:hAnsi="Cambria"/>
      <w:szCs w:val="21"/>
    </w:rPr>
  </w:style>
  <w:style w:type="character" w:default="1" w:styleId="32">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widowControl w:val="0"/>
      <w:adjustRightInd/>
      <w:snapToGrid/>
      <w:spacing w:line="240" w:lineRule="auto"/>
      <w:ind w:left="2520" w:leftChars="1200" w:firstLine="0" w:firstLineChars="0"/>
    </w:pPr>
    <w:rPr>
      <w:rFonts w:asciiTheme="minorHAnsi" w:hAnsiTheme="minorHAnsi" w:eastAsiaTheme="minorEastAsia" w:cstheme="minorBidi"/>
      <w:sz w:val="21"/>
    </w:rPr>
  </w:style>
  <w:style w:type="paragraph" w:styleId="12">
    <w:name w:val="caption"/>
    <w:basedOn w:val="1"/>
    <w:next w:val="1"/>
    <w:link w:val="95"/>
    <w:qFormat/>
    <w:uiPriority w:val="35"/>
    <w:pPr>
      <w:widowControl w:val="0"/>
      <w:adjustRightInd/>
      <w:snapToGrid/>
    </w:pPr>
    <w:rPr>
      <w:rFonts w:ascii="等线 Light" w:hAnsi="等线 Light" w:eastAsia="黑体"/>
      <w:sz w:val="20"/>
      <w:szCs w:val="20"/>
    </w:rPr>
  </w:style>
  <w:style w:type="paragraph" w:styleId="13">
    <w:name w:val="annotation text"/>
    <w:basedOn w:val="1"/>
    <w:link w:val="65"/>
    <w:unhideWhenUsed/>
    <w:qFormat/>
    <w:uiPriority w:val="99"/>
    <w:pPr>
      <w:jc w:val="left"/>
    </w:pPr>
  </w:style>
  <w:style w:type="paragraph" w:styleId="14">
    <w:name w:val="Body Text"/>
    <w:basedOn w:val="1"/>
    <w:link w:val="80"/>
    <w:unhideWhenUsed/>
    <w:qFormat/>
    <w:uiPriority w:val="1"/>
    <w:pPr>
      <w:widowControl w:val="0"/>
      <w:spacing w:after="120"/>
    </w:pPr>
    <w:rPr>
      <w:rFonts w:ascii="Times New Roman"/>
      <w:sz w:val="28"/>
      <w:szCs w:val="24"/>
    </w:rPr>
  </w:style>
  <w:style w:type="paragraph" w:styleId="15">
    <w:name w:val="Body Text Indent"/>
    <w:basedOn w:val="1"/>
    <w:link w:val="75"/>
    <w:unhideWhenUsed/>
    <w:qFormat/>
    <w:uiPriority w:val="99"/>
    <w:pPr>
      <w:spacing w:after="120"/>
      <w:ind w:left="420" w:leftChars="200"/>
    </w:pPr>
  </w:style>
  <w:style w:type="paragraph" w:styleId="16">
    <w:name w:val="toc 5"/>
    <w:basedOn w:val="1"/>
    <w:next w:val="1"/>
    <w:unhideWhenUsed/>
    <w:qFormat/>
    <w:uiPriority w:val="39"/>
    <w:pPr>
      <w:widowControl w:val="0"/>
      <w:adjustRightInd/>
      <w:snapToGrid/>
      <w:spacing w:line="240" w:lineRule="auto"/>
      <w:ind w:left="1680" w:leftChars="800" w:firstLine="0" w:firstLineChars="0"/>
    </w:pPr>
    <w:rPr>
      <w:rFonts w:asciiTheme="minorHAnsi" w:hAnsiTheme="minorHAnsi" w:eastAsiaTheme="minorEastAsia" w:cstheme="minorBidi"/>
      <w:sz w:val="21"/>
    </w:rPr>
  </w:style>
  <w:style w:type="paragraph" w:styleId="17">
    <w:name w:val="toc 3"/>
    <w:next w:val="1"/>
    <w:unhideWhenUsed/>
    <w:qFormat/>
    <w:uiPriority w:val="39"/>
    <w:pPr>
      <w:adjustRightInd w:val="0"/>
      <w:snapToGrid w:val="0"/>
      <w:spacing w:before="50" w:beforeLines="50" w:after="50" w:afterLines="50"/>
      <w:ind w:left="680"/>
      <w:jc w:val="both"/>
    </w:pPr>
    <w:rPr>
      <w:rFonts w:ascii="等线" w:hAnsi="等线" w:eastAsia="黑体" w:cs="Times New Roman"/>
      <w:sz w:val="24"/>
      <w:szCs w:val="22"/>
      <w:lang w:val="en-US" w:eastAsia="zh-CN" w:bidi="ar-SA"/>
    </w:rPr>
  </w:style>
  <w:style w:type="paragraph" w:styleId="18">
    <w:name w:val="toc 8"/>
    <w:basedOn w:val="1"/>
    <w:next w:val="1"/>
    <w:unhideWhenUsed/>
    <w:qFormat/>
    <w:uiPriority w:val="39"/>
    <w:pPr>
      <w:widowControl w:val="0"/>
      <w:adjustRightInd/>
      <w:snapToGrid/>
      <w:spacing w:line="240" w:lineRule="auto"/>
      <w:ind w:left="2940" w:leftChars="1400" w:firstLine="0" w:firstLineChars="0"/>
    </w:pPr>
    <w:rPr>
      <w:rFonts w:asciiTheme="minorHAnsi" w:hAnsiTheme="minorHAnsi" w:eastAsiaTheme="minorEastAsia" w:cstheme="minorBidi"/>
      <w:sz w:val="21"/>
    </w:rPr>
  </w:style>
  <w:style w:type="paragraph" w:styleId="19">
    <w:name w:val="Balloon Text"/>
    <w:basedOn w:val="1"/>
    <w:link w:val="70"/>
    <w:unhideWhenUsed/>
    <w:qFormat/>
    <w:uiPriority w:val="99"/>
    <w:pPr>
      <w:widowControl w:val="0"/>
      <w:adjustRightInd/>
      <w:snapToGrid/>
      <w:spacing w:afterLines="50" w:line="240" w:lineRule="auto"/>
      <w:ind w:firstLine="480"/>
    </w:pPr>
    <w:rPr>
      <w:rFonts w:asciiTheme="minorHAnsi" w:hAnsiTheme="minorHAnsi" w:eastAsiaTheme="minorEastAsia" w:cstheme="minorBidi"/>
      <w:sz w:val="18"/>
      <w:szCs w:val="18"/>
    </w:rPr>
  </w:style>
  <w:style w:type="paragraph" w:styleId="20">
    <w:name w:val="footer"/>
    <w:basedOn w:val="1"/>
    <w:link w:val="51"/>
    <w:unhideWhenUsed/>
    <w:qFormat/>
    <w:uiPriority w:val="99"/>
    <w:pPr>
      <w:tabs>
        <w:tab w:val="center" w:pos="4153"/>
        <w:tab w:val="right" w:pos="8306"/>
      </w:tabs>
      <w:jc w:val="left"/>
    </w:pPr>
    <w:rPr>
      <w:rFonts w:asciiTheme="minorHAnsi" w:hAnsiTheme="minorHAnsi" w:eastAsiaTheme="minorEastAsia" w:cstheme="minorBidi"/>
      <w:sz w:val="18"/>
      <w:szCs w:val="18"/>
    </w:rPr>
  </w:style>
  <w:style w:type="paragraph" w:styleId="21">
    <w:name w:val="header"/>
    <w:link w:val="58"/>
    <w:unhideWhenUsed/>
    <w:qFormat/>
    <w:uiPriority w:val="99"/>
    <w:pPr>
      <w:pBdr>
        <w:bottom w:val="single" w:color="auto" w:sz="6" w:space="1"/>
      </w:pBdr>
      <w:adjustRightInd w:val="0"/>
      <w:snapToGrid w:val="0"/>
    </w:pPr>
    <w:rPr>
      <w:rFonts w:ascii="宋体" w:eastAsia="宋体" w:hAnsiTheme="minorHAnsi" w:cstheme="minorBidi"/>
      <w:kern w:val="2"/>
      <w:sz w:val="18"/>
      <w:szCs w:val="18"/>
      <w:lang w:val="en-US" w:eastAsia="zh-CN" w:bidi="ar-SA"/>
    </w:rPr>
  </w:style>
  <w:style w:type="paragraph" w:styleId="22">
    <w:name w:val="toc 1"/>
    <w:next w:val="1"/>
    <w:unhideWhenUsed/>
    <w:qFormat/>
    <w:uiPriority w:val="39"/>
    <w:pPr>
      <w:adjustRightInd w:val="0"/>
      <w:snapToGrid w:val="0"/>
      <w:spacing w:line="500" w:lineRule="exact"/>
      <w:jc w:val="both"/>
    </w:pPr>
    <w:rPr>
      <w:rFonts w:ascii="楷体" w:hAnsi="楷体" w:eastAsia="楷体" w:cs="楷体"/>
      <w:b/>
      <w:sz w:val="32"/>
      <w:szCs w:val="32"/>
      <w:lang w:val="en-US" w:eastAsia="zh-CN" w:bidi="ar-SA"/>
    </w:rPr>
  </w:style>
  <w:style w:type="paragraph" w:styleId="23">
    <w:name w:val="toc 4"/>
    <w:basedOn w:val="1"/>
    <w:next w:val="1"/>
    <w:unhideWhenUsed/>
    <w:qFormat/>
    <w:uiPriority w:val="39"/>
    <w:pPr>
      <w:widowControl w:val="0"/>
      <w:adjustRightInd/>
      <w:snapToGrid/>
      <w:spacing w:line="240" w:lineRule="auto"/>
      <w:ind w:left="1260" w:leftChars="600" w:firstLine="0" w:firstLineChars="0"/>
    </w:pPr>
    <w:rPr>
      <w:rFonts w:asciiTheme="minorHAnsi" w:hAnsiTheme="minorHAnsi" w:eastAsiaTheme="minorEastAsia" w:cstheme="minorBidi"/>
      <w:sz w:val="21"/>
    </w:rPr>
  </w:style>
  <w:style w:type="paragraph" w:styleId="24">
    <w:name w:val="toc 6"/>
    <w:basedOn w:val="1"/>
    <w:next w:val="1"/>
    <w:unhideWhenUsed/>
    <w:qFormat/>
    <w:uiPriority w:val="39"/>
    <w:pPr>
      <w:widowControl w:val="0"/>
      <w:adjustRightInd/>
      <w:snapToGrid/>
      <w:spacing w:line="240" w:lineRule="auto"/>
      <w:ind w:left="2100" w:leftChars="1000" w:firstLine="0" w:firstLineChars="0"/>
    </w:pPr>
    <w:rPr>
      <w:rFonts w:asciiTheme="minorHAnsi" w:hAnsiTheme="minorHAnsi" w:eastAsiaTheme="minorEastAsia" w:cstheme="minorBidi"/>
      <w:sz w:val="21"/>
    </w:rPr>
  </w:style>
  <w:style w:type="paragraph" w:styleId="25">
    <w:name w:val="toc 2"/>
    <w:next w:val="1"/>
    <w:unhideWhenUsed/>
    <w:qFormat/>
    <w:uiPriority w:val="39"/>
    <w:pPr>
      <w:adjustRightInd w:val="0"/>
      <w:snapToGrid w:val="0"/>
      <w:spacing w:line="500" w:lineRule="exact"/>
      <w:ind w:left="454"/>
      <w:jc w:val="both"/>
    </w:pPr>
    <w:rPr>
      <w:rFonts w:ascii="楷体" w:hAnsi="楷体" w:eastAsia="楷体" w:cs="楷体"/>
      <w:sz w:val="32"/>
      <w:szCs w:val="32"/>
      <w:lang w:val="en-US" w:eastAsia="zh-CN" w:bidi="ar-SA"/>
    </w:rPr>
  </w:style>
  <w:style w:type="paragraph" w:styleId="26">
    <w:name w:val="toc 9"/>
    <w:basedOn w:val="1"/>
    <w:next w:val="1"/>
    <w:unhideWhenUsed/>
    <w:qFormat/>
    <w:uiPriority w:val="39"/>
    <w:pPr>
      <w:widowControl w:val="0"/>
      <w:adjustRightInd/>
      <w:snapToGrid/>
      <w:spacing w:line="240" w:lineRule="auto"/>
      <w:ind w:left="3360" w:leftChars="1600" w:firstLine="0" w:firstLineChars="0"/>
    </w:pPr>
    <w:rPr>
      <w:rFonts w:asciiTheme="minorHAnsi" w:hAnsiTheme="minorHAnsi" w:eastAsiaTheme="minorEastAsia" w:cstheme="minorBidi"/>
      <w:sz w:val="21"/>
    </w:rPr>
  </w:style>
  <w:style w:type="paragraph" w:styleId="27">
    <w:name w:val="HTML Preformatted"/>
    <w:basedOn w:val="1"/>
    <w:link w:val="74"/>
    <w:unhideWhenUsed/>
    <w:qFormat/>
    <w:uiPriority w:val="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before="156" w:after="156" w:afterLines="50"/>
      <w:ind w:firstLine="480"/>
      <w:jc w:val="left"/>
    </w:pPr>
    <w:rPr>
      <w:rFonts w:hint="eastAsia"/>
      <w:kern w:val="0"/>
      <w:szCs w:val="24"/>
    </w:rPr>
  </w:style>
  <w:style w:type="paragraph" w:styleId="28">
    <w:name w:val="Normal (Web)"/>
    <w:basedOn w:val="1"/>
    <w:unhideWhenUsed/>
    <w:qFormat/>
    <w:uiPriority w:val="99"/>
    <w:pPr>
      <w:widowControl w:val="0"/>
      <w:adjustRightInd/>
      <w:snapToGrid/>
      <w:spacing w:afterLines="50"/>
      <w:ind w:firstLine="480"/>
      <w:jc w:val="left"/>
    </w:pPr>
    <w:rPr>
      <w:kern w:val="0"/>
    </w:rPr>
  </w:style>
  <w:style w:type="paragraph" w:styleId="29">
    <w:name w:val="annotation subject"/>
    <w:basedOn w:val="13"/>
    <w:next w:val="13"/>
    <w:link w:val="66"/>
    <w:unhideWhenUsed/>
    <w:qFormat/>
    <w:uiPriority w:val="99"/>
    <w:rPr>
      <w:b/>
      <w:bCs/>
    </w:rPr>
  </w:style>
  <w:style w:type="table" w:styleId="31">
    <w:name w:val="Table Grid"/>
    <w:basedOn w:val="30"/>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qFormat/>
    <w:uiPriority w:val="22"/>
    <w:rPr>
      <w:b/>
      <w:bCs/>
    </w:rPr>
  </w:style>
  <w:style w:type="character" w:styleId="34">
    <w:name w:val="FollowedHyperlink"/>
    <w:basedOn w:val="32"/>
    <w:semiHidden/>
    <w:unhideWhenUsed/>
    <w:qFormat/>
    <w:uiPriority w:val="99"/>
    <w:rPr>
      <w:color w:val="954F72"/>
      <w:u w:val="single"/>
    </w:rPr>
  </w:style>
  <w:style w:type="character" w:styleId="35">
    <w:name w:val="Emphasis"/>
    <w:qFormat/>
    <w:uiPriority w:val="20"/>
    <w:rPr>
      <w:i/>
      <w:iCs/>
    </w:rPr>
  </w:style>
  <w:style w:type="character" w:styleId="36">
    <w:name w:val="Hyperlink"/>
    <w:unhideWhenUsed/>
    <w:qFormat/>
    <w:uiPriority w:val="99"/>
    <w:rPr>
      <w:color w:val="0563C1"/>
      <w:u w:val="single"/>
    </w:rPr>
  </w:style>
  <w:style w:type="character" w:styleId="37">
    <w:name w:val="annotation reference"/>
    <w:unhideWhenUsed/>
    <w:qFormat/>
    <w:uiPriority w:val="99"/>
    <w:rPr>
      <w:sz w:val="21"/>
      <w:szCs w:val="21"/>
    </w:rPr>
  </w:style>
  <w:style w:type="character" w:customStyle="1" w:styleId="38">
    <w:name w:val="无间隔 字符"/>
    <w:link w:val="39"/>
    <w:qFormat/>
    <w:uiPriority w:val="1"/>
    <w:rPr>
      <w:sz w:val="24"/>
      <w:szCs w:val="32"/>
    </w:rPr>
  </w:style>
  <w:style w:type="paragraph" w:styleId="39">
    <w:name w:val="No Spacing"/>
    <w:link w:val="38"/>
    <w:qFormat/>
    <w:uiPriority w:val="1"/>
    <w:pPr>
      <w:widowControl w:val="0"/>
      <w:jc w:val="both"/>
    </w:pPr>
    <w:rPr>
      <w:rFonts w:asciiTheme="minorHAnsi" w:hAnsiTheme="minorHAnsi" w:eastAsiaTheme="minorEastAsia" w:cstheme="minorBidi"/>
      <w:kern w:val="2"/>
      <w:sz w:val="24"/>
      <w:szCs w:val="32"/>
      <w:lang w:val="en-US" w:eastAsia="zh-CN" w:bidi="ar-SA"/>
    </w:rPr>
  </w:style>
  <w:style w:type="character" w:customStyle="1" w:styleId="40">
    <w:name w:val="标题 1 字符"/>
    <w:basedOn w:val="32"/>
    <w:link w:val="2"/>
    <w:qFormat/>
    <w:uiPriority w:val="9"/>
    <w:rPr>
      <w:rFonts w:ascii="方正小标宋简体" w:hAnsi="方正小标宋简体" w:eastAsia="方正小标宋简体" w:cs="方正小标宋简体"/>
      <w:bCs/>
      <w:kern w:val="44"/>
      <w:sz w:val="36"/>
      <w:szCs w:val="36"/>
    </w:rPr>
  </w:style>
  <w:style w:type="character" w:customStyle="1" w:styleId="41">
    <w:name w:val="标题 2 字符"/>
    <w:basedOn w:val="32"/>
    <w:link w:val="3"/>
    <w:qFormat/>
    <w:uiPriority w:val="9"/>
    <w:rPr>
      <w:rFonts w:ascii="黑体" w:hAnsi="Cambria" w:eastAsia="黑体"/>
      <w:bCs/>
      <w:kern w:val="2"/>
      <w:sz w:val="32"/>
      <w:szCs w:val="30"/>
    </w:rPr>
  </w:style>
  <w:style w:type="character" w:customStyle="1" w:styleId="42">
    <w:name w:val="标题 3 字符"/>
    <w:basedOn w:val="32"/>
    <w:link w:val="4"/>
    <w:qFormat/>
    <w:uiPriority w:val="9"/>
    <w:rPr>
      <w:rFonts w:ascii="楷体" w:hAnsi="楷体" w:eastAsia="楷体" w:cs="楷体"/>
      <w:bCs/>
      <w:kern w:val="2"/>
      <w:sz w:val="32"/>
      <w:szCs w:val="32"/>
    </w:rPr>
  </w:style>
  <w:style w:type="character" w:customStyle="1" w:styleId="43">
    <w:name w:val="标题 4 字符"/>
    <w:basedOn w:val="32"/>
    <w:link w:val="5"/>
    <w:qFormat/>
    <w:uiPriority w:val="9"/>
    <w:rPr>
      <w:rFonts w:ascii="仿宋_GB2312" w:hAnsi="仿宋_GB2312" w:eastAsia="仿宋_GB2312" w:cs="仿宋_GB2312"/>
      <w:bCs/>
      <w:kern w:val="2"/>
      <w:sz w:val="32"/>
      <w:szCs w:val="32"/>
    </w:rPr>
  </w:style>
  <w:style w:type="character" w:customStyle="1" w:styleId="44">
    <w:name w:val="标题 5 字符"/>
    <w:basedOn w:val="32"/>
    <w:link w:val="6"/>
    <w:qFormat/>
    <w:uiPriority w:val="9"/>
    <w:rPr>
      <w:rFonts w:ascii="宋体" w:hAnsi="宋体"/>
      <w:b/>
      <w:bCs/>
      <w:kern w:val="2"/>
      <w:sz w:val="24"/>
      <w:szCs w:val="28"/>
    </w:rPr>
  </w:style>
  <w:style w:type="character" w:customStyle="1" w:styleId="45">
    <w:name w:val="标题 6 字符"/>
    <w:basedOn w:val="32"/>
    <w:link w:val="7"/>
    <w:qFormat/>
    <w:uiPriority w:val="9"/>
    <w:rPr>
      <w:rFonts w:ascii="Cambria" w:hAnsi="Cambria" w:eastAsia="宋体" w:cs="Times New Roman"/>
      <w:b/>
      <w:bCs/>
      <w:sz w:val="24"/>
      <w:szCs w:val="24"/>
    </w:rPr>
  </w:style>
  <w:style w:type="character" w:customStyle="1" w:styleId="46">
    <w:name w:val="标题 7 字符"/>
    <w:basedOn w:val="32"/>
    <w:link w:val="8"/>
    <w:qFormat/>
    <w:uiPriority w:val="9"/>
    <w:rPr>
      <w:rFonts w:ascii="Times New Roman" w:hAnsi="Times New Roman" w:eastAsia="宋体" w:cs="Times New Roman"/>
      <w:b/>
      <w:bCs/>
      <w:sz w:val="24"/>
      <w:szCs w:val="24"/>
    </w:rPr>
  </w:style>
  <w:style w:type="character" w:customStyle="1" w:styleId="47">
    <w:name w:val="标题 8 字符"/>
    <w:basedOn w:val="32"/>
    <w:link w:val="9"/>
    <w:qFormat/>
    <w:uiPriority w:val="9"/>
    <w:rPr>
      <w:rFonts w:ascii="Cambria" w:hAnsi="Cambria"/>
      <w:kern w:val="2"/>
      <w:sz w:val="24"/>
      <w:szCs w:val="24"/>
    </w:rPr>
  </w:style>
  <w:style w:type="character" w:customStyle="1" w:styleId="48">
    <w:name w:val="标题 9 字符"/>
    <w:basedOn w:val="32"/>
    <w:link w:val="10"/>
    <w:qFormat/>
    <w:uiPriority w:val="9"/>
    <w:rPr>
      <w:rFonts w:ascii="Cambria" w:hAnsi="Cambria"/>
      <w:kern w:val="2"/>
      <w:sz w:val="24"/>
      <w:szCs w:val="21"/>
    </w:rPr>
  </w:style>
  <w:style w:type="character" w:customStyle="1" w:styleId="49">
    <w:name w:val="表格正文 字符"/>
    <w:link w:val="50"/>
    <w:qFormat/>
    <w:uiPriority w:val="0"/>
    <w:rPr>
      <w:rFonts w:ascii="仿宋_GB2312" w:hAnsi="仿宋_GB2312" w:eastAsia="仿宋_GB2312" w:cs="仿宋_GB2312"/>
      <w:kern w:val="2"/>
      <w:sz w:val="24"/>
      <w:szCs w:val="22"/>
    </w:rPr>
  </w:style>
  <w:style w:type="paragraph" w:customStyle="1" w:styleId="50">
    <w:name w:val="表格正文"/>
    <w:link w:val="49"/>
    <w:qFormat/>
    <w:uiPriority w:val="0"/>
    <w:pPr>
      <w:adjustRightInd w:val="0"/>
      <w:snapToGrid w:val="0"/>
      <w:spacing w:line="500" w:lineRule="exact"/>
      <w:ind w:firstLine="200" w:firstLineChars="200"/>
    </w:pPr>
    <w:rPr>
      <w:rFonts w:ascii="仿宋_GB2312" w:hAnsi="仿宋_GB2312" w:eastAsia="仿宋_GB2312" w:cs="仿宋_GB2312"/>
      <w:kern w:val="2"/>
      <w:sz w:val="24"/>
      <w:szCs w:val="22"/>
      <w:lang w:val="en-US" w:eastAsia="zh-CN" w:bidi="ar-SA"/>
    </w:rPr>
  </w:style>
  <w:style w:type="character" w:customStyle="1" w:styleId="51">
    <w:name w:val="页脚 字符"/>
    <w:link w:val="20"/>
    <w:qFormat/>
    <w:uiPriority w:val="99"/>
    <w:rPr>
      <w:sz w:val="18"/>
      <w:szCs w:val="18"/>
    </w:rPr>
  </w:style>
  <w:style w:type="character" w:customStyle="1" w:styleId="52">
    <w:name w:val="页脚 字符1"/>
    <w:basedOn w:val="32"/>
    <w:semiHidden/>
    <w:qFormat/>
    <w:uiPriority w:val="99"/>
    <w:rPr>
      <w:rFonts w:ascii="Times New Roman" w:hAnsi="Times New Roman" w:eastAsia="宋体" w:cs="Times New Roman"/>
      <w:sz w:val="18"/>
      <w:szCs w:val="18"/>
    </w:rPr>
  </w:style>
  <w:style w:type="paragraph" w:customStyle="1" w:styleId="53">
    <w:name w:val="封面"/>
    <w:basedOn w:val="1"/>
    <w:link w:val="54"/>
    <w:qFormat/>
    <w:uiPriority w:val="0"/>
    <w:pPr>
      <w:spacing w:before="400" w:beforeLines="400"/>
      <w:ind w:firstLine="0" w:firstLineChars="0"/>
      <w:jc w:val="center"/>
    </w:pPr>
    <w:rPr>
      <w:rFonts w:ascii="黑体" w:eastAsia="黑体"/>
      <w:b/>
      <w:spacing w:val="80"/>
      <w:sz w:val="72"/>
      <w:szCs w:val="72"/>
    </w:rPr>
  </w:style>
  <w:style w:type="character" w:customStyle="1" w:styleId="54">
    <w:name w:val="封面 字符"/>
    <w:link w:val="53"/>
    <w:qFormat/>
    <w:uiPriority w:val="0"/>
    <w:rPr>
      <w:rFonts w:ascii="黑体" w:hAnsi="Times New Roman" w:eastAsia="黑体" w:cs="Times New Roman"/>
      <w:b/>
      <w:spacing w:val="80"/>
      <w:sz w:val="72"/>
      <w:szCs w:val="72"/>
    </w:rPr>
  </w:style>
  <w:style w:type="character" w:customStyle="1" w:styleId="55">
    <w:name w:val="明显强调1"/>
    <w:qFormat/>
    <w:uiPriority w:val="21"/>
    <w:rPr>
      <w:i/>
      <w:iCs/>
      <w:color w:val="4472C4"/>
    </w:rPr>
  </w:style>
  <w:style w:type="paragraph" w:customStyle="1" w:styleId="56">
    <w:name w:val="附表"/>
    <w:next w:val="1"/>
    <w:link w:val="57"/>
    <w:qFormat/>
    <w:uiPriority w:val="0"/>
    <w:pPr>
      <w:keepNext/>
      <w:pageBreakBefore/>
      <w:adjustRightInd w:val="0"/>
      <w:snapToGrid w:val="0"/>
      <w:spacing w:before="100" w:beforeLines="100"/>
      <w:jc w:val="both"/>
      <w:outlineLvl w:val="0"/>
    </w:pPr>
    <w:rPr>
      <w:rFonts w:ascii="黑体" w:hAnsi="Times New Roman" w:eastAsia="黑体" w:cs="Times New Roman"/>
      <w:b/>
      <w:bCs/>
      <w:kern w:val="44"/>
      <w:sz w:val="36"/>
      <w:szCs w:val="44"/>
      <w:lang w:val="en-US" w:eastAsia="zh-CN" w:bidi="ar-SA"/>
    </w:rPr>
  </w:style>
  <w:style w:type="character" w:customStyle="1" w:styleId="57">
    <w:name w:val="附表 字符"/>
    <w:link w:val="56"/>
    <w:qFormat/>
    <w:uiPriority w:val="0"/>
    <w:rPr>
      <w:rFonts w:ascii="黑体" w:hAnsi="Times New Roman" w:eastAsia="黑体" w:cs="Times New Roman"/>
      <w:b/>
      <w:bCs/>
      <w:kern w:val="44"/>
      <w:sz w:val="36"/>
      <w:szCs w:val="44"/>
    </w:rPr>
  </w:style>
  <w:style w:type="character" w:customStyle="1" w:styleId="58">
    <w:name w:val="页眉 字符"/>
    <w:link w:val="21"/>
    <w:qFormat/>
    <w:uiPriority w:val="99"/>
    <w:rPr>
      <w:rFonts w:ascii="宋体" w:eastAsia="宋体"/>
      <w:sz w:val="18"/>
      <w:szCs w:val="18"/>
    </w:rPr>
  </w:style>
  <w:style w:type="character" w:customStyle="1" w:styleId="59">
    <w:name w:val="页眉 字符1"/>
    <w:basedOn w:val="32"/>
    <w:semiHidden/>
    <w:qFormat/>
    <w:uiPriority w:val="99"/>
    <w:rPr>
      <w:rFonts w:ascii="Times New Roman" w:hAnsi="Times New Roman" w:eastAsia="宋体" w:cs="Times New Roman"/>
      <w:sz w:val="18"/>
      <w:szCs w:val="18"/>
    </w:rPr>
  </w:style>
  <w:style w:type="table" w:customStyle="1" w:styleId="60">
    <w:name w:val="样式1"/>
    <w:basedOn w:val="30"/>
    <w:qFormat/>
    <w:uiPriority w:val="99"/>
    <w:pPr>
      <w:adjustRightInd w:val="0"/>
      <w:snapToGrid w:val="0"/>
      <w:jc w:val="center"/>
    </w:pPr>
    <w:rPr>
      <w:rFonts w:ascii="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cantSplit/>
    </w:trPr>
    <w:tcPr>
      <w:vAlign w:val="center"/>
    </w:tcPr>
    <w:tblStylePr w:type="firstRow">
      <w:pPr>
        <w:keepNext/>
        <w:keepLines w:val="0"/>
        <w:pageBreakBefore w:val="0"/>
        <w:widowControl/>
        <w:suppressLineNumbers w:val="0"/>
        <w:suppressAutoHyphens w:val="0"/>
        <w:kinsoku/>
        <w:wordWrap/>
        <w:overflowPunct/>
        <w:topLinePunct w:val="0"/>
        <w:autoSpaceDE/>
        <w:autoSpaceDN/>
        <w:adjustRightInd w:val="0"/>
        <w:snapToGrid w:val="0"/>
        <w:contextualSpacing w:val="0"/>
        <w:jc w:val="center"/>
      </w:pPr>
      <w:rPr>
        <w:rFonts w:eastAsia="宋体"/>
        <w:b/>
        <w:sz w:val="21"/>
      </w:rPr>
      <w:tblPr/>
      <w:trPr>
        <w:tblHeader/>
      </w:trPr>
      <w:tcPr>
        <w:shd w:val="clear" w:color="auto" w:fill="BFBFBF"/>
      </w:tcPr>
    </w:tblStylePr>
  </w:style>
  <w:style w:type="paragraph" w:customStyle="1" w:styleId="61">
    <w:name w:val="TOC 标题1"/>
    <w:basedOn w:val="2"/>
    <w:next w:val="1"/>
    <w:qFormat/>
    <w:uiPriority w:val="39"/>
    <w:pPr>
      <w:numPr>
        <w:numId w:val="0"/>
      </w:numPr>
      <w:spacing w:beforeAutospacing="1"/>
      <w:outlineLvl w:val="9"/>
    </w:pPr>
    <w:rPr>
      <w:rFonts w:ascii="等线 Light" w:hAnsi="等线 Light"/>
      <w:b/>
      <w:bCs w:val="0"/>
      <w:kern w:val="0"/>
      <w:sz w:val="44"/>
      <w:szCs w:val="32"/>
    </w:rPr>
  </w:style>
  <w:style w:type="paragraph" w:customStyle="1" w:styleId="62">
    <w:name w:val="图名"/>
    <w:basedOn w:val="63"/>
    <w:next w:val="1"/>
    <w:link w:val="64"/>
    <w:qFormat/>
    <w:uiPriority w:val="0"/>
    <w:pPr>
      <w:keepNext w:val="0"/>
    </w:pPr>
  </w:style>
  <w:style w:type="paragraph" w:customStyle="1" w:styleId="63">
    <w:name w:val="表名"/>
    <w:next w:val="50"/>
    <w:link w:val="76"/>
    <w:qFormat/>
    <w:uiPriority w:val="0"/>
    <w:pPr>
      <w:keepNext/>
      <w:keepLines/>
      <w:numPr>
        <w:ilvl w:val="5"/>
        <w:numId w:val="1"/>
      </w:numPr>
      <w:adjustRightInd w:val="0"/>
      <w:snapToGrid w:val="0"/>
      <w:spacing w:before="100" w:beforeLines="100" w:after="50" w:afterLines="50"/>
      <w:outlineLvl w:val="1"/>
    </w:pPr>
    <w:rPr>
      <w:rFonts w:ascii="黑体" w:hAnsi="黑体" w:eastAsia="仿宋_GB2312" w:cs="Times New Roman"/>
      <w:b/>
      <w:bCs/>
      <w:kern w:val="44"/>
      <w:sz w:val="24"/>
      <w:szCs w:val="44"/>
      <w:lang w:val="en-US" w:eastAsia="zh-CN" w:bidi="ar-SA"/>
    </w:rPr>
  </w:style>
  <w:style w:type="character" w:customStyle="1" w:styleId="64">
    <w:name w:val="图名 字符"/>
    <w:link w:val="62"/>
    <w:qFormat/>
    <w:uiPriority w:val="0"/>
    <w:rPr>
      <w:rFonts w:ascii="黑体" w:hAnsi="黑体" w:eastAsia="黑体"/>
      <w:b/>
      <w:bCs/>
      <w:kern w:val="44"/>
      <w:sz w:val="28"/>
      <w:szCs w:val="44"/>
    </w:rPr>
  </w:style>
  <w:style w:type="character" w:customStyle="1" w:styleId="65">
    <w:name w:val="批注文字 字符"/>
    <w:basedOn w:val="32"/>
    <w:link w:val="13"/>
    <w:qFormat/>
    <w:uiPriority w:val="99"/>
    <w:rPr>
      <w:rFonts w:ascii="Times New Roman" w:hAnsi="Times New Roman" w:eastAsia="宋体" w:cs="Times New Roman"/>
      <w:sz w:val="24"/>
    </w:rPr>
  </w:style>
  <w:style w:type="character" w:customStyle="1" w:styleId="66">
    <w:name w:val="批注主题 字符"/>
    <w:basedOn w:val="65"/>
    <w:link w:val="29"/>
    <w:qFormat/>
    <w:uiPriority w:val="99"/>
    <w:rPr>
      <w:rFonts w:ascii="Times New Roman" w:hAnsi="Times New Roman" w:eastAsia="宋体" w:cs="Times New Roman"/>
      <w:b/>
      <w:bCs/>
      <w:sz w:val="24"/>
    </w:rPr>
  </w:style>
  <w:style w:type="paragraph" w:customStyle="1" w:styleId="67">
    <w:name w:val="图片"/>
    <w:next w:val="62"/>
    <w:link w:val="68"/>
    <w:qFormat/>
    <w:uiPriority w:val="0"/>
    <w:pPr>
      <w:keepNext/>
      <w:widowControl w:val="0"/>
      <w:adjustRightInd w:val="0"/>
      <w:snapToGrid w:val="0"/>
      <w:spacing w:before="100" w:beforeLines="100" w:after="50" w:afterLines="50"/>
      <w:jc w:val="center"/>
    </w:pPr>
    <w:rPr>
      <w:rFonts w:ascii="Times New Roman" w:hAnsi="Times New Roman" w:eastAsia="宋体" w:cs="Times New Roman"/>
      <w:kern w:val="2"/>
      <w:sz w:val="24"/>
      <w:szCs w:val="22"/>
      <w:lang w:val="en-US" w:eastAsia="zh-CN" w:bidi="ar-SA"/>
    </w:rPr>
  </w:style>
  <w:style w:type="character" w:customStyle="1" w:styleId="68">
    <w:name w:val="图片 字符"/>
    <w:link w:val="67"/>
    <w:qFormat/>
    <w:uiPriority w:val="0"/>
    <w:rPr>
      <w:rFonts w:ascii="Times New Roman" w:hAnsi="Times New Roman" w:eastAsia="宋体" w:cs="Times New Roman"/>
      <w:sz w:val="24"/>
    </w:rPr>
  </w:style>
  <w:style w:type="character" w:customStyle="1" w:styleId="69">
    <w:name w:val="正文文本首行缩进 字符"/>
    <w:semiHidden/>
    <w:qFormat/>
    <w:uiPriority w:val="99"/>
  </w:style>
  <w:style w:type="character" w:customStyle="1" w:styleId="70">
    <w:name w:val="批注框文本 字符"/>
    <w:link w:val="19"/>
    <w:qFormat/>
    <w:uiPriority w:val="99"/>
    <w:rPr>
      <w:sz w:val="18"/>
      <w:szCs w:val="18"/>
    </w:rPr>
  </w:style>
  <w:style w:type="character" w:customStyle="1" w:styleId="71">
    <w:name w:val="批注框文本 字符1"/>
    <w:basedOn w:val="32"/>
    <w:semiHidden/>
    <w:qFormat/>
    <w:uiPriority w:val="99"/>
    <w:rPr>
      <w:rFonts w:ascii="Times New Roman" w:hAnsi="Times New Roman" w:eastAsia="宋体" w:cs="Times New Roman"/>
      <w:sz w:val="18"/>
      <w:szCs w:val="18"/>
    </w:rPr>
  </w:style>
  <w:style w:type="paragraph" w:styleId="72">
    <w:name w:val="List Paragraph"/>
    <w:basedOn w:val="1"/>
    <w:link w:val="73"/>
    <w:qFormat/>
    <w:uiPriority w:val="34"/>
    <w:pPr>
      <w:widowControl w:val="0"/>
      <w:adjustRightInd/>
      <w:snapToGrid/>
      <w:ind w:firstLine="420"/>
    </w:pPr>
  </w:style>
  <w:style w:type="character" w:customStyle="1" w:styleId="73">
    <w:name w:val="列表段落 字符"/>
    <w:link w:val="72"/>
    <w:qFormat/>
    <w:uiPriority w:val="34"/>
    <w:rPr>
      <w:rFonts w:ascii="Times New Roman" w:hAnsi="Times New Roman" w:eastAsia="宋体" w:cs="Times New Roman"/>
      <w:sz w:val="24"/>
    </w:rPr>
  </w:style>
  <w:style w:type="character" w:customStyle="1" w:styleId="74">
    <w:name w:val="HTML 预设格式 字符"/>
    <w:basedOn w:val="32"/>
    <w:link w:val="27"/>
    <w:qFormat/>
    <w:uiPriority w:val="99"/>
    <w:rPr>
      <w:rFonts w:ascii="宋体" w:hAnsi="宋体" w:eastAsia="宋体" w:cs="Times New Roman"/>
      <w:kern w:val="0"/>
      <w:sz w:val="24"/>
      <w:szCs w:val="24"/>
    </w:rPr>
  </w:style>
  <w:style w:type="character" w:customStyle="1" w:styleId="75">
    <w:name w:val="正文文本缩进 字符"/>
    <w:basedOn w:val="32"/>
    <w:link w:val="15"/>
    <w:qFormat/>
    <w:uiPriority w:val="99"/>
    <w:rPr>
      <w:rFonts w:ascii="Times New Roman" w:hAnsi="Times New Roman" w:eastAsia="宋体" w:cs="Times New Roman"/>
      <w:sz w:val="24"/>
    </w:rPr>
  </w:style>
  <w:style w:type="character" w:customStyle="1" w:styleId="76">
    <w:name w:val="表名 字符"/>
    <w:basedOn w:val="64"/>
    <w:link w:val="63"/>
    <w:qFormat/>
    <w:uiPriority w:val="0"/>
    <w:rPr>
      <w:rFonts w:ascii="黑体" w:hAnsi="黑体" w:eastAsia="仿宋_GB2312"/>
      <w:kern w:val="44"/>
      <w:sz w:val="24"/>
      <w:szCs w:val="44"/>
    </w:rPr>
  </w:style>
  <w:style w:type="character" w:customStyle="1" w:styleId="77">
    <w:name w:val="未处理的提及1"/>
    <w:basedOn w:val="32"/>
    <w:semiHidden/>
    <w:unhideWhenUsed/>
    <w:qFormat/>
    <w:uiPriority w:val="99"/>
    <w:rPr>
      <w:color w:val="605E5C"/>
      <w:shd w:val="clear" w:color="auto" w:fill="E1DFDD"/>
    </w:rPr>
  </w:style>
  <w:style w:type="table" w:customStyle="1" w:styleId="78">
    <w:name w:val="网格型浅色1"/>
    <w:basedOn w:val="30"/>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character" w:customStyle="1" w:styleId="79">
    <w:name w:val="正文首行缩进 Char"/>
    <w:basedOn w:val="32"/>
    <w:qFormat/>
    <w:uiPriority w:val="0"/>
    <w:rPr>
      <w:rFonts w:hint="eastAsia" w:ascii="黑体" w:hAnsi="宋体" w:eastAsia="黑体" w:cs="黑体"/>
      <w:color w:val="000000"/>
      <w:kern w:val="2"/>
      <w:sz w:val="28"/>
      <w:szCs w:val="24"/>
      <w:lang w:val="en-US" w:eastAsia="zh-CN" w:bidi="ar"/>
    </w:rPr>
  </w:style>
  <w:style w:type="character" w:customStyle="1" w:styleId="80">
    <w:name w:val="正文文本 字符"/>
    <w:basedOn w:val="32"/>
    <w:link w:val="14"/>
    <w:qFormat/>
    <w:uiPriority w:val="0"/>
    <w:rPr>
      <w:rFonts w:hint="eastAsia" w:ascii="黑体" w:hAnsi="宋体" w:eastAsia="黑体" w:cs="黑体"/>
      <w:color w:val="000000"/>
      <w:kern w:val="2"/>
      <w:sz w:val="21"/>
      <w:szCs w:val="24"/>
      <w:lang w:val="en-US" w:eastAsia="zh-CN" w:bidi="ar"/>
    </w:rPr>
  </w:style>
  <w:style w:type="character" w:customStyle="1" w:styleId="81">
    <w:name w:val="正文01 字符"/>
    <w:basedOn w:val="32"/>
    <w:link w:val="82"/>
    <w:qFormat/>
    <w:uiPriority w:val="0"/>
    <w:rPr>
      <w:rFonts w:hint="eastAsia" w:ascii="宋体" w:hAnsi="宋体" w:eastAsia="宋体" w:cs="宋体"/>
      <w:kern w:val="2"/>
      <w:sz w:val="24"/>
      <w:szCs w:val="24"/>
    </w:rPr>
  </w:style>
  <w:style w:type="paragraph" w:customStyle="1" w:styleId="82">
    <w:name w:val="正文01"/>
    <w:basedOn w:val="1"/>
    <w:link w:val="81"/>
    <w:qFormat/>
    <w:uiPriority w:val="0"/>
    <w:pPr>
      <w:widowControl w:val="0"/>
      <w:ind w:firstLine="480"/>
    </w:pPr>
    <w:rPr>
      <w:rFonts w:hint="eastAsia"/>
      <w:szCs w:val="24"/>
    </w:rPr>
  </w:style>
  <w:style w:type="paragraph" w:customStyle="1" w:styleId="83">
    <w:name w:val="msonormal"/>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4">
    <w:name w:val="font5"/>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5">
    <w:name w:val="font6"/>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6">
    <w:name w:val="xl65"/>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7">
    <w:name w:val="xl66"/>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8">
    <w:name w:val="xl67"/>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9">
    <w:name w:val="xl68"/>
    <w:basedOn w:val="1"/>
    <w:qFormat/>
    <w:uiPriority w:val="0"/>
    <w:pP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90">
    <w:name w:val="4级要点"/>
    <w:next w:val="1"/>
    <w:qFormat/>
    <w:uiPriority w:val="0"/>
    <w:pPr>
      <w:keepNext/>
      <w:adjustRightInd w:val="0"/>
      <w:snapToGrid w:val="0"/>
      <w:spacing w:before="163" w:beforeLines="50" w:after="163" w:afterLines="50" w:line="360" w:lineRule="auto"/>
      <w:ind w:left="85" w:firstLine="340"/>
    </w:pPr>
    <w:rPr>
      <w:rFonts w:ascii="宋体" w:hAnsi="Times New Roman" w:eastAsia="宋体" w:cs="Times New Roman"/>
      <w:b/>
      <w:kern w:val="2"/>
      <w:sz w:val="24"/>
      <w:szCs w:val="22"/>
      <w:lang w:val="en-US" w:eastAsia="zh-CN" w:bidi="ar-SA"/>
    </w:rPr>
  </w:style>
  <w:style w:type="paragraph" w:customStyle="1" w:styleId="91">
    <w:name w:val="5级要点"/>
    <w:next w:val="1"/>
    <w:qFormat/>
    <w:uiPriority w:val="0"/>
    <w:pPr>
      <w:adjustRightInd w:val="0"/>
      <w:snapToGrid w:val="0"/>
      <w:spacing w:before="50" w:beforeLines="50" w:after="50" w:afterLines="50" w:line="360" w:lineRule="auto"/>
      <w:ind w:firstLine="567"/>
    </w:pPr>
    <w:rPr>
      <w:rFonts w:ascii="宋体" w:hAnsi="Times New Roman" w:eastAsia="宋体" w:cs="Times New Roman"/>
      <w:b/>
      <w:kern w:val="2"/>
      <w:sz w:val="24"/>
      <w:szCs w:val="22"/>
      <w:lang w:val="en-US" w:eastAsia="zh-CN" w:bidi="ar-SA"/>
    </w:rPr>
  </w:style>
  <w:style w:type="paragraph" w:customStyle="1" w:styleId="92">
    <w:name w:val="Default"/>
    <w:qFormat/>
    <w:uiPriority w:val="0"/>
    <w:pPr>
      <w:widowControl w:val="0"/>
      <w:autoSpaceDE w:val="0"/>
      <w:autoSpaceDN w:val="0"/>
      <w:adjustRightInd w:val="0"/>
    </w:pPr>
    <w:rPr>
      <w:rFonts w:ascii="黑体" w:hAnsi="黑体" w:eastAsia="宋体" w:cs="黑体"/>
      <w:color w:val="000000"/>
      <w:sz w:val="24"/>
      <w:szCs w:val="24"/>
      <w:lang w:val="en-US" w:eastAsia="zh-CN" w:bidi="ar-SA"/>
    </w:rPr>
  </w:style>
  <w:style w:type="character" w:customStyle="1" w:styleId="93">
    <w:name w:val="表 字符"/>
    <w:link w:val="94"/>
    <w:qFormat/>
    <w:locked/>
    <w:uiPriority w:val="0"/>
    <w:rPr>
      <w:rFonts w:ascii="宋体" w:hAnsi="宋体"/>
      <w:kern w:val="2"/>
      <w:sz w:val="21"/>
      <w:szCs w:val="21"/>
    </w:rPr>
  </w:style>
  <w:style w:type="paragraph" w:customStyle="1" w:styleId="94">
    <w:name w:val="表"/>
    <w:basedOn w:val="1"/>
    <w:link w:val="93"/>
    <w:qFormat/>
    <w:uiPriority w:val="0"/>
    <w:pPr>
      <w:widowControl w:val="0"/>
      <w:adjustRightInd/>
      <w:snapToGrid/>
      <w:spacing w:line="240" w:lineRule="auto"/>
      <w:ind w:firstLine="0" w:firstLineChars="0"/>
    </w:pPr>
    <w:rPr>
      <w:sz w:val="21"/>
      <w:szCs w:val="21"/>
    </w:rPr>
  </w:style>
  <w:style w:type="character" w:customStyle="1" w:styleId="95">
    <w:name w:val="题注 字符"/>
    <w:link w:val="12"/>
    <w:qFormat/>
    <w:locked/>
    <w:uiPriority w:val="35"/>
    <w:rPr>
      <w:rFonts w:ascii="等线 Light" w:hAnsi="等线 Light" w:eastAsia="黑体"/>
      <w:kern w:val="2"/>
    </w:rPr>
  </w:style>
  <w:style w:type="paragraph" w:customStyle="1" w:styleId="96">
    <w:name w:val="表格"/>
    <w:basedOn w:val="1"/>
    <w:link w:val="97"/>
    <w:qFormat/>
    <w:uiPriority w:val="0"/>
    <w:pPr>
      <w:widowControl w:val="0"/>
      <w:adjustRightInd/>
      <w:snapToGrid/>
      <w:spacing w:line="300" w:lineRule="exact"/>
      <w:ind w:firstLine="0" w:firstLineChars="0"/>
      <w:jc w:val="center"/>
    </w:pPr>
    <w:rPr>
      <w:sz w:val="21"/>
      <w:szCs w:val="21"/>
    </w:rPr>
  </w:style>
  <w:style w:type="character" w:customStyle="1" w:styleId="97">
    <w:name w:val="表格 Char"/>
    <w:link w:val="96"/>
    <w:qFormat/>
    <w:locked/>
    <w:uiPriority w:val="0"/>
    <w:rPr>
      <w:rFonts w:ascii="宋体" w:hAnsi="宋体" w:eastAsia="仿宋_GB2312"/>
      <w:kern w:val="2"/>
      <w:sz w:val="21"/>
      <w:szCs w:val="21"/>
    </w:rPr>
  </w:style>
  <w:style w:type="paragraph" w:customStyle="1" w:styleId="98">
    <w:name w:val="专栏标题"/>
    <w:basedOn w:val="1"/>
    <w:link w:val="99"/>
    <w:qFormat/>
    <w:uiPriority w:val="0"/>
    <w:pPr>
      <w:spacing w:line="500" w:lineRule="exact"/>
      <w:ind w:firstLine="0" w:firstLineChars="0"/>
      <w:jc w:val="center"/>
    </w:pPr>
    <w:rPr>
      <w:b/>
      <w:bCs/>
      <w:sz w:val="28"/>
      <w:szCs w:val="20"/>
    </w:rPr>
  </w:style>
  <w:style w:type="character" w:customStyle="1" w:styleId="99">
    <w:name w:val="专栏标题 字符"/>
    <w:basedOn w:val="32"/>
    <w:link w:val="98"/>
    <w:qFormat/>
    <w:uiPriority w:val="0"/>
    <w:rPr>
      <w:rFonts w:ascii="宋体" w:hAnsi="宋体" w:eastAsia="仿宋_GB2312"/>
      <w:b/>
      <w:bCs/>
      <w:kern w:val="2"/>
      <w:sz w:val="28"/>
    </w:rPr>
  </w:style>
  <w:style w:type="paragraph" w:customStyle="1" w:styleId="100">
    <w:name w:val="专栏文字"/>
    <w:basedOn w:val="1"/>
    <w:link w:val="102"/>
    <w:qFormat/>
    <w:uiPriority w:val="0"/>
    <w:pPr>
      <w:widowControl w:val="0"/>
      <w:ind w:firstLine="420"/>
    </w:pPr>
    <w:rPr>
      <w:rFonts w:ascii="Times New Roman" w:hAnsi="Times New Roman"/>
      <w:sz w:val="21"/>
      <w:szCs w:val="20"/>
    </w:rPr>
  </w:style>
  <w:style w:type="paragraph" w:customStyle="1" w:styleId="101">
    <w:name w:val="专栏内容"/>
    <w:basedOn w:val="1"/>
    <w:link w:val="103"/>
    <w:qFormat/>
    <w:uiPriority w:val="0"/>
    <w:pPr>
      <w:widowControl w:val="0"/>
      <w:ind w:firstLine="422"/>
    </w:pPr>
    <w:rPr>
      <w:rFonts w:ascii="Times New Roman" w:hAnsi="Times New Roman"/>
      <w:bCs/>
      <w:sz w:val="21"/>
      <w:szCs w:val="20"/>
    </w:rPr>
  </w:style>
  <w:style w:type="character" w:customStyle="1" w:styleId="102">
    <w:name w:val="专栏文字 字符"/>
    <w:basedOn w:val="32"/>
    <w:link w:val="100"/>
    <w:qFormat/>
    <w:uiPriority w:val="0"/>
    <w:rPr>
      <w:rFonts w:eastAsia="仿宋_GB2312"/>
      <w:kern w:val="2"/>
      <w:sz w:val="21"/>
    </w:rPr>
  </w:style>
  <w:style w:type="character" w:customStyle="1" w:styleId="103">
    <w:name w:val="专栏内容 字符"/>
    <w:basedOn w:val="32"/>
    <w:link w:val="101"/>
    <w:qFormat/>
    <w:uiPriority w:val="0"/>
    <w:rPr>
      <w:rFonts w:eastAsia="仿宋_GB2312"/>
      <w:bCs/>
      <w:kern w:val="2"/>
      <w:sz w:val="21"/>
    </w:rPr>
  </w:style>
  <w:style w:type="paragraph" w:customStyle="1" w:styleId="104">
    <w:name w:val="注脚"/>
    <w:basedOn w:val="1"/>
    <w:link w:val="105"/>
    <w:qFormat/>
    <w:uiPriority w:val="0"/>
    <w:pPr>
      <w:ind w:firstLine="0" w:firstLineChars="0"/>
    </w:pPr>
    <w:rPr>
      <w:rFonts w:ascii="楷体_GB2312" w:eastAsia="楷体_GB2312"/>
      <w:sz w:val="24"/>
      <w:szCs w:val="20"/>
    </w:rPr>
  </w:style>
  <w:style w:type="character" w:customStyle="1" w:styleId="105">
    <w:name w:val="注脚 字符"/>
    <w:basedOn w:val="32"/>
    <w:link w:val="104"/>
    <w:qFormat/>
    <w:uiPriority w:val="0"/>
    <w:rPr>
      <w:rFonts w:ascii="楷体_GB2312" w:hAnsi="宋体" w:eastAsia="楷体_GB2312"/>
      <w:kern w:val="2"/>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121</Pages>
  <Words>7426</Words>
  <Characters>42330</Characters>
  <Lines>352</Lines>
  <Paragraphs>99</Paragraphs>
  <TotalTime>3341</TotalTime>
  <ScaleCrop>false</ScaleCrop>
  <LinksUpToDate>false</LinksUpToDate>
  <CharactersWithSpaces>49657</CharactersWithSpaces>
  <Application>WPS Office_11.8.2.9980_F1E327BC-269C-435d-A152-05C5408002CA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2025-04-30T10:22:00Z</dcterms:created>
  <dc:creator>Lee wintersweet</dc:creator>
  <cp:lastModifiedBy>kylin</cp:lastModifiedBy>
  <cp:lastPrinted>2026-02-03T10:33:00Z</cp:lastPrinted>
  <dcterms:modified xsi:type="dcterms:W3CDTF">2026-02-05T15:51:41Z</dcterms:modified>
  <cp:revision>136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2052-11.8.2.9980</vt:lpwstr>
  </property>
  <property fmtid="{D5CDD505-2E9C-101B-9397-08002B2CF9AE}" pid="3" name="ICV">
    <vt:lpwstr>38E1466444224D0A93CE8049DB88D4EB</vt:lpwstr>
  </property>
</Properties>
</file>