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pPr>
    </w:p>
    <w:p>
      <w:pPr>
        <w:ind w:firstLine="640"/>
      </w:pPr>
    </w:p>
    <w:p>
      <w:pPr>
        <w:ind w:firstLine="640"/>
      </w:pPr>
    </w:p>
    <w:p>
      <w:pPr>
        <w:ind w:firstLine="640"/>
      </w:pPr>
    </w:p>
    <w:p>
      <w:pPr>
        <w:tabs>
          <w:tab w:val="left" w:pos="229"/>
          <w:tab w:val="center" w:pos="4264"/>
        </w:tabs>
        <w:spacing w:line="240" w:lineRule="auto"/>
        <w:ind w:firstLine="0" w:firstLineChars="0"/>
        <w:jc w:val="center"/>
        <w:rPr>
          <w:rFonts w:ascii="方正小标宋简体" w:hAnsi="黑体" w:eastAsia="方正小标宋简体"/>
          <w:bCs/>
          <w:sz w:val="48"/>
          <w:szCs w:val="48"/>
        </w:rPr>
      </w:pPr>
      <w:bookmarkStart w:id="130" w:name="_GoBack"/>
      <w:r>
        <w:rPr>
          <w:rFonts w:hint="eastAsia" w:ascii="方正小标宋简体" w:hAnsi="黑体" w:eastAsia="方正小标宋简体"/>
          <w:bCs/>
          <w:sz w:val="48"/>
          <w:szCs w:val="48"/>
        </w:rPr>
        <w:t>内乡县桃溪镇国土空间总体规划</w:t>
      </w:r>
    </w:p>
    <w:bookmarkEnd w:id="130"/>
    <w:p>
      <w:pPr>
        <w:widowControl w:val="0"/>
        <w:adjustRightInd/>
        <w:snapToGrid/>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（2021-2035年）</w:t>
      </w:r>
    </w:p>
    <w:p>
      <w:pPr>
        <w:spacing w:before="65"/>
        <w:ind w:firstLine="0" w:firstLineChars="0"/>
        <w:jc w:val="center"/>
        <w:rPr>
          <w:rFonts w:eastAsia="微软雅黑"/>
          <w:b/>
          <w:sz w:val="36"/>
        </w:rPr>
      </w:pPr>
    </w:p>
    <w:p>
      <w:pPr>
        <w:spacing w:before="65"/>
        <w:ind w:firstLine="0" w:firstLineChars="0"/>
        <w:jc w:val="center"/>
        <w:rPr>
          <w:rFonts w:ascii="方正小标宋简体" w:eastAsia="方正小标宋简体"/>
          <w:bCs/>
          <w:sz w:val="44"/>
          <w:szCs w:val="44"/>
        </w:rPr>
      </w:pPr>
      <w:r>
        <w:rPr>
          <w:rFonts w:hint="eastAsia" w:ascii="方正小标宋简体" w:eastAsia="方正小标宋简体"/>
          <w:bCs/>
          <w:sz w:val="44"/>
          <w:szCs w:val="44"/>
        </w:rPr>
        <w:t>文  本</w:t>
      </w:r>
    </w:p>
    <w:p>
      <w:pPr>
        <w:spacing w:before="65"/>
        <w:ind w:firstLine="0" w:firstLineChars="0"/>
        <w:jc w:val="center"/>
        <w:rPr>
          <w:rFonts w:ascii="楷体" w:hAnsi="楷体" w:eastAsia="楷体" w:cs="楷体"/>
          <w:bCs/>
          <w:sz w:val="44"/>
          <w:szCs w:val="44"/>
        </w:rPr>
      </w:pPr>
      <w:bookmarkStart w:id="0" w:name="_Hlk221110231"/>
      <w:r>
        <w:rPr>
          <w:rFonts w:hint="eastAsia" w:ascii="楷体" w:hAnsi="楷体" w:eastAsia="楷体" w:cs="楷体"/>
          <w:bCs/>
          <w:sz w:val="44"/>
          <w:szCs w:val="44"/>
        </w:rPr>
        <w:t>（公示稿）</w:t>
      </w:r>
    </w:p>
    <w:bookmarkEnd w:id="0"/>
    <w:p>
      <w:pPr>
        <w:spacing w:before="65"/>
        <w:ind w:firstLine="0" w:firstLineChars="0"/>
        <w:jc w:val="center"/>
        <w:rPr>
          <w:rFonts w:ascii="楷体_GB2312" w:eastAsia="楷体_GB2312"/>
          <w:b/>
          <w:sz w:val="36"/>
          <w:szCs w:val="36"/>
        </w:rP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rPr>
          <w:rFonts w:ascii="楷体" w:hAnsi="楷体" w:eastAsia="楷体"/>
        </w:rPr>
      </w:pPr>
    </w:p>
    <w:p>
      <w:pPr>
        <w:spacing w:before="65"/>
        <w:ind w:firstLine="0" w:firstLineChars="0"/>
        <w:jc w:val="center"/>
        <w:rPr>
          <w:rFonts w:ascii="楷体" w:hAnsi="楷体" w:eastAsia="楷体"/>
        </w:rPr>
      </w:pPr>
    </w:p>
    <w:p>
      <w:pPr>
        <w:spacing w:line="240" w:lineRule="auto"/>
        <w:ind w:firstLine="0" w:firstLineChars="0"/>
        <w:jc w:val="center"/>
        <w:rPr>
          <w:rFonts w:ascii="黑体" w:hAnsi="黑体" w:eastAsia="黑体" w:cs="黑体"/>
          <w:szCs w:val="32"/>
        </w:rPr>
      </w:pPr>
      <w:r>
        <w:rPr>
          <w:rFonts w:hint="eastAsia" w:ascii="黑体" w:hAnsi="黑体" w:eastAsia="黑体" w:cs="黑体"/>
          <w:szCs w:val="32"/>
        </w:rPr>
        <w:t>内乡县桃溪镇人民政府</w:t>
      </w:r>
    </w:p>
    <w:p>
      <w:pPr>
        <w:spacing w:before="65"/>
        <w:ind w:firstLine="0" w:firstLineChars="0"/>
        <w:jc w:val="center"/>
        <w:rPr>
          <w:rFonts w:ascii="黑体" w:hAnsi="黑体" w:eastAsia="黑体" w:cs="黑体"/>
          <w:szCs w:val="32"/>
        </w:rPr>
      </w:pPr>
      <w:r>
        <w:rPr>
          <w:rFonts w:hint="eastAsia" w:ascii="黑体" w:hAnsi="黑体" w:eastAsia="黑体" w:cs="黑体"/>
          <w:szCs w:val="32"/>
        </w:rPr>
        <w:t>2025年</w:t>
      </w:r>
      <w:r>
        <w:rPr>
          <w:rFonts w:ascii="黑体" w:hAnsi="黑体" w:eastAsia="黑体" w:cs="黑体"/>
          <w:szCs w:val="32"/>
        </w:rPr>
        <w:t>11</w:t>
      </w:r>
      <w:r>
        <w:rPr>
          <w:rFonts w:hint="eastAsia" w:ascii="黑体" w:hAnsi="黑体" w:eastAsia="黑体" w:cs="黑体"/>
          <w:szCs w:val="32"/>
        </w:rPr>
        <w:t>月</w:t>
      </w:r>
    </w:p>
    <w:p>
      <w:pPr>
        <w:spacing w:before="65"/>
        <w:ind w:firstLine="0" w:firstLineChars="0"/>
        <w:jc w:val="center"/>
        <w:rPr>
          <w:rFonts w:ascii="黑体" w:hAnsi="黑体" w:eastAsia="黑体" w:cs="黑体"/>
          <w:sz w:val="28"/>
          <w:szCs w:val="28"/>
        </w:rPr>
      </w:pPr>
    </w:p>
    <w:p>
      <w:pPr>
        <w:pStyle w:val="53"/>
        <w:spacing w:before="652" w:beforeLines="200" w:after="163"/>
        <w:jc w:val="both"/>
        <w:rPr>
          <w:b w:val="0"/>
          <w:bCs/>
          <w:spacing w:val="0"/>
          <w:sz w:val="36"/>
          <w:szCs w:val="36"/>
        </w:rPr>
        <w:sectPr>
          <w:headerReference r:id="rId7" w:type="first"/>
          <w:footerReference r:id="rId10" w:type="first"/>
          <w:headerReference r:id="rId5" w:type="default"/>
          <w:footerReference r:id="rId8" w:type="default"/>
          <w:headerReference r:id="rId6" w:type="even"/>
          <w:footerReference r:id="rId9" w:type="even"/>
          <w:pgSz w:w="11907" w:h="16839"/>
          <w:pgMar w:top="1440" w:right="1800" w:bottom="1440" w:left="1800" w:header="851" w:footer="992" w:gutter="0"/>
          <w:pgNumType w:start="1"/>
          <w:cols w:space="1137" w:num="1"/>
          <w:docGrid w:type="lines" w:linePitch="326" w:charSpace="0"/>
        </w:sectPr>
      </w:pPr>
    </w:p>
    <w:sdt>
      <w:sdtPr>
        <w:rPr>
          <w:rFonts w:hint="eastAsia" w:ascii="黑体" w:hAnsi="黑体" w:eastAsia="黑体" w:cs="黑体"/>
          <w:b/>
          <w:bCs/>
          <w:szCs w:val="32"/>
          <w:lang w:val="zh-CN"/>
        </w:rPr>
        <w:id w:val="-1"/>
        <w:docPartObj>
          <w:docPartGallery w:val="Table of Contents"/>
          <w:docPartUnique/>
        </w:docPartObj>
      </w:sdtPr>
      <w:sdtEndPr>
        <w:rPr>
          <w:rFonts w:hint="eastAsia" w:ascii="宋体" w:hAnsi="黑体" w:eastAsia="黑体" w:cs="黑体"/>
          <w:b/>
          <w:bCs/>
          <w:sz w:val="40"/>
          <w:szCs w:val="36"/>
          <w:lang w:val="zh-CN"/>
        </w:rPr>
      </w:sdtEndPr>
      <w:sdtContent>
        <w:p>
          <w:pPr>
            <w:spacing w:line="240" w:lineRule="auto"/>
            <w:ind w:firstLine="0" w:firstLineChars="0"/>
            <w:jc w:val="center"/>
            <w:rPr>
              <w:rFonts w:ascii="仿宋_GB2312"/>
              <w:szCs w:val="32"/>
            </w:rPr>
          </w:pPr>
          <w:r>
            <w:rPr>
              <w:rFonts w:hint="eastAsia" w:ascii="仿宋_GB2312"/>
              <w:b/>
              <w:bCs/>
              <w:szCs w:val="32"/>
            </w:rPr>
            <w:t>目 录</w:t>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rPr>
              <w:rFonts w:ascii="楷体_GB2312" w:hAnsi="Times New Roman" w:cs="楷体_GB2312"/>
              <w:b w:val="0"/>
              <w:sz w:val="36"/>
            </w:rPr>
            <w:fldChar w:fldCharType="begin"/>
          </w:r>
          <w:r>
            <w:rPr>
              <w:rFonts w:ascii="楷体_GB2312" w:hAnsi="Times New Roman" w:cs="楷体_GB2312"/>
              <w:b w:val="0"/>
              <w:sz w:val="36"/>
            </w:rPr>
            <w:instrText xml:space="preserve"> TOC \o "1-1" \h \z \u </w:instrText>
          </w:r>
          <w:r>
            <w:rPr>
              <w:rFonts w:ascii="楷体_GB2312" w:hAnsi="Times New Roman" w:cs="楷体_GB2312"/>
              <w:b w:val="0"/>
              <w:sz w:val="36"/>
            </w:rPr>
            <w:fldChar w:fldCharType="separate"/>
          </w:r>
          <w:r>
            <w:fldChar w:fldCharType="begin"/>
          </w:r>
          <w:r>
            <w:instrText xml:space="preserve"> HYPERLINK \l "_Toc206777510" </w:instrText>
          </w:r>
          <w:r>
            <w:fldChar w:fldCharType="separate"/>
          </w:r>
          <w:r>
            <w:rPr>
              <w:rStyle w:val="36"/>
              <w:b w:val="0"/>
              <w:color w:val="auto"/>
              <w:szCs w:val="22"/>
              <w:lang w:bidi="zh-CN"/>
              <w14:scene3d w14:prst="orthographicFront">
                <w14:lightRig w14:rig="threePt" w14:dir="t">
                  <w14:rot w14:lat="0" w14:lon="0" w14:rev="0"/>
                </w14:lightRig>
              </w14:scene3d>
            </w:rPr>
            <w:t>第一章 规划总则</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_Toc206777510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1</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"_Toc206777511" </w:instrText>
          </w:r>
          <w:r>
            <w:fldChar w:fldCharType="separate"/>
          </w:r>
          <w:r>
            <w:rPr>
              <w:rStyle w:val="36"/>
              <w:b w:val="0"/>
              <w:color w:val="auto"/>
              <w:szCs w:val="22"/>
              <w:lang w:bidi="zh-CN"/>
              <w14:scene3d w14:prst="orthographicFront">
                <w14:lightRig w14:rig="threePt" w14:dir="t">
                  <w14:rot w14:lat="0" w14:lon="0" w14:rev="0"/>
                </w14:lightRig>
              </w14:scene3d>
            </w:rPr>
            <w:t>第二章 现状分析</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_Toc206777511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4</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"_Toc206777512" </w:instrText>
          </w:r>
          <w:r>
            <w:fldChar w:fldCharType="separate"/>
          </w:r>
          <w:r>
            <w:rPr>
              <w:rStyle w:val="36"/>
              <w:b w:val="0"/>
              <w:color w:val="auto"/>
              <w:szCs w:val="22"/>
              <w:lang w:bidi="zh-CN"/>
              <w14:scene3d w14:prst="orthographicFront">
                <w14:lightRig w14:rig="threePt" w14:dir="t">
                  <w14:rot w14:lat="0" w14:lon="0" w14:rev="0"/>
                </w14:lightRig>
              </w14:scene3d>
            </w:rPr>
            <w:t>第三章 发展定位与目标</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_Toc206777512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13</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"_Toc206777513" </w:instrText>
          </w:r>
          <w:r>
            <w:fldChar w:fldCharType="separate"/>
          </w:r>
          <w:r>
            <w:rPr>
              <w:rStyle w:val="36"/>
              <w:b w:val="0"/>
              <w:color w:val="auto"/>
              <w:szCs w:val="22"/>
              <w:lang w:bidi="zh-CN"/>
              <w14:scene3d w14:prst="orthographicFront">
                <w14:lightRig w14:rig="threePt" w14:dir="t">
                  <w14:rot w14:lat="0" w14:lon="0" w14:rev="0"/>
                </w14:lightRig>
              </w14:scene3d>
            </w:rPr>
            <w:t>第四章 底线约束</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_Toc206777513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17</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"_Toc206777514" </w:instrText>
          </w:r>
          <w:r>
            <w:fldChar w:fldCharType="separate"/>
          </w:r>
          <w:r>
            <w:rPr>
              <w:rStyle w:val="36"/>
              <w:b w:val="0"/>
              <w:color w:val="auto"/>
              <w:szCs w:val="22"/>
              <w:lang w:bidi="zh-CN"/>
              <w14:scene3d w14:prst="orthographicFront">
                <w14:lightRig w14:rig="threePt" w14:dir="t">
                  <w14:rot w14:lat="0" w14:lon="0" w14:rev="0"/>
                </w14:lightRig>
              </w14:scene3d>
            </w:rPr>
            <w:t>第五章 规划分区</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_Toc206777514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27</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"_Toc206777515" </w:instrText>
          </w:r>
          <w:r>
            <w:fldChar w:fldCharType="separate"/>
          </w:r>
          <w:r>
            <w:rPr>
              <w:rStyle w:val="36"/>
              <w:b w:val="0"/>
              <w:color w:val="auto"/>
              <w:szCs w:val="22"/>
              <w:lang w:bidi="zh-CN"/>
              <w14:scene3d w14:prst="orthographicFront">
                <w14:lightRig w14:rig="threePt" w14:dir="t">
                  <w14:rot w14:lat="0" w14:lon="0" w14:rev="0"/>
                </w14:lightRig>
              </w14:scene3d>
            </w:rPr>
            <w:t>第六章 国土空间功能结构调整</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_Toc206777515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37</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"_Toc206777516" </w:instrText>
          </w:r>
          <w:r>
            <w:fldChar w:fldCharType="separate"/>
          </w:r>
          <w:r>
            <w:rPr>
              <w:rStyle w:val="36"/>
              <w:b w:val="0"/>
              <w:color w:val="auto"/>
              <w:szCs w:val="22"/>
              <w:lang w:bidi="zh-CN"/>
              <w14:scene3d w14:prst="orthographicFront">
                <w14:lightRig w14:rig="threePt" w14:dir="t">
                  <w14:rot w14:lat="0" w14:lon="0" w14:rev="0"/>
                </w14:lightRig>
              </w14:scene3d>
            </w:rPr>
            <w:t>第七章 自然资源保护利用</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_Toc206777516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40</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"_Toc206777517" </w:instrText>
          </w:r>
          <w:r>
            <w:fldChar w:fldCharType="separate"/>
          </w:r>
          <w:r>
            <w:rPr>
              <w:rStyle w:val="36"/>
              <w:b w:val="0"/>
              <w:color w:val="auto"/>
              <w:szCs w:val="22"/>
              <w:lang w:bidi="zh-CN"/>
              <w14:scene3d w14:prst="orthographicFront">
                <w14:lightRig w14:rig="threePt" w14:dir="t">
                  <w14:rot w14:lat="0" w14:lon="0" w14:rev="0"/>
                </w14:lightRig>
              </w14:scene3d>
            </w:rPr>
            <w:t>第八章 产业规划</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_Toc206777517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50</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"_Toc206777518" </w:instrText>
          </w:r>
          <w:r>
            <w:fldChar w:fldCharType="separate"/>
          </w:r>
          <w:r>
            <w:rPr>
              <w:rStyle w:val="36"/>
              <w:b w:val="0"/>
              <w:color w:val="auto"/>
              <w:szCs w:val="22"/>
              <w:lang w:bidi="zh-CN"/>
              <w14:scene3d w14:prst="orthographicFront">
                <w14:lightRig w14:rig="threePt" w14:dir="t">
                  <w14:rot w14:lat="0" w14:lon="0" w14:rev="0"/>
                </w14:lightRig>
              </w14:scene3d>
            </w:rPr>
            <w:t>第九章 村庄布局</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_Toc206777518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55</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"_Toc206777519" </w:instrText>
          </w:r>
          <w:r>
            <w:fldChar w:fldCharType="separate"/>
          </w:r>
          <w:r>
            <w:rPr>
              <w:rStyle w:val="36"/>
              <w:b w:val="0"/>
              <w:color w:val="auto"/>
              <w:szCs w:val="22"/>
              <w:lang w:bidi="zh-CN"/>
              <w14:scene3d w14:prst="orthographicFront">
                <w14:lightRig w14:rig="threePt" w14:dir="t">
                  <w14:rot w14:lat="0" w14:lon="0" w14:rev="0"/>
                </w14:lightRig>
              </w14:scene3d>
            </w:rPr>
            <w:t>第十章 支撑保障体系</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_Toc206777519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62</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"_Toc206777520" </w:instrText>
          </w:r>
          <w:r>
            <w:fldChar w:fldCharType="separate"/>
          </w:r>
          <w:r>
            <w:rPr>
              <w:rStyle w:val="36"/>
              <w:b w:val="0"/>
              <w:color w:val="auto"/>
              <w:szCs w:val="22"/>
              <w:lang w:bidi="zh-CN"/>
              <w14:scene3d w14:prst="orthographicFront">
                <w14:lightRig w14:rig="threePt" w14:dir="t">
                  <w14:rot w14:lat="0" w14:lon="0" w14:rev="0"/>
                </w14:lightRig>
              </w14:scene3d>
            </w:rPr>
            <w:t>第十一章 历史文化与景观风貌</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_Toc206777520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74</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"_Toc206777521" </w:instrText>
          </w:r>
          <w:r>
            <w:fldChar w:fldCharType="separate"/>
          </w:r>
          <w:r>
            <w:rPr>
              <w:rStyle w:val="36"/>
              <w:b w:val="0"/>
              <w:color w:val="auto"/>
              <w:szCs w:val="22"/>
              <w:lang w:bidi="zh-CN"/>
              <w14:scene3d w14:prst="orthographicFront">
                <w14:lightRig w14:rig="threePt" w14:dir="t">
                  <w14:rot w14:lat="0" w14:lon="0" w14:rev="0"/>
                </w14:lightRig>
              </w14:scene3d>
            </w:rPr>
            <w:t>第十二章 乡镇政府驻地规划</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_Toc206777521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79</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"_Toc206777522" </w:instrText>
          </w:r>
          <w:r>
            <w:fldChar w:fldCharType="separate"/>
          </w:r>
          <w:r>
            <w:rPr>
              <w:rStyle w:val="36"/>
              <w:b w:val="0"/>
              <w:color w:val="auto"/>
              <w:szCs w:val="22"/>
              <w:lang w:bidi="zh-CN"/>
              <w14:scene3d w14:prst="orthographicFront">
                <w14:lightRig w14:rig="threePt" w14:dir="t">
                  <w14:rot w14:lat="0" w14:lon="0" w14:rev="0"/>
                </w14:lightRig>
              </w14:scene3d>
            </w:rPr>
            <w:t>第十三章 土地综合整治与生态修复</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_Toc206777522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97</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"_Toc206777523" </w:instrText>
          </w:r>
          <w:r>
            <w:fldChar w:fldCharType="separate"/>
          </w:r>
          <w:r>
            <w:rPr>
              <w:rStyle w:val="36"/>
              <w:b w:val="0"/>
              <w:color w:val="auto"/>
              <w:szCs w:val="22"/>
              <w:lang w:bidi="zh-CN"/>
              <w14:scene3d w14:prst="orthographicFront">
                <w14:lightRig w14:rig="threePt" w14:dir="t">
                  <w14:rot w14:lat="0" w14:lon="0" w14:rev="0"/>
                </w14:lightRig>
              </w14:scene3d>
            </w:rPr>
            <w:t>第十四章 规划传导</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_Toc206777523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102</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pStyle w:val="22"/>
            <w:tabs>
              <w:tab w:val="right" w:leader="dot" w:pos="8297"/>
            </w:tabs>
            <w:spacing w:line="360" w:lineRule="auto"/>
            <w:rPr>
              <w:rStyle w:val="36"/>
              <w:b w:val="0"/>
              <w:color w:val="auto"/>
              <w:lang w:bidi="zh-CN"/>
              <w14:scene3d w14:prst="orthographicFront">
                <w14:lightRig w14:rig="threePt" w14:dir="t">
                  <w14:rot w14:lat="0" w14:lon="0" w14:rev="0"/>
                </w14:lightRig>
              </w14:scene3d>
            </w:rPr>
          </w:pPr>
          <w:r>
            <w:fldChar w:fldCharType="begin"/>
          </w:r>
          <w:r>
            <w:instrText xml:space="preserve"> HYPERLINK \l "_Toc206777524" </w:instrText>
          </w:r>
          <w:r>
            <w:fldChar w:fldCharType="separate"/>
          </w:r>
          <w:r>
            <w:rPr>
              <w:rStyle w:val="36"/>
              <w:b w:val="0"/>
              <w:color w:val="auto"/>
              <w:szCs w:val="22"/>
              <w:lang w:bidi="zh-CN"/>
              <w14:scene3d w14:prst="orthographicFront">
                <w14:lightRig w14:rig="threePt" w14:dir="t">
                  <w14:rot w14:lat="0" w14:lon="0" w14:rev="0"/>
                </w14:lightRig>
              </w14:scene3d>
            </w:rPr>
            <w:t>第十五章 规划实施</w:t>
          </w:r>
          <w:r>
            <w:rPr>
              <w:rStyle w:val="36"/>
              <w:b w:val="0"/>
              <w:color w:val="auto"/>
              <w:szCs w:val="22"/>
              <w:lang w:bidi="zh-CN"/>
              <w14:scene3d w14:prst="orthographicFront">
                <w14:lightRig w14:rig="threePt" w14:dir="t">
                  <w14:rot w14:lat="0" w14:lon="0" w14:rev="0"/>
                </w14:lightRig>
              </w14:scene3d>
            </w:rPr>
            <w:tab/>
          </w:r>
          <w:r>
            <w:rPr>
              <w:rStyle w:val="36"/>
              <w:b w:val="0"/>
              <w:color w:val="auto"/>
              <w:szCs w:val="22"/>
              <w:lang w:bidi="zh-CN"/>
              <w14:scene3d w14:prst="orthographicFront">
                <w14:lightRig w14:rig="threePt" w14:dir="t">
                  <w14:rot w14:lat="0" w14:lon="0" w14:rev="0"/>
                </w14:lightRig>
              </w14:scene3d>
            </w:rPr>
            <w:fldChar w:fldCharType="begin"/>
          </w:r>
          <w:r>
            <w:rPr>
              <w:rStyle w:val="36"/>
              <w:b w:val="0"/>
              <w:color w:val="auto"/>
              <w:szCs w:val="22"/>
              <w:lang w:bidi="zh-CN"/>
              <w14:scene3d w14:prst="orthographicFront">
                <w14:lightRig w14:rig="threePt" w14:dir="t">
                  <w14:rot w14:lat="0" w14:lon="0" w14:rev="0"/>
                </w14:lightRig>
              </w14:scene3d>
            </w:rPr>
            <w:instrText xml:space="preserve"> PAGEREF _Toc206777524 \h </w:instrText>
          </w:r>
          <w:r>
            <w:rPr>
              <w:rStyle w:val="36"/>
              <w:b w:val="0"/>
              <w:color w:val="auto"/>
              <w:szCs w:val="22"/>
              <w:lang w:bidi="zh-CN"/>
              <w14:scene3d w14:prst="orthographicFront">
                <w14:lightRig w14:rig="threePt" w14:dir="t">
                  <w14:rot w14:lat="0" w14:lon="0" w14:rev="0"/>
                </w14:lightRig>
              </w14:scene3d>
            </w:rPr>
            <w:fldChar w:fldCharType="separate"/>
          </w:r>
          <w:r>
            <w:rPr>
              <w:rStyle w:val="36"/>
              <w:b w:val="0"/>
              <w:color w:val="auto"/>
              <w:szCs w:val="22"/>
              <w:lang w:bidi="zh-CN"/>
              <w14:scene3d w14:prst="orthographicFront">
                <w14:lightRig w14:rig="threePt" w14:dir="t">
                  <w14:rot w14:lat="0" w14:lon="0" w14:rev="0"/>
                </w14:lightRig>
              </w14:scene3d>
            </w:rPr>
            <w:t>124</w:t>
          </w:r>
          <w:r>
            <w:rPr>
              <w:rStyle w:val="36"/>
              <w:b w:val="0"/>
              <w:color w:val="auto"/>
              <w:szCs w:val="22"/>
              <w:lang w:bidi="zh-CN"/>
              <w14:scene3d w14:prst="orthographicFront">
                <w14:lightRig w14:rig="threePt" w14:dir="t">
                  <w14:rot w14:lat="0" w14:lon="0" w14:rev="0"/>
                </w14:lightRig>
              </w14:scene3d>
            </w:rPr>
            <w:fldChar w:fldCharType="end"/>
          </w:r>
          <w:r>
            <w:rPr>
              <w:rStyle w:val="36"/>
              <w:b w:val="0"/>
              <w:color w:val="auto"/>
              <w:szCs w:val="22"/>
              <w:lang w:bidi="zh-CN"/>
              <w14:scene3d w14:prst="orthographicFront">
                <w14:lightRig w14:rig="threePt" w14:dir="t">
                  <w14:rot w14:lat="0" w14:lon="0" w14:rev="0"/>
                </w14:lightRig>
              </w14:scene3d>
            </w:rPr>
            <w:fldChar w:fldCharType="end"/>
          </w:r>
        </w:p>
        <w:p>
          <w:pPr>
            <w:spacing w:before="65" w:after="163" w:line="312" w:lineRule="auto"/>
            <w:ind w:firstLine="0" w:firstLineChars="0"/>
          </w:pPr>
          <w:r>
            <w:rPr>
              <w:rFonts w:ascii="楷体_GB2312" w:hAnsi="Times New Roman" w:eastAsia="楷体" w:cs="楷体_GB2312"/>
              <w:b/>
              <w:kern w:val="0"/>
              <w:sz w:val="36"/>
              <w:szCs w:val="32"/>
            </w:rPr>
            <w:fldChar w:fldCharType="end"/>
          </w:r>
        </w:p>
      </w:sdtContent>
    </w:sdt>
    <w:p>
      <w:pPr>
        <w:spacing w:before="65" w:after="163"/>
        <w:ind w:firstLine="640"/>
      </w:pPr>
    </w:p>
    <w:p>
      <w:pPr>
        <w:spacing w:before="65" w:after="163"/>
        <w:ind w:firstLine="640"/>
        <w:sectPr>
          <w:pgSz w:w="11907" w:h="16839"/>
          <w:pgMar w:top="1440" w:right="1800" w:bottom="1440" w:left="1800" w:header="851" w:footer="992" w:gutter="0"/>
          <w:pgNumType w:start="1"/>
          <w:cols w:space="1137" w:num="1"/>
          <w:docGrid w:type="lines" w:linePitch="326" w:charSpace="0"/>
        </w:sectPr>
      </w:pPr>
    </w:p>
    <w:p>
      <w:pPr>
        <w:ind w:firstLine="640"/>
      </w:pPr>
      <w:bookmarkStart w:id="1" w:name="_Toc127432230"/>
      <w:bookmarkStart w:id="2" w:name="_Toc129339489"/>
    </w:p>
    <w:p>
      <w:pPr>
        <w:pStyle w:val="2"/>
        <w:spacing w:before="489" w:after="489"/>
      </w:pPr>
      <w:bookmarkStart w:id="3" w:name="_Toc206777510"/>
      <w:r>
        <w:rPr>
          <w:rFonts w:hint="eastAsia"/>
        </w:rPr>
        <w:t>规划总则</w:t>
      </w:r>
      <w:bookmarkEnd w:id="1"/>
      <w:bookmarkEnd w:id="2"/>
      <w:bookmarkEnd w:id="3"/>
    </w:p>
    <w:p>
      <w:pPr>
        <w:pStyle w:val="4"/>
        <w:spacing w:before="195" w:after="195"/>
      </w:pPr>
      <w:r>
        <w:rPr>
          <w:rFonts w:hint="eastAsia"/>
        </w:rPr>
        <w:t>规划目的</w:t>
      </w:r>
    </w:p>
    <w:p>
      <w:pPr>
        <w:spacing w:before="65"/>
        <w:ind w:firstLine="640"/>
      </w:pPr>
      <w:r>
        <w:rPr>
          <w:rFonts w:hint="eastAsia"/>
        </w:rPr>
        <w:t>为落实习近平生态文明思想和总体国家安全观，贯彻《中共中央国务院关于建立国土空间规划体系并监督实施的若干意见》要求，细化落实</w:t>
      </w:r>
      <w:r>
        <w:t>《</w:t>
      </w:r>
      <w:r>
        <w:rPr>
          <w:rFonts w:hint="eastAsia"/>
        </w:rPr>
        <w:t>内乡县</w:t>
      </w:r>
      <w:r>
        <w:t>国土空间总体规划（2021-2035年）》，科学有序地推进</w:t>
      </w:r>
      <w:r>
        <w:rPr>
          <w:rFonts w:hint="eastAsia"/>
        </w:rPr>
        <w:t>桃溪镇</w:t>
      </w:r>
      <w:r>
        <w:t>国土空间开发保护的总体安排和综合部署，统筹</w:t>
      </w:r>
      <w:r>
        <w:rPr>
          <w:rFonts w:hint="eastAsia"/>
        </w:rPr>
        <w:t>桃溪镇</w:t>
      </w:r>
      <w:r>
        <w:t>的农业、生态、城镇空间，全面提升</w:t>
      </w:r>
      <w:r>
        <w:rPr>
          <w:rFonts w:hint="eastAsia"/>
        </w:rPr>
        <w:t>桃溪镇</w:t>
      </w:r>
      <w:r>
        <w:t>国土空间治理体系和治理能力现代化水平，特编制《</w:t>
      </w:r>
      <w:r>
        <w:rPr>
          <w:rFonts w:hint="eastAsia"/>
        </w:rPr>
        <w:t>内乡县桃溪镇</w:t>
      </w:r>
      <w:r>
        <w:t>国土空间总体规划（2021-2035年）》（以下简称本规划）</w:t>
      </w:r>
      <w:r>
        <w:rPr>
          <w:rFonts w:hint="eastAsia"/>
        </w:rPr>
        <w:t>。</w:t>
      </w:r>
    </w:p>
    <w:p>
      <w:pPr>
        <w:pStyle w:val="4"/>
        <w:spacing w:before="195" w:after="195"/>
      </w:pPr>
      <w:r>
        <w:rPr>
          <w:rFonts w:hint="eastAsia"/>
        </w:rPr>
        <w:t>指导思想</w:t>
      </w:r>
    </w:p>
    <w:p>
      <w:pPr>
        <w:ind w:firstLine="640"/>
      </w:pPr>
      <w:r>
        <w:rPr>
          <w:rFonts w:hint="eastAsia"/>
        </w:rPr>
        <w:t>以习近平新时代中国特色社会主义思想为指导，紧紧围绕统筹推进“五位一体”总体布局和协调推进“四个全面”战略布局，践行“两高四着力”重大要求，优化国土空间开发格局，加快构建科学有序的国土空间布局体系，统筹安排国土空间开发、资源环境保护、国土综合整治、生态修复和保障体系建设，提升国土空间品质和利用效率，提高国土空间治理能力，推进乡村振兴，促进桃溪镇经济社会发展更高质量、更有效率、更加公平、更可持续。</w:t>
      </w:r>
    </w:p>
    <w:p>
      <w:pPr>
        <w:pStyle w:val="4"/>
        <w:spacing w:before="195" w:after="195"/>
      </w:pPr>
      <w:r>
        <w:rPr>
          <w:rFonts w:hint="eastAsia"/>
        </w:rPr>
        <w:t>规划原则</w:t>
      </w:r>
    </w:p>
    <w:p>
      <w:pPr>
        <w:pStyle w:val="5"/>
        <w:spacing w:before="97" w:after="97"/>
        <w:ind w:firstLine="640"/>
      </w:pPr>
      <w:r>
        <w:rPr>
          <w:rFonts w:hint="eastAsia"/>
        </w:rPr>
        <w:t>生态优先、绿色发展</w:t>
      </w:r>
    </w:p>
    <w:p>
      <w:pPr>
        <w:spacing w:before="65"/>
        <w:ind w:firstLine="640"/>
      </w:pPr>
      <w:r>
        <w:rPr>
          <w:rFonts w:hint="eastAsia"/>
        </w:rPr>
        <w:t>贯彻新时代新要求，坚持内涵式、集约型、绿色化的高质量发展新路子，在资源环境紧约束下编制规划，推动形成绿色发展方式和生活方式，形成发展新的增长点和竞争力。</w:t>
      </w:r>
    </w:p>
    <w:p>
      <w:pPr>
        <w:pStyle w:val="5"/>
        <w:spacing w:before="97" w:after="97"/>
        <w:ind w:firstLine="640"/>
      </w:pPr>
      <w:r>
        <w:rPr>
          <w:rFonts w:hint="eastAsia"/>
        </w:rPr>
        <w:t>以人为本、品质提升</w:t>
      </w:r>
    </w:p>
    <w:p>
      <w:pPr>
        <w:spacing w:before="65"/>
        <w:ind w:firstLine="640"/>
      </w:pPr>
      <w:r>
        <w:rPr>
          <w:rFonts w:hint="eastAsia"/>
        </w:rPr>
        <w:t>坚持以人民为中心，塑造高品质人居环境，着力破解各类民生问题，不断提升人民群众的获得感、幸福感、安全感。</w:t>
      </w:r>
    </w:p>
    <w:p>
      <w:pPr>
        <w:pStyle w:val="5"/>
        <w:spacing w:before="97" w:after="97"/>
        <w:ind w:firstLine="640"/>
      </w:pPr>
      <w:r>
        <w:rPr>
          <w:rFonts w:hint="eastAsia"/>
        </w:rPr>
        <w:t>全域统筹、城乡融合</w:t>
      </w:r>
    </w:p>
    <w:p>
      <w:pPr>
        <w:spacing w:before="65"/>
        <w:ind w:firstLine="640"/>
      </w:pPr>
      <w:r>
        <w:rPr>
          <w:rFonts w:hint="eastAsia"/>
        </w:rPr>
        <w:t>结合本地实际，发挥本地特色和优势，落实乡村振兴、区域协调发展、可持续发展等空间发展战略，推动形成开放协调的空间发展格局。</w:t>
      </w:r>
    </w:p>
    <w:p>
      <w:pPr>
        <w:pStyle w:val="5"/>
        <w:spacing w:before="97" w:after="97"/>
        <w:ind w:firstLine="640"/>
      </w:pPr>
      <w:r>
        <w:rPr>
          <w:rFonts w:hint="eastAsia"/>
        </w:rPr>
        <w:t>问题导向、目标导向</w:t>
      </w:r>
    </w:p>
    <w:p>
      <w:pPr>
        <w:spacing w:before="65"/>
        <w:ind w:firstLine="640"/>
      </w:pPr>
      <w:r>
        <w:rPr>
          <w:rFonts w:hint="eastAsia"/>
        </w:rPr>
        <w:t>按照“问题-目标-策略-机制”的逻辑，因地制宜制定规划方案和实施措施，充分发挥乡镇级国土空间规划在空间治理中的基础作用，确保规划能用、管用、好用。</w:t>
      </w:r>
    </w:p>
    <w:p>
      <w:pPr>
        <w:pStyle w:val="4"/>
        <w:spacing w:before="195" w:after="195"/>
      </w:pPr>
      <w:r>
        <w:rPr>
          <w:rFonts w:hint="eastAsia"/>
        </w:rPr>
        <w:t>规划范围与层次</w:t>
      </w:r>
    </w:p>
    <w:p>
      <w:pPr>
        <w:spacing w:before="65"/>
        <w:ind w:firstLine="640"/>
      </w:pPr>
      <w:r>
        <w:rPr>
          <w:rFonts w:hint="eastAsia"/>
        </w:rPr>
        <w:t>规划范围为桃溪镇行政辖区内全部国土空间，包含镇域和镇区两个层次。其中：</w:t>
      </w:r>
    </w:p>
    <w:p>
      <w:pPr>
        <w:spacing w:before="65"/>
        <w:ind w:firstLine="640"/>
      </w:pPr>
      <w:r>
        <w:rPr>
          <w:rFonts w:hint="eastAsia"/>
        </w:rPr>
        <w:t>镇域范围为桃溪镇行政辖区内全部国土空间，总面积126.19平方公里。</w:t>
      </w:r>
    </w:p>
    <w:p>
      <w:pPr>
        <w:spacing w:before="65"/>
        <w:ind w:firstLine="640"/>
      </w:pPr>
      <w:r>
        <w:rPr>
          <w:rFonts w:hint="eastAsia"/>
        </w:rPr>
        <w:t>镇区范围为桃溪镇政府驻地周边，省道330</w:t>
      </w:r>
      <w:r>
        <w:t>两侧城镇开发边界范围</w:t>
      </w:r>
      <w:r>
        <w:rPr>
          <w:rFonts w:hint="eastAsia"/>
        </w:rPr>
        <w:t>和村庄建设边界区域</w:t>
      </w:r>
      <w:r>
        <w:t>，</w:t>
      </w:r>
      <w:r>
        <w:rPr>
          <w:rFonts w:hint="eastAsia"/>
        </w:rPr>
        <w:t>其中，城镇开发边界</w:t>
      </w:r>
      <w:r>
        <w:t>总面积</w:t>
      </w:r>
      <w:r>
        <w:rPr>
          <w:rFonts w:hint="eastAsia"/>
        </w:rPr>
        <w:t>59.99</w:t>
      </w:r>
      <w:r>
        <w:t>公顷</w:t>
      </w:r>
      <w:r>
        <w:rPr>
          <w:rFonts w:hint="eastAsia"/>
          <w:lang w:bidi="ar"/>
        </w:rPr>
        <w:t>。</w:t>
      </w:r>
    </w:p>
    <w:p>
      <w:pPr>
        <w:pStyle w:val="4"/>
        <w:spacing w:before="195" w:after="195"/>
      </w:pPr>
      <w:r>
        <w:rPr>
          <w:rFonts w:hint="eastAsia"/>
        </w:rPr>
        <w:t>规划期限</w:t>
      </w:r>
    </w:p>
    <w:p>
      <w:pPr>
        <w:spacing w:before="65"/>
        <w:ind w:firstLine="640"/>
      </w:pPr>
      <w:r>
        <w:rPr>
          <w:rFonts w:hint="eastAsia"/>
        </w:rPr>
        <w:t>规划期限为2</w:t>
      </w:r>
      <w:r>
        <w:t>021</w:t>
      </w:r>
      <w:r>
        <w:rPr>
          <w:rFonts w:hint="eastAsia"/>
        </w:rPr>
        <w:t>年至2</w:t>
      </w:r>
      <w:r>
        <w:t>035</w:t>
      </w:r>
      <w:r>
        <w:rPr>
          <w:rFonts w:hint="eastAsia"/>
        </w:rPr>
        <w:t>年。</w:t>
      </w:r>
    </w:p>
    <w:p>
      <w:pPr>
        <w:spacing w:before="65"/>
        <w:ind w:firstLine="640"/>
      </w:pPr>
      <w:r>
        <w:rPr>
          <w:rFonts w:hint="eastAsia"/>
        </w:rPr>
        <w:t>基期年为2</w:t>
      </w:r>
      <w:r>
        <w:t>020</w:t>
      </w:r>
      <w:r>
        <w:rPr>
          <w:rFonts w:hint="eastAsia"/>
        </w:rPr>
        <w:t>年，近期至2</w:t>
      </w:r>
      <w:r>
        <w:t>025</w:t>
      </w:r>
      <w:r>
        <w:rPr>
          <w:rFonts w:hint="eastAsia"/>
        </w:rPr>
        <w:t>年，</w:t>
      </w:r>
      <w:r>
        <w:t>远期至2035年，</w:t>
      </w:r>
      <w:r>
        <w:rPr>
          <w:rFonts w:hint="eastAsia"/>
        </w:rPr>
        <w:t>远景展望至2</w:t>
      </w:r>
      <w:r>
        <w:t>050</w:t>
      </w:r>
      <w:r>
        <w:rPr>
          <w:rFonts w:hint="eastAsia"/>
        </w:rPr>
        <w:t>年。</w:t>
      </w:r>
    </w:p>
    <w:p>
      <w:pPr>
        <w:pStyle w:val="4"/>
        <w:spacing w:before="195" w:after="195"/>
      </w:pPr>
      <w:r>
        <w:rPr>
          <w:rFonts w:hint="eastAsia"/>
        </w:rPr>
        <w:t>规划成果</w:t>
      </w:r>
    </w:p>
    <w:p>
      <w:pPr>
        <w:spacing w:before="65"/>
        <w:ind w:firstLine="640"/>
      </w:pPr>
      <w:r>
        <w:rPr>
          <w:rFonts w:hint="eastAsia"/>
        </w:rPr>
        <w:t>规划成果包括规划文本、图集、数据库和附件。附件包括规划说明、征求意见采纳情况、专家论证意见等其他材料。其中，规划文本、图件是法定文件。规划说明和相关附件是支撑法定性文件的论证依据。</w:t>
      </w:r>
    </w:p>
    <w:p>
      <w:pPr>
        <w:pStyle w:val="4"/>
      </w:pPr>
      <w:r>
        <w:rPr>
          <w:rFonts w:hint="eastAsia"/>
        </w:rPr>
        <w:t>强制性内容</w:t>
      </w:r>
    </w:p>
    <w:p>
      <w:pPr>
        <w:ind w:firstLine="640"/>
      </w:pPr>
      <w:r>
        <w:rPr>
          <w:rFonts w:hint="eastAsia"/>
        </w:rPr>
        <w:t>文本条款中下划线部分为强制性内容，应严格遵守落实。规划实施管理不得违背强制性内容，调整强制性内容必须按照相关法定程序执行。</w:t>
      </w:r>
    </w:p>
    <w:p>
      <w:pPr>
        <w:spacing w:before="65"/>
        <w:ind w:firstLine="640"/>
      </w:pPr>
      <w:r>
        <w:br w:type="page"/>
      </w:r>
    </w:p>
    <w:p>
      <w:pPr>
        <w:spacing w:before="65"/>
        <w:ind w:firstLine="640"/>
      </w:pPr>
    </w:p>
    <w:p>
      <w:pPr>
        <w:pStyle w:val="2"/>
        <w:spacing w:before="489" w:after="489"/>
      </w:pPr>
      <w:bookmarkStart w:id="4" w:name="_Toc206777511"/>
      <w:r>
        <w:rPr>
          <w:rFonts w:hint="eastAsia"/>
        </w:rPr>
        <w:t>现状分析</w:t>
      </w:r>
      <w:bookmarkEnd w:id="4"/>
    </w:p>
    <w:p>
      <w:pPr>
        <w:pStyle w:val="3"/>
      </w:pPr>
      <w:r>
        <w:rPr>
          <w:rFonts w:hint="eastAsia"/>
        </w:rPr>
        <w:t>自然地理格局和资源禀赋</w:t>
      </w:r>
    </w:p>
    <w:p>
      <w:pPr>
        <w:pStyle w:val="4"/>
        <w:spacing w:before="195" w:after="195"/>
      </w:pPr>
      <w:bookmarkStart w:id="5" w:name="_Hlk150173612"/>
      <w:r>
        <w:rPr>
          <w:rFonts w:hint="eastAsia"/>
        </w:rPr>
        <w:t>自然地理格局</w:t>
      </w:r>
    </w:p>
    <w:bookmarkEnd w:id="5"/>
    <w:p>
      <w:pPr>
        <w:tabs>
          <w:tab w:val="left" w:pos="720"/>
        </w:tabs>
        <w:spacing w:before="65" w:after="120"/>
        <w:ind w:firstLine="640"/>
      </w:pPr>
      <w:r>
        <w:rPr>
          <w:rFonts w:hint="eastAsia"/>
        </w:rPr>
        <w:t>地形地貌：地处伏牛山东南部低山丘陵区，主要山脉以黄龙寨为主，向西北延伸至孤山，向南延至宝山赛、白马山、横亘桃溪北部边沿山系；南部边沿有观山、大南山、杨家寨山环绕；中部有老洼山、小垛山横贯东西，境内最高的山峰为西北角的寨顶峰，同时坡度陡峭，坡度超过30%的陡坡连绵成线，形成沟壑纵横的现状。</w:t>
      </w:r>
    </w:p>
    <w:p>
      <w:pPr>
        <w:spacing w:before="65" w:after="120"/>
        <w:ind w:firstLine="640"/>
      </w:pPr>
      <w:r>
        <w:rPr>
          <w:rFonts w:hint="eastAsia"/>
        </w:rPr>
        <w:t>气候气象：季节明显，冬季较长、较冷、雨雪多。桃溪镇属亚热带大陆性季风气候，春季多干旱，夏季炎热，秋季多阴雨，雨季集中在每年的7、8、9三个月，多是来势猛，雨量大，山陡水猛，危害较大。</w:t>
      </w:r>
    </w:p>
    <w:p>
      <w:pPr>
        <w:ind w:firstLine="640"/>
      </w:pPr>
      <w:r>
        <w:rPr>
          <w:rFonts w:hint="eastAsia"/>
        </w:rPr>
        <w:t>水资源：桃溪镇内有刁河、寺河、江湾水库、西沟水库、东沟水库、</w:t>
      </w:r>
      <w:r>
        <w:rPr>
          <w:rFonts w:hint="eastAsia" w:ascii="微软雅黑" w:hAnsi="微软雅黑" w:eastAsia="微软雅黑" w:cs="微软雅黑"/>
        </w:rPr>
        <w:t>迴</w:t>
      </w:r>
      <w:r>
        <w:rPr>
          <w:rFonts w:hint="eastAsia" w:ascii="仿宋_GB2312" w:hAnsi="仿宋_GB2312" w:cs="仿宋_GB2312"/>
        </w:rPr>
        <w:t>龙湾水库等。</w:t>
      </w:r>
    </w:p>
    <w:p>
      <w:pPr>
        <w:pStyle w:val="4"/>
        <w:spacing w:before="195" w:after="195"/>
      </w:pPr>
      <w:bookmarkStart w:id="6" w:name="_Hlk150173613"/>
      <w:r>
        <w:rPr>
          <w:rFonts w:hint="eastAsia"/>
        </w:rPr>
        <w:t>自然资源禀赋</w:t>
      </w:r>
    </w:p>
    <w:bookmarkEnd w:id="6"/>
    <w:p>
      <w:pPr>
        <w:spacing w:before="65"/>
        <w:ind w:firstLine="640"/>
      </w:pPr>
      <w:r>
        <w:rPr>
          <w:rFonts w:hint="eastAsia"/>
        </w:rPr>
        <w:t>耕地资源：桃溪镇域内耕地总面积为2876.64公顷（合43150亩），占全镇域总用地面积比例为22.80%。其中98%以上为旱地，主要种植小麦、玉米、红薯等粮食作物。</w:t>
      </w:r>
    </w:p>
    <w:p>
      <w:pPr>
        <w:spacing w:before="65"/>
        <w:ind w:firstLine="640"/>
      </w:pPr>
      <w:r>
        <w:rPr>
          <w:rFonts w:hint="eastAsia"/>
        </w:rPr>
        <w:t>矿产资源：桃溪镇境内已探明地下矿藏有非金属矿，主要有蓝石棉、大理石。蓝石棉产于震旦系细碧石英角斑岩和绿石片岩，大理石主要是米黄大理石、普通大理石、墨色、红色理石等。</w:t>
      </w:r>
    </w:p>
    <w:p>
      <w:pPr>
        <w:spacing w:before="65"/>
        <w:ind w:firstLine="640"/>
      </w:pPr>
      <w:r>
        <w:rPr>
          <w:rFonts w:hint="eastAsia"/>
        </w:rPr>
        <w:t>文化资源：镇域内有4处县级文物保护单位——靳世红宅（西庙岗村靳楼村；明代）、李蓘诗石刻（桃庄河村黄龙寨村；明代）、於家沟石桥（彭沟村於家沟村、清代）、桃庄河综合水利工程。</w:t>
      </w:r>
    </w:p>
    <w:p>
      <w:pPr>
        <w:pStyle w:val="4"/>
        <w:spacing w:before="195" w:after="195"/>
      </w:pPr>
      <w:bookmarkStart w:id="7" w:name="_Hlk150173614"/>
      <w:r>
        <w:rPr>
          <w:rFonts w:hint="eastAsia"/>
        </w:rPr>
        <w:t>国土空间用地现状</w:t>
      </w:r>
      <w:bookmarkEnd w:id="7"/>
    </w:p>
    <w:p>
      <w:pPr>
        <w:spacing w:before="65"/>
        <w:ind w:firstLine="640"/>
      </w:pPr>
      <w:r>
        <w:rPr>
          <w:rFonts w:hint="eastAsia"/>
        </w:rPr>
        <w:t>根据</w:t>
      </w:r>
      <w:r>
        <w:t>2020年国土变更调查数据，</w:t>
      </w:r>
      <w:r>
        <w:rPr>
          <w:rFonts w:hint="eastAsia"/>
        </w:rPr>
        <w:t>桃溪镇镇域总面积12618.97</w:t>
      </w:r>
      <w:r>
        <w:t>公顷。</w:t>
      </w:r>
      <w:r>
        <w:rPr>
          <w:rFonts w:hint="eastAsia"/>
        </w:rPr>
        <w:t>现状用地中，耕地2876.64</w:t>
      </w:r>
      <w:r>
        <w:t>公顷，占比</w:t>
      </w:r>
      <w:r>
        <w:rPr>
          <w:rFonts w:hint="eastAsia"/>
        </w:rPr>
        <w:t>22.80</w:t>
      </w:r>
      <w:r>
        <w:t>%；园地</w:t>
      </w:r>
      <w:r>
        <w:rPr>
          <w:rFonts w:hint="eastAsia"/>
        </w:rPr>
        <w:t>480.36</w:t>
      </w:r>
      <w:r>
        <w:t>公顷，占比</w:t>
      </w:r>
      <w:r>
        <w:rPr>
          <w:rFonts w:hint="eastAsia"/>
        </w:rPr>
        <w:t>3.81</w:t>
      </w:r>
      <w:r>
        <w:t>%；林地</w:t>
      </w:r>
      <w:r>
        <w:rPr>
          <w:rFonts w:hint="eastAsia"/>
        </w:rPr>
        <w:t>7210.64</w:t>
      </w:r>
      <w:r>
        <w:t>公顷，占比</w:t>
      </w:r>
      <w:r>
        <w:rPr>
          <w:rFonts w:hint="eastAsia"/>
        </w:rPr>
        <w:t>57.14</w:t>
      </w:r>
      <w:r>
        <w:t>%；草地</w:t>
      </w:r>
      <w:r>
        <w:rPr>
          <w:rFonts w:hint="eastAsia"/>
        </w:rPr>
        <w:t>285.98</w:t>
      </w:r>
      <w:r>
        <w:t>公顷，占比</w:t>
      </w:r>
      <w:r>
        <w:rPr>
          <w:rFonts w:hint="eastAsia"/>
        </w:rPr>
        <w:t>2.27</w:t>
      </w:r>
      <w:r>
        <w:t>%；农业设施建设用地</w:t>
      </w:r>
      <w:r>
        <w:rPr>
          <w:rFonts w:hint="eastAsia"/>
        </w:rPr>
        <w:t>116.06</w:t>
      </w:r>
      <w:r>
        <w:t>公顷，占比</w:t>
      </w:r>
      <w:r>
        <w:rPr>
          <w:rFonts w:hint="eastAsia"/>
        </w:rPr>
        <w:t>0.92</w:t>
      </w:r>
      <w:r>
        <w:t>%；陆地水域及其他土地</w:t>
      </w:r>
      <w:r>
        <w:rPr>
          <w:rFonts w:hint="eastAsia"/>
        </w:rPr>
        <w:t>571.74</w:t>
      </w:r>
      <w:r>
        <w:t>公顷，占比</w:t>
      </w:r>
      <w:r>
        <w:rPr>
          <w:rFonts w:hint="eastAsia"/>
        </w:rPr>
        <w:t>4.53</w:t>
      </w:r>
      <w:r>
        <w:t>%。</w:t>
      </w:r>
      <w:r>
        <w:rPr>
          <w:rFonts w:hint="eastAsia"/>
        </w:rPr>
        <w:t>全镇非建设用地11541.41</w:t>
      </w:r>
      <w:r>
        <w:t>公顷，占比</w:t>
      </w:r>
      <w:r>
        <w:rPr>
          <w:rFonts w:hint="eastAsia"/>
        </w:rPr>
        <w:t>91.46</w:t>
      </w:r>
      <w:r>
        <w:t>%；建设用地</w:t>
      </w:r>
      <w:r>
        <w:rPr>
          <w:rFonts w:hint="eastAsia"/>
        </w:rPr>
        <w:t>1077.56</w:t>
      </w:r>
      <w:r>
        <w:t>公顷，占比</w:t>
      </w:r>
      <w:r>
        <w:rPr>
          <w:rFonts w:hint="eastAsia"/>
        </w:rPr>
        <w:t>8.54</w:t>
      </w:r>
      <w:r>
        <w:t>%。</w:t>
      </w:r>
      <w:r>
        <w:rPr>
          <w:rFonts w:hint="eastAsia"/>
        </w:rPr>
        <w:t>现状建设用地中，城乡建设用地897.69</w:t>
      </w:r>
      <w:r>
        <w:t>公顷，占建设用地</w:t>
      </w:r>
      <w:r>
        <w:rPr>
          <w:rFonts w:hint="eastAsia"/>
        </w:rPr>
        <w:t>7.11</w:t>
      </w:r>
      <w:r>
        <w:t>%。其中，城镇用地</w:t>
      </w:r>
      <w:r>
        <w:rPr>
          <w:rFonts w:hint="eastAsia"/>
        </w:rPr>
        <w:t>59.99</w:t>
      </w:r>
      <w:r>
        <w:t>公顷，村庄用地</w:t>
      </w:r>
      <w:r>
        <w:rPr>
          <w:rFonts w:hint="eastAsia"/>
        </w:rPr>
        <w:t>837.70</w:t>
      </w:r>
      <w:r>
        <w:t>公顷。</w:t>
      </w:r>
    </w:p>
    <w:p>
      <w:pPr>
        <w:pStyle w:val="3"/>
      </w:pPr>
      <w:r>
        <w:rPr>
          <w:rFonts w:hint="eastAsia"/>
        </w:rPr>
        <w:t>发展现状与发展成效</w:t>
      </w:r>
    </w:p>
    <w:p>
      <w:pPr>
        <w:pStyle w:val="4"/>
        <w:spacing w:before="195" w:after="195"/>
      </w:pPr>
      <w:r>
        <w:rPr>
          <w:rFonts w:hint="eastAsia"/>
        </w:rPr>
        <w:t>发展现状与成效</w:t>
      </w:r>
    </w:p>
    <w:p>
      <w:pPr>
        <w:spacing w:before="65"/>
        <w:ind w:firstLine="640"/>
        <w:rPr>
          <w:highlight w:val="yellow"/>
        </w:rPr>
      </w:pPr>
      <w:r>
        <w:rPr>
          <w:rFonts w:hint="eastAsia"/>
        </w:rPr>
        <w:t>特色产业方面，种植有大樱桃、板栗、茶叶、紫薯、菌菇等作物种植等，大路村、桃庄河村、黑山村、东川村、彭沟村发展大樱桃，已发展6100亩，成立大樱桃专业合作社5个；以寺河村、石碑营村、桃溪村为主的茶产业，通过“政府+公司+合作社+贫困户”的扶贫模式，已发展6000余亩，成立茶叶专业合作社4家，带动产业发展</w:t>
      </w:r>
      <w:r>
        <w:t>。</w:t>
      </w:r>
    </w:p>
    <w:p>
      <w:pPr>
        <w:spacing w:before="65"/>
        <w:ind w:firstLine="640"/>
      </w:pPr>
      <w:r>
        <w:rPr>
          <w:rFonts w:hint="eastAsia"/>
        </w:rPr>
        <w:t>工业发展方面，现状以大理石加工为主导产业，规模以上工业企业3家。</w:t>
      </w:r>
    </w:p>
    <w:p>
      <w:pPr>
        <w:pStyle w:val="3"/>
      </w:pPr>
      <w:r>
        <w:rPr>
          <w:rFonts w:hint="eastAsia"/>
        </w:rPr>
        <w:t>主要问题和风险挑战</w:t>
      </w:r>
    </w:p>
    <w:p>
      <w:pPr>
        <w:pStyle w:val="4"/>
        <w:spacing w:before="195" w:after="195"/>
      </w:pPr>
      <w:r>
        <w:rPr>
          <w:rFonts w:hint="eastAsia"/>
        </w:rPr>
        <w:t>主要问题</w:t>
      </w:r>
    </w:p>
    <w:p>
      <w:pPr>
        <w:ind w:firstLine="640"/>
      </w:pPr>
      <w:r>
        <w:rPr>
          <w:rFonts w:hint="eastAsia"/>
        </w:rPr>
        <w:t>产业结构不明晰，二产急需产业转型。桃溪镇第一产业以特色种植为主。第二产业为复合产业，包括建材、采矿、化工等。由于历史遗留原因，工业小规模发展，类型复杂多样，无主导产业。第三产业主要为商业，集中在镇区，沿省道330分布，以门店形式为主，多为商超、日用品及营业厅等。产业类型多样，但无明确主导产业，产业发展方向不清晰。</w:t>
      </w:r>
    </w:p>
    <w:p>
      <w:pPr>
        <w:ind w:firstLine="640"/>
      </w:pPr>
      <w:r>
        <w:rPr>
          <w:rFonts w:hint="eastAsia"/>
        </w:rPr>
        <w:t>乡镇整体风貌特色不突出。低山浅丘，林田交织的自然山水格局优美，但村庄建设风貌缺乏有限管控，建筑风格多样，特色不突出。</w:t>
      </w:r>
    </w:p>
    <w:p>
      <w:pPr>
        <w:ind w:firstLine="640"/>
        <w:rPr>
          <w:lang w:bidi="ar"/>
        </w:rPr>
      </w:pPr>
      <w:r>
        <w:rPr>
          <w:rFonts w:hint="eastAsia"/>
        </w:rPr>
        <w:t>公共设施和基础设施不完善，城乡建设品质有待提高。全镇共1处敬老院，村庄缺乏养老设施；部分村庄缺乏文化、体育设施。道路通行能力不能全覆盖镇域自然村（点），通行便利性不足，仍需努力，基础设施全覆盖压力较大</w:t>
      </w:r>
      <w:r>
        <w:t>。</w:t>
      </w:r>
    </w:p>
    <w:p>
      <w:pPr>
        <w:pStyle w:val="4"/>
        <w:spacing w:before="195" w:after="195"/>
      </w:pPr>
      <w:r>
        <w:rPr>
          <w:rFonts w:hint="eastAsia"/>
        </w:rPr>
        <w:t>风险挑战</w:t>
      </w:r>
    </w:p>
    <w:p>
      <w:pPr>
        <w:ind w:firstLine="640"/>
        <w:jc w:val="left"/>
        <w:rPr>
          <w:rFonts w:ascii="仿宋_GB2312" w:hAnsi="仿宋_GB2312"/>
          <w:color w:val="000000"/>
          <w:szCs w:val="24"/>
        </w:rPr>
      </w:pPr>
      <w:r>
        <w:rPr>
          <w:rFonts w:hint="eastAsia" w:ascii="仿宋_GB2312" w:hAnsi="仿宋_GB2312"/>
          <w:color w:val="000000"/>
          <w:szCs w:val="24"/>
        </w:rPr>
        <w:t>桃溪镇东川村、黑山村、桃庄河村、大路村和寺河村位于地质灾害高风险区；桃庄河村因</w:t>
      </w:r>
      <w:r>
        <w:rPr>
          <w:rFonts w:ascii="仿宋_GB2312" w:hAnsi="仿宋_GB2312"/>
          <w:color w:val="000000"/>
          <w:szCs w:val="24"/>
        </w:rPr>
        <w:t>矿产开采存在地</w:t>
      </w:r>
      <w:r>
        <w:rPr>
          <w:rFonts w:hint="eastAsia" w:ascii="仿宋_GB2312" w:hAnsi="仿宋_GB2312"/>
          <w:color w:val="000000"/>
          <w:szCs w:val="24"/>
        </w:rPr>
        <w:t>滑坡隐患点</w:t>
      </w:r>
      <w:r>
        <w:rPr>
          <w:rFonts w:ascii="仿宋_GB2312" w:hAnsi="仿宋_GB2312"/>
          <w:color w:val="000000"/>
          <w:szCs w:val="24"/>
        </w:rPr>
        <w:t>；这些对生产生活安全存在一定负面影响。</w:t>
      </w:r>
    </w:p>
    <w:p>
      <w:pPr>
        <w:spacing w:before="65"/>
        <w:ind w:firstLine="640"/>
        <w:rPr>
          <w:lang w:bidi="ar"/>
        </w:rPr>
      </w:pPr>
      <w:r>
        <w:rPr>
          <w:rFonts w:ascii="仿宋_GB2312" w:hAnsi="仿宋_GB2312"/>
          <w:color w:val="000000"/>
          <w:szCs w:val="24"/>
        </w:rPr>
        <w:t>人口外流及人口老龄化风险。随着社会经济发展，区域要素流动将更加频繁，人口外流、人口老龄化对</w:t>
      </w:r>
      <w:r>
        <w:rPr>
          <w:rFonts w:hint="eastAsia" w:ascii="仿宋_GB2312" w:hAnsi="仿宋_GB2312"/>
          <w:color w:val="000000"/>
          <w:szCs w:val="24"/>
        </w:rPr>
        <w:t>桃溪</w:t>
      </w:r>
      <w:r>
        <w:rPr>
          <w:rFonts w:ascii="仿宋_GB2312" w:hAnsi="仿宋_GB2312"/>
          <w:color w:val="000000"/>
          <w:szCs w:val="24"/>
        </w:rPr>
        <w:t>镇未来城镇化率和产业发展将产生重大影响，</w:t>
      </w:r>
      <w:r>
        <w:rPr>
          <w:rFonts w:hint="eastAsia" w:ascii="仿宋_GB2312" w:hAnsi="仿宋_GB2312"/>
          <w:color w:val="000000"/>
          <w:szCs w:val="24"/>
        </w:rPr>
        <w:t>桃溪</w:t>
      </w:r>
      <w:r>
        <w:rPr>
          <w:rFonts w:ascii="仿宋_GB2312" w:hAnsi="仿宋_GB2312"/>
          <w:color w:val="000000"/>
          <w:szCs w:val="24"/>
        </w:rPr>
        <w:t>镇社会福利体系构建也存在一定压力</w:t>
      </w:r>
      <w:r>
        <w:rPr>
          <w:rFonts w:hint="eastAsia"/>
          <w:lang w:bidi="ar"/>
        </w:rPr>
        <w:t>。</w:t>
      </w:r>
    </w:p>
    <w:p>
      <w:pPr>
        <w:spacing w:before="65" w:after="120"/>
        <w:ind w:firstLine="640"/>
      </w:pPr>
      <w:r>
        <w:br w:type="page"/>
      </w:r>
    </w:p>
    <w:p>
      <w:pPr>
        <w:spacing w:before="65" w:after="120"/>
        <w:ind w:firstLine="640"/>
      </w:pPr>
    </w:p>
    <w:p>
      <w:pPr>
        <w:pStyle w:val="2"/>
        <w:spacing w:before="489" w:after="489"/>
      </w:pPr>
      <w:bookmarkStart w:id="8" w:name="_Toc206777512"/>
      <w:r>
        <w:rPr>
          <w:rFonts w:hint="eastAsia"/>
        </w:rPr>
        <w:t>发展定位与目标</w:t>
      </w:r>
      <w:bookmarkEnd w:id="8"/>
    </w:p>
    <w:p>
      <w:pPr>
        <w:pStyle w:val="3"/>
      </w:pPr>
      <w:r>
        <w:rPr>
          <w:rFonts w:hint="eastAsia"/>
        </w:rPr>
        <w:t>发展定位</w:t>
      </w:r>
    </w:p>
    <w:p>
      <w:pPr>
        <w:pStyle w:val="4"/>
        <w:spacing w:before="195" w:after="195"/>
      </w:pPr>
      <w:r>
        <w:rPr>
          <w:rFonts w:hint="eastAsia"/>
        </w:rPr>
        <w:t>落实乡镇主体功能</w:t>
      </w:r>
    </w:p>
    <w:p>
      <w:pPr>
        <w:spacing w:before="65"/>
        <w:ind w:firstLine="640"/>
      </w:pPr>
      <w:r>
        <w:rPr>
          <w:rFonts w:hint="eastAsia"/>
          <w:lang w:bidi="ar"/>
        </w:rPr>
        <w:t>桃溪镇为重点生态功能区</w:t>
      </w:r>
      <w:r>
        <w:rPr>
          <w:rFonts w:hint="eastAsia"/>
        </w:rPr>
        <w:t>。</w:t>
      </w:r>
    </w:p>
    <w:p>
      <w:pPr>
        <w:pStyle w:val="4"/>
        <w:spacing w:before="195" w:after="195"/>
      </w:pPr>
      <w:r>
        <w:rPr>
          <w:rFonts w:hint="eastAsia"/>
        </w:rPr>
        <w:t>发展定位</w:t>
      </w:r>
    </w:p>
    <w:p>
      <w:pPr>
        <w:spacing w:before="65"/>
        <w:ind w:firstLine="640"/>
      </w:pPr>
      <w:r>
        <w:rPr>
          <w:rFonts w:hint="eastAsia"/>
        </w:rPr>
        <w:t>以生态保护与文旅融合为指导，发展成为省级生态镇、豫南丘陵特色农业示范区、内乡西部门户旅游乡镇。</w:t>
      </w:r>
    </w:p>
    <w:p>
      <w:pPr>
        <w:spacing w:before="65"/>
        <w:ind w:firstLine="640"/>
        <w:rPr>
          <w:highlight w:val="yellow"/>
        </w:rPr>
      </w:pPr>
      <w:r>
        <w:rPr>
          <w:rFonts w:hint="eastAsia"/>
        </w:rPr>
        <w:t>内乡县南部省级重点生态功能区，丹江口水库水源涵养功能区；整合自然资源要素及“桃庄河红色文化精神” ，发展特色“文化+旅游”；以生态提升、特色农业种植及商贸物流为职能，打造生态宜居、美丽动人的特色小镇。</w:t>
      </w:r>
    </w:p>
    <w:p>
      <w:pPr>
        <w:pStyle w:val="3"/>
      </w:pPr>
      <w:r>
        <w:rPr>
          <w:rFonts w:hint="eastAsia"/>
        </w:rPr>
        <w:t>发展目标</w:t>
      </w:r>
    </w:p>
    <w:p>
      <w:pPr>
        <w:pStyle w:val="4"/>
        <w:spacing w:before="195" w:after="195"/>
      </w:pPr>
      <w:r>
        <w:rPr>
          <w:rFonts w:hint="eastAsia"/>
        </w:rPr>
        <w:t>发展目标</w:t>
      </w:r>
    </w:p>
    <w:p>
      <w:pPr>
        <w:ind w:firstLine="640" w:firstLineChars="0"/>
      </w:pPr>
      <w:bookmarkStart w:id="9" w:name="_Hlk207461727"/>
      <w:r>
        <w:t>1.总体目标</w:t>
      </w:r>
    </w:p>
    <w:p>
      <w:pPr>
        <w:ind w:firstLine="640"/>
      </w:pPr>
      <w:r>
        <w:t>以建设</w:t>
      </w:r>
      <w:r>
        <w:rPr>
          <w:rFonts w:hint="eastAsia"/>
        </w:rPr>
        <w:t>“省级生态镇、特色文旅小镇、生态田园宜居名镇、高效特色农业示范区”为目标愿景，优化全域国土空间格局，强化底线管控，科学</w:t>
      </w:r>
      <w:r>
        <w:t>高效配置国土空间资源，提升国土空间品质，构建绿色永续、集约高效、协调统筹、宜居共享和安全韧性的国土空间。以创新引领实现三产联动的高质量发展，推进新型城镇化建设，创建高品质人居环境，推动国土空间治理现代化。</w:t>
      </w:r>
    </w:p>
    <w:p>
      <w:pPr>
        <w:ind w:firstLine="640"/>
      </w:pPr>
      <w:r>
        <w:t>2.分阶段目标</w:t>
      </w:r>
    </w:p>
    <w:p>
      <w:pPr>
        <w:ind w:firstLine="640"/>
      </w:pPr>
      <w:r>
        <w:rPr>
          <w:rFonts w:hint="eastAsia"/>
        </w:rPr>
        <w:t>近期目标（</w:t>
      </w:r>
      <w:r>
        <w:t>2025年）：严守国土空间安全底线，生态保护红线、永久基本农田保护红线、城镇开发边界得到严格落实，耕地保有量不低于</w:t>
      </w:r>
      <w:r>
        <w:rPr>
          <w:rFonts w:hint="eastAsia"/>
        </w:rPr>
        <w:t>2869.13</w:t>
      </w:r>
      <w:r>
        <w:t>公顷，永久基本农田保护目</w:t>
      </w:r>
      <w:r>
        <w:rPr>
          <w:rFonts w:hint="eastAsia"/>
        </w:rPr>
        <w:t>标不低于2756.79</w:t>
      </w:r>
      <w:r>
        <w:t>公顷；城乡空间布局进一步优化，镇域常</w:t>
      </w:r>
      <w:r>
        <w:rPr>
          <w:rFonts w:hint="eastAsia"/>
        </w:rPr>
        <w:t>住人口约17671</w:t>
      </w:r>
      <w:r>
        <w:t>人，</w:t>
      </w:r>
      <w:r>
        <w:rPr>
          <w:rFonts w:hint="eastAsia"/>
        </w:rPr>
        <w:t>城镇</w:t>
      </w:r>
      <w:r>
        <w:t>常住人口规模约</w:t>
      </w:r>
      <w:r>
        <w:rPr>
          <w:rFonts w:hint="eastAsia"/>
        </w:rPr>
        <w:t>4417</w:t>
      </w:r>
      <w:r>
        <w:t>人，城镇</w:t>
      </w:r>
      <w:r>
        <w:rPr>
          <w:rFonts w:hint="eastAsia"/>
        </w:rPr>
        <w:t>化率约2</w:t>
      </w:r>
      <w:r>
        <w:t>5%，城镇化水平进一步提升，人口进一步集聚；</w:t>
      </w:r>
      <w:r>
        <w:rPr>
          <w:rFonts w:hint="eastAsia"/>
        </w:rPr>
        <w:t>特色农业种植及养殖规模进一步扩大，实现稳步发展，农产</w:t>
      </w:r>
      <w:r>
        <w:t>品深加工产业初具规模；工业发展经济效益呈上升趋势。</w:t>
      </w:r>
    </w:p>
    <w:p>
      <w:pPr>
        <w:ind w:firstLine="640"/>
      </w:pPr>
      <w:r>
        <w:rPr>
          <w:rFonts w:hint="eastAsia"/>
        </w:rPr>
        <w:t>远期目标（</w:t>
      </w:r>
      <w:r>
        <w:t>2035年）：国土空间治理体系和治理能力现代化基本实现，城镇总体发展格局全面稳固，现代高效农业建设完成，工业转型升级成功，生态保护和环境建设取得明显成效，生态文化旅游经济实现高质量发展；形成功能互补、分工明确的镇域村镇体系和辐射带动能力强的镇区，全镇基础设施配套完善，人居环境品质优良，人民生活水平和质量显著提高，逐步实现农村城乡一体化；城乡空间布局更加优化，镇域常住人口约</w:t>
      </w:r>
      <w:r>
        <w:rPr>
          <w:rFonts w:hint="eastAsia"/>
        </w:rPr>
        <w:t>16959</w:t>
      </w:r>
      <w:r>
        <w:t>人，</w:t>
      </w:r>
      <w:r>
        <w:rPr>
          <w:rFonts w:hint="eastAsia"/>
        </w:rPr>
        <w:t>城镇</w:t>
      </w:r>
      <w:r>
        <w:t>常住人口规模约</w:t>
      </w:r>
      <w:r>
        <w:rPr>
          <w:rFonts w:hint="eastAsia"/>
        </w:rPr>
        <w:t>6274</w:t>
      </w:r>
      <w:r>
        <w:t>人，城镇化率约</w:t>
      </w:r>
      <w:r>
        <w:rPr>
          <w:rFonts w:hint="eastAsia"/>
        </w:rPr>
        <w:t>37</w:t>
      </w:r>
      <w:r>
        <w:t>%，城镇化水平大幅提升，人口更加集</w:t>
      </w:r>
      <w:r>
        <w:rPr>
          <w:rFonts w:hint="eastAsia"/>
        </w:rPr>
        <w:t>聚；基本实现三产融合发展，基本建设成为环境优美、功</w:t>
      </w:r>
      <w:r>
        <w:t>能完善、宜居宜业的</w:t>
      </w:r>
      <w:r>
        <w:rPr>
          <w:rFonts w:hint="eastAsia"/>
        </w:rPr>
        <w:t>内乡县生态文旅镇</w:t>
      </w:r>
      <w:bookmarkEnd w:id="9"/>
      <w:r>
        <w:t>。</w:t>
      </w:r>
    </w:p>
    <w:p>
      <w:pPr>
        <w:pStyle w:val="3"/>
      </w:pPr>
      <w:r>
        <w:rPr>
          <w:rFonts w:hint="eastAsia"/>
        </w:rPr>
        <w:t>规划指标体系</w:t>
      </w:r>
    </w:p>
    <w:p>
      <w:pPr>
        <w:pStyle w:val="4"/>
        <w:spacing w:before="195" w:after="195"/>
      </w:pPr>
      <w:r>
        <w:rPr>
          <w:rFonts w:hint="eastAsia"/>
        </w:rPr>
        <w:t>规划指标体系</w:t>
      </w:r>
    </w:p>
    <w:p>
      <w:pPr>
        <w:spacing w:before="65" w:after="120"/>
        <w:ind w:firstLine="640"/>
      </w:pPr>
      <w:bookmarkStart w:id="10" w:name="_Hlk152769328"/>
      <w:r>
        <w:rPr>
          <w:rFonts w:hint="eastAsia"/>
        </w:rPr>
        <w:t>桃溪镇国土空间开发保护指标要落实衔接内乡县级国土空间规划指标，国土空间资源保护优先，提质增效，效率优先，保障国土安全，加强整治修复的原则。根据桃溪镇的实际情况，指标类型分为约束性指标、预期性指标和引导性指标三类。</w:t>
      </w:r>
    </w:p>
    <w:p>
      <w:pPr>
        <w:pStyle w:val="3"/>
      </w:pPr>
      <w:r>
        <w:rPr>
          <w:rFonts w:hint="eastAsia"/>
        </w:rPr>
        <w:t>国土空间开发保护策略</w:t>
      </w:r>
    </w:p>
    <w:p>
      <w:pPr>
        <w:pStyle w:val="4"/>
        <w:spacing w:before="195" w:after="195"/>
      </w:pPr>
      <w:bookmarkStart w:id="11" w:name="_Hlk200561688"/>
      <w:bookmarkStart w:id="12" w:name="_Hlk200529460"/>
      <w:r>
        <w:rPr>
          <w:rFonts w:hint="eastAsia"/>
        </w:rPr>
        <w:t>国土空间开发保护策略</w:t>
      </w:r>
    </w:p>
    <w:bookmarkEnd w:id="11"/>
    <w:p>
      <w:pPr>
        <w:ind w:firstLine="640"/>
      </w:pPr>
      <w:bookmarkStart w:id="13" w:name="_Hlk200561701"/>
      <w:bookmarkStart w:id="14" w:name="_Hlk206698702"/>
      <w:r>
        <w:rPr>
          <w:rFonts w:hint="eastAsia"/>
        </w:rPr>
        <w:t>落实底线约束，保证三条控制线落地。落实最严格的耕地保护制度、生态保护制度和节约用地制度。科学避让地质灾害风险，构建安全韧性国土空间，维护粮食安全、生态安全。</w:t>
      </w:r>
    </w:p>
    <w:p>
      <w:pPr>
        <w:ind w:firstLine="640"/>
      </w:pPr>
      <w:r>
        <w:t>优化空间格局</w:t>
      </w:r>
      <w:r>
        <w:rPr>
          <w:rFonts w:hint="eastAsia"/>
        </w:rPr>
        <w:t>，</w:t>
      </w:r>
      <w:r>
        <w:t>构建高效、协调、可持续的国土空间结构</w:t>
      </w:r>
      <w:r>
        <w:rPr>
          <w:rFonts w:hint="eastAsia"/>
        </w:rPr>
        <w:t>，统一协调生产空间、生活空间、生态空间布局。推动产业转型升级，发展特色优势产业和绿色低碳产业，引导产业用地向镇区集中。做好南水北调汇水区域内水污染防治工作，减少污染物入河量，确保河流进入保护区时水质达到保护区水质要求。严控高耗能、高污染项目用地。</w:t>
      </w:r>
    </w:p>
    <w:p>
      <w:pPr>
        <w:spacing w:before="65"/>
        <w:ind w:firstLine="640"/>
      </w:pPr>
      <w:r>
        <w:t>强化基础设施和公共服务支撑</w:t>
      </w:r>
      <w:r>
        <w:rPr>
          <w:rFonts w:hint="eastAsia"/>
        </w:rPr>
        <w:t>。构建便捷高效的内外交通网络，完善市政道路、停车场。提升供水、排水（雨污分流）、供电、供气、供热、通信、垃圾处理（分类）、污水处理等设施能力和智慧化水平。加强防洪排涝、抗震、消防、地质灾害防治等设施建设和应急能力。注重社区级公共服务设施的均衡布局和便捷可达，配套工业邻里，支持新兴产业发展。</w:t>
      </w:r>
    </w:p>
    <w:p>
      <w:pPr>
        <w:spacing w:before="65"/>
        <w:ind w:firstLine="640"/>
      </w:pPr>
      <w:r>
        <w:rPr>
          <w:rFonts w:hint="eastAsia"/>
        </w:rPr>
        <w:t>保护桃溪镇历史文化遗产。将地方文化元素融入城镇风貌管控引导。控制建筑高度、体量、色彩和风格，形成与自然环境、地域文化相协调的城镇风貌。打造具有识别性的公共空间节点。推动公园绿地与城镇空间有机融合，提升蓝绿空间（水系、绿地）的连通性和亲民性。</w:t>
      </w:r>
    </w:p>
    <w:bookmarkEnd w:id="13"/>
    <w:bookmarkEnd w:id="14"/>
    <w:p>
      <w:pPr>
        <w:spacing w:before="65"/>
        <w:ind w:firstLine="640"/>
      </w:pPr>
    </w:p>
    <w:bookmarkEnd w:id="10"/>
    <w:bookmarkEnd w:id="12"/>
    <w:p>
      <w:pPr>
        <w:spacing w:before="65"/>
        <w:ind w:firstLine="640"/>
      </w:pPr>
      <w:r>
        <w:br w:type="page"/>
      </w:r>
    </w:p>
    <w:p>
      <w:pPr>
        <w:spacing w:before="65"/>
        <w:ind w:firstLine="640"/>
      </w:pPr>
    </w:p>
    <w:p>
      <w:pPr>
        <w:pStyle w:val="2"/>
        <w:spacing w:before="489" w:after="489"/>
      </w:pPr>
      <w:bookmarkStart w:id="15" w:name="_Toc206777513"/>
      <w:bookmarkStart w:id="16" w:name="_Hlk150329632"/>
      <w:r>
        <w:rPr>
          <w:rFonts w:hint="eastAsia"/>
        </w:rPr>
        <w:t>底线约束</w:t>
      </w:r>
      <w:bookmarkEnd w:id="15"/>
    </w:p>
    <w:p>
      <w:pPr>
        <w:pStyle w:val="3"/>
      </w:pPr>
      <w:bookmarkStart w:id="17" w:name="_Hlk142658448"/>
      <w:r>
        <w:rPr>
          <w:rFonts w:hint="eastAsia"/>
        </w:rPr>
        <w:t>严格落实“三区三线”</w:t>
      </w:r>
    </w:p>
    <w:bookmarkEnd w:id="17"/>
    <w:p>
      <w:pPr>
        <w:pStyle w:val="4"/>
        <w:spacing w:before="195" w:after="195"/>
      </w:pPr>
      <w:r>
        <w:rPr>
          <w:rFonts w:hint="eastAsia"/>
        </w:rPr>
        <w:t>严格落实</w:t>
      </w:r>
      <w:r>
        <w:t>耕地和</w:t>
      </w:r>
      <w:r>
        <w:rPr>
          <w:rFonts w:hint="eastAsia"/>
        </w:rPr>
        <w:t>永久基本农田</w:t>
      </w:r>
    </w:p>
    <w:p>
      <w:pPr>
        <w:pStyle w:val="5"/>
        <w:spacing w:before="97" w:after="97"/>
        <w:ind w:firstLine="640"/>
      </w:pPr>
      <w:r>
        <w:rPr>
          <w:rFonts w:hint="eastAsia"/>
        </w:rPr>
        <w:t>耕地和永久基本农田</w:t>
      </w:r>
    </w:p>
    <w:p>
      <w:pPr>
        <w:spacing w:before="65" w:after="120"/>
        <w:ind w:firstLine="640"/>
      </w:pPr>
      <w:bookmarkStart w:id="18" w:name="_Hlk206698744"/>
      <w:r>
        <w:rPr>
          <w:rFonts w:hint="eastAsia"/>
          <w:u w:val="single"/>
        </w:rPr>
        <w:t>根据上位规划传导，全镇共落实耕地保有量不低于2869.13</w:t>
      </w:r>
      <w:r>
        <w:rPr>
          <w:u w:val="single"/>
        </w:rPr>
        <w:t>公顷。</w:t>
      </w:r>
      <w:r>
        <w:rPr>
          <w:rFonts w:hint="eastAsia"/>
          <w:u w:val="single"/>
        </w:rPr>
        <w:t>根据上位规划，永久基本农田保护红线面积2756.79</w:t>
      </w:r>
      <w:r>
        <w:rPr>
          <w:u w:val="single"/>
        </w:rPr>
        <w:t>公顷，</w:t>
      </w:r>
      <w:r>
        <w:rPr>
          <w:rFonts w:hint="eastAsia"/>
        </w:rPr>
        <w:t>根据永久基本农田核实处置成果，实际落实永久基本农田保护红线面积2763.49</w:t>
      </w:r>
      <w:r>
        <w:t>公顷</w:t>
      </w:r>
      <w:bookmarkEnd w:id="18"/>
      <w:r>
        <w:rPr>
          <w:rFonts w:hint="eastAsia"/>
        </w:rPr>
        <w:t>。</w:t>
      </w:r>
    </w:p>
    <w:p>
      <w:pPr>
        <w:pStyle w:val="4"/>
        <w:spacing w:before="195" w:after="195"/>
      </w:pPr>
      <w:r>
        <w:rPr>
          <w:rFonts w:hint="eastAsia"/>
        </w:rPr>
        <w:t>严格落实生态保护红线</w:t>
      </w:r>
    </w:p>
    <w:p>
      <w:pPr>
        <w:pStyle w:val="5"/>
        <w:spacing w:before="97" w:after="97"/>
        <w:ind w:firstLine="640"/>
      </w:pPr>
      <w:r>
        <w:rPr>
          <w:rFonts w:hint="eastAsia"/>
        </w:rPr>
        <w:t>生态保护红线划定</w:t>
      </w:r>
    </w:p>
    <w:p>
      <w:pPr>
        <w:spacing w:before="65" w:after="120"/>
        <w:ind w:firstLine="640"/>
      </w:pPr>
      <w:bookmarkStart w:id="19" w:name="_Hlk150442329"/>
      <w:r>
        <w:rPr>
          <w:rFonts w:hint="eastAsia"/>
        </w:rPr>
        <w:t>根据上位规划，全镇无生态保护红线</w:t>
      </w:r>
      <w:r>
        <w:t>。</w:t>
      </w:r>
    </w:p>
    <w:bookmarkEnd w:id="19"/>
    <w:p>
      <w:pPr>
        <w:pStyle w:val="4"/>
        <w:spacing w:before="195" w:after="195"/>
      </w:pPr>
      <w:r>
        <w:rPr>
          <w:rFonts w:hint="eastAsia"/>
        </w:rPr>
        <w:t>严格落实城镇开发边界</w:t>
      </w:r>
    </w:p>
    <w:p>
      <w:pPr>
        <w:pStyle w:val="5"/>
        <w:spacing w:before="97" w:after="97"/>
        <w:ind w:firstLine="640"/>
      </w:pPr>
      <w:r>
        <w:rPr>
          <w:rFonts w:hint="eastAsia"/>
        </w:rPr>
        <w:t>城镇开发边界划定</w:t>
      </w:r>
    </w:p>
    <w:p>
      <w:pPr>
        <w:spacing w:before="65" w:after="120"/>
        <w:ind w:firstLine="640"/>
      </w:pPr>
      <w:bookmarkStart w:id="20" w:name="_Hlk206698798"/>
      <w:r>
        <w:rPr>
          <w:rFonts w:hint="eastAsia"/>
          <w:u w:val="single"/>
        </w:rPr>
        <w:t>根据上位规划，桃溪镇落实</w:t>
      </w:r>
      <w:r>
        <w:rPr>
          <w:u w:val="single"/>
        </w:rPr>
        <w:t>城镇开发边界</w:t>
      </w:r>
      <w:r>
        <w:rPr>
          <w:rFonts w:hint="eastAsia"/>
          <w:u w:val="single"/>
        </w:rPr>
        <w:t>59.99公顷</w:t>
      </w:r>
      <w:bookmarkEnd w:id="20"/>
      <w:r>
        <w:rPr>
          <w:rFonts w:hint="eastAsia"/>
        </w:rPr>
        <w:t>。</w:t>
      </w:r>
    </w:p>
    <w:p>
      <w:pPr>
        <w:pStyle w:val="3"/>
      </w:pPr>
      <w:r>
        <w:rPr>
          <w:rFonts w:hint="eastAsia"/>
        </w:rPr>
        <w:t>核准落实其他控制线</w:t>
      </w:r>
    </w:p>
    <w:p>
      <w:pPr>
        <w:pStyle w:val="4"/>
        <w:spacing w:before="195" w:after="195"/>
      </w:pPr>
      <w:r>
        <w:rPr>
          <w:rFonts w:hint="eastAsia"/>
        </w:rPr>
        <w:t>历史文化保护线</w:t>
      </w:r>
    </w:p>
    <w:p>
      <w:pPr>
        <w:spacing w:before="65"/>
        <w:ind w:firstLine="640"/>
      </w:pPr>
      <w:bookmarkStart w:id="21" w:name="_Hlk152257056"/>
      <w:r>
        <w:rPr>
          <w:rFonts w:hint="eastAsia"/>
          <w:u w:val="single"/>
        </w:rPr>
        <w:t>全镇历史文化保护线4处，均</w:t>
      </w:r>
      <w:r>
        <w:rPr>
          <w:u w:val="single"/>
        </w:rPr>
        <w:t>为县级文物保护单位，分别是</w:t>
      </w:r>
      <w:r>
        <w:rPr>
          <w:rFonts w:hint="eastAsia"/>
          <w:u w:val="single"/>
        </w:rPr>
        <w:t>於家沟石桥、李蓘诗石刻、桃庄河综合水利工程、靳世红宅院，历史文化保护线总面积为207.50公顷。</w:t>
      </w:r>
      <w:r>
        <w:rPr>
          <w:rFonts w:hint="eastAsia"/>
        </w:rPr>
        <w:t>桃溪镇历史文化保护线结合镇域历史文化遗产保护范围和建设控制地带的划定情况，及时落实动态补划，纳入国土空间规划“一张图”进行管控。</w:t>
      </w:r>
    </w:p>
    <w:bookmarkEnd w:id="21"/>
    <w:p>
      <w:pPr>
        <w:pStyle w:val="4"/>
        <w:spacing w:before="195" w:after="195"/>
      </w:pPr>
      <w:r>
        <w:rPr>
          <w:rFonts w:hint="eastAsia"/>
        </w:rPr>
        <w:t>洪涝风险控制线</w:t>
      </w:r>
    </w:p>
    <w:p>
      <w:pPr>
        <w:spacing w:before="65" w:after="156"/>
        <w:ind w:firstLine="640"/>
      </w:pPr>
      <w:bookmarkStart w:id="22" w:name="_Hlk206698818"/>
      <w:bookmarkStart w:id="23" w:name="_Hlk152257166"/>
      <w:r>
        <w:rPr>
          <w:rFonts w:hint="eastAsia"/>
        </w:rPr>
        <w:t>按照上位规划传导，落实洪涝风险控制线。主要为寺河、刁河的洪涝风险控制线。洪涝风险控制线内禁止新增城乡建设用地，确需新增的，需经得水利部门的意见后落实</w:t>
      </w:r>
      <w:bookmarkEnd w:id="22"/>
      <w:r>
        <w:rPr>
          <w:rFonts w:hint="eastAsia"/>
        </w:rPr>
        <w:t>。</w:t>
      </w:r>
    </w:p>
    <w:bookmarkEnd w:id="23"/>
    <w:p>
      <w:pPr>
        <w:pStyle w:val="4"/>
      </w:pPr>
      <w:r>
        <w:rPr>
          <w:rFonts w:hint="eastAsia"/>
        </w:rPr>
        <w:t>矿产资源开采保护线</w:t>
      </w:r>
    </w:p>
    <w:p>
      <w:pPr>
        <w:spacing w:before="65" w:after="156"/>
        <w:ind w:firstLine="640"/>
      </w:pPr>
      <w:r>
        <w:rPr>
          <w:rFonts w:hint="eastAsia"/>
        </w:rPr>
        <w:t>全镇划定矿产资源开采保护线4</w:t>
      </w:r>
      <w:r>
        <w:t>处，</w:t>
      </w:r>
      <w:r>
        <w:rPr>
          <w:rFonts w:hint="eastAsia"/>
        </w:rPr>
        <w:t>分别为河南省内乡县大桥-浙川县上集一带钒矿详查(内乡县靳家洼-杜槽矿段)、河南省淅川县石佛庵铜(镍)矿普查、河南省淅川县王家庄-内乡县李家营钒矿详查、内乡师岗重点开采区</w:t>
      </w:r>
      <w:r>
        <w:t>，涉及规模3915.17公顷。</w:t>
      </w:r>
    </w:p>
    <w:p>
      <w:pPr>
        <w:pStyle w:val="4"/>
        <w:spacing w:before="195" w:after="195"/>
      </w:pPr>
      <w:r>
        <w:rPr>
          <w:rFonts w:hint="eastAsia"/>
        </w:rPr>
        <w:t>交通廊道控制线</w:t>
      </w:r>
    </w:p>
    <w:p>
      <w:pPr>
        <w:ind w:firstLine="640"/>
      </w:pPr>
      <w:r>
        <w:rPr>
          <w:rFonts w:hint="eastAsia"/>
        </w:rPr>
        <w:t>全镇交通控制廊道涉及高速铁路：南十高铁，根据《铁路安全管理条例》，铁路线路安全保护区的范围，从铁路线路路堤坡脚路堑坡顶或者铁路桥梁(含铁路、道路两用桥，下同)外侧起向外的距离分别为：村镇居民居住区高速铁路为15米，其他铁路为12米；其他地区高速铁路为20米，其他铁路为15米。</w:t>
      </w:r>
    </w:p>
    <w:p>
      <w:pPr>
        <w:ind w:firstLine="640"/>
      </w:pPr>
      <w:r>
        <w:rPr>
          <w:rFonts w:hint="eastAsia"/>
        </w:rPr>
        <w:t>根据《公路安全保护条例》，省道S330、S329在公路两侧修建永久性工程设施，其建筑物边缘与公路边沟外缘的间距为：省道S330、S329均不少于15米；县道X005、X007均不少于10米；乡道Y015不少于5米。</w:t>
      </w:r>
    </w:p>
    <w:p>
      <w:pPr>
        <w:pStyle w:val="4"/>
      </w:pPr>
      <w:r>
        <w:rPr>
          <w:rFonts w:hint="eastAsia"/>
        </w:rPr>
        <w:t>高压电力线路廊道控制线</w:t>
      </w:r>
    </w:p>
    <w:p>
      <w:pPr>
        <w:spacing w:before="65"/>
        <w:ind w:firstLine="640"/>
      </w:pPr>
      <w:bookmarkStart w:id="24" w:name="_Hlk206790588"/>
      <w:r>
        <w:rPr>
          <w:rFonts w:hint="eastAsia"/>
        </w:rPr>
        <w:t>镇域内高压电力线路廊道以</w:t>
      </w:r>
      <w:r>
        <w:t>110kV及其以上电力线为主。根据《城市电力规划规范》（GB/T50293-2014）及《电力设施保护条例》的要求</w:t>
      </w:r>
      <w:r>
        <w:rPr>
          <w:rFonts w:hint="eastAsia"/>
        </w:rPr>
        <w:t>，1100千伏特高压线电力廊道控制宽度90-110米；500千伏高压线电力廊道控制宽度60-75米；220千伏架空电力廊道控制宽度为30-40米，110kV高压电力线路廊道控制线宽度15-25米。</w:t>
      </w:r>
    </w:p>
    <w:p>
      <w:pPr>
        <w:pStyle w:val="4"/>
      </w:pPr>
      <w:r>
        <w:rPr>
          <w:rFonts w:hint="eastAsia"/>
        </w:rPr>
        <w:t>高压燃气廊道控制线</w:t>
      </w:r>
    </w:p>
    <w:p>
      <w:pPr>
        <w:spacing w:before="65"/>
        <w:ind w:firstLine="640"/>
      </w:pPr>
      <w:r>
        <w:rPr>
          <w:rFonts w:hint="eastAsia"/>
        </w:rPr>
        <w:t>镇域内高压燃气廊道主要为丹水-内乡-镇平-茶庵门站长输管线。天然气高压燃气管道走廊宽度应严格按照《油气输送管道完整性管理规范GB 32167》、《石油天然气管道保护条例（国务院令第313号）》、《燃气工程项目规范GB 55009》等控制和预留。</w:t>
      </w:r>
    </w:p>
    <w:bookmarkEnd w:id="24"/>
    <w:p>
      <w:pPr>
        <w:pStyle w:val="3"/>
      </w:pPr>
      <w:r>
        <w:rPr>
          <w:rFonts w:hint="eastAsia"/>
        </w:rPr>
        <w:t>划定村庄建设边界</w:t>
      </w:r>
    </w:p>
    <w:p>
      <w:pPr>
        <w:pStyle w:val="4"/>
        <w:spacing w:before="195" w:after="195"/>
      </w:pPr>
      <w:r>
        <w:rPr>
          <w:rFonts w:hint="eastAsia"/>
        </w:rPr>
        <w:t>村庄建设边界</w:t>
      </w:r>
      <w:r>
        <w:t>划定</w:t>
      </w:r>
    </w:p>
    <w:p>
      <w:pPr>
        <w:ind w:firstLine="640"/>
      </w:pPr>
      <w:r>
        <w:rPr>
          <w:rFonts w:hint="eastAsia"/>
        </w:rPr>
        <w:t>全镇</w:t>
      </w:r>
      <w:r>
        <w:t>划定村庄建设边界</w:t>
      </w:r>
      <w:r>
        <w:rPr>
          <w:rFonts w:hint="eastAsia"/>
        </w:rPr>
        <w:t>834.83公顷，其中，机动指标为21.50公顷。</w:t>
      </w:r>
    </w:p>
    <w:p>
      <w:pPr>
        <w:ind w:firstLine="640"/>
      </w:pPr>
      <w:r>
        <w:br w:type="page"/>
      </w:r>
    </w:p>
    <w:p>
      <w:pPr>
        <w:ind w:firstLine="640"/>
      </w:pPr>
    </w:p>
    <w:p>
      <w:pPr>
        <w:pStyle w:val="2"/>
        <w:spacing w:before="489" w:after="489"/>
      </w:pPr>
      <w:bookmarkStart w:id="25" w:name="_Toc206777514"/>
      <w:r>
        <w:rPr>
          <w:rFonts w:hint="eastAsia"/>
        </w:rPr>
        <w:t>规划分区</w:t>
      </w:r>
      <w:bookmarkEnd w:id="25"/>
    </w:p>
    <w:bookmarkEnd w:id="16"/>
    <w:p>
      <w:pPr>
        <w:pStyle w:val="3"/>
      </w:pPr>
      <w:bookmarkStart w:id="26" w:name="_Hlk142575005"/>
      <w:r>
        <w:rPr>
          <w:rFonts w:hint="eastAsia"/>
        </w:rPr>
        <w:t>国土空间开发保护总体格局</w:t>
      </w:r>
    </w:p>
    <w:p>
      <w:pPr>
        <w:pStyle w:val="4"/>
        <w:spacing w:before="195" w:after="195"/>
      </w:pPr>
      <w:r>
        <w:rPr>
          <w:rFonts w:hint="eastAsia"/>
        </w:rPr>
        <w:t>国土空间开发保护总体格局</w:t>
      </w:r>
    </w:p>
    <w:p>
      <w:pPr>
        <w:ind w:firstLine="640"/>
      </w:pPr>
      <w:bookmarkStart w:id="27" w:name="_Hlk206791042"/>
      <w:r>
        <w:rPr>
          <w:rFonts w:hint="eastAsia"/>
        </w:rPr>
        <w:t>融合三生空间保护与发展，构建“一核三心、三轴三区”的生态化集约化的国土空间开发保护总体格局。</w:t>
      </w:r>
    </w:p>
    <w:p>
      <w:pPr>
        <w:ind w:firstLine="640"/>
      </w:pPr>
      <w:r>
        <w:rPr>
          <w:rFonts w:hint="eastAsia"/>
        </w:rPr>
        <w:t>一核三心：主要围绕桃溪镇镇区形成的镇域发展核心，镇域内东川村、桃庄河村和石碑营村三个中心村形成区域发展次中心。</w:t>
      </w:r>
    </w:p>
    <w:p>
      <w:pPr>
        <w:ind w:firstLine="640"/>
      </w:pPr>
      <w:r>
        <w:rPr>
          <w:rFonts w:hint="eastAsia"/>
        </w:rPr>
        <w:t>三轴三区：主要围绕省道330、县道005、县道007形成的城镇发展轴，串联镇域内各个功能分区。结合现有自然地理格局，北部形成黄龙寨生态屏障区；南部形成观山-大南山-杨家寨山生态屏障区；中部形成高效农业区。</w:t>
      </w:r>
      <w:bookmarkEnd w:id="27"/>
    </w:p>
    <w:p>
      <w:pPr>
        <w:pStyle w:val="3"/>
      </w:pPr>
      <w:r>
        <w:rPr>
          <w:rFonts w:hint="eastAsia"/>
        </w:rPr>
        <w:t>规划分区与用途管制</w:t>
      </w:r>
    </w:p>
    <w:p>
      <w:pPr>
        <w:pStyle w:val="4"/>
        <w:spacing w:before="195" w:after="195"/>
      </w:pPr>
      <w:r>
        <w:rPr>
          <w:rFonts w:hint="eastAsia"/>
        </w:rPr>
        <w:t>生态控制区</w:t>
      </w:r>
    </w:p>
    <w:p>
      <w:pPr>
        <w:pStyle w:val="5"/>
        <w:ind w:firstLine="640"/>
      </w:pPr>
      <w:r>
        <w:t>生态控制区划定</w:t>
      </w:r>
    </w:p>
    <w:p>
      <w:pPr>
        <w:spacing w:before="65"/>
        <w:ind w:firstLine="640"/>
        <w:rPr>
          <w:lang w:bidi="ar"/>
        </w:rPr>
      </w:pPr>
      <w:r>
        <w:rPr>
          <w:rFonts w:hint="eastAsia"/>
          <w:lang w:bidi="ar"/>
        </w:rPr>
        <w:t>依据上位规划传导，并结合桃溪镇实际情况，局部进行优化，全镇划定生态控制区面积为6692.01</w:t>
      </w:r>
      <w:r>
        <w:rPr>
          <w:lang w:bidi="ar"/>
        </w:rPr>
        <w:t>公顷，占镇域面积的</w:t>
      </w:r>
      <w:r>
        <w:rPr>
          <w:rFonts w:hint="eastAsia"/>
          <w:lang w:bidi="ar"/>
        </w:rPr>
        <w:t>53.03</w:t>
      </w:r>
      <w:r>
        <w:rPr>
          <w:lang w:bidi="ar"/>
        </w:rPr>
        <w:t>%。</w:t>
      </w:r>
    </w:p>
    <w:p>
      <w:pPr>
        <w:pStyle w:val="5"/>
        <w:ind w:firstLine="640"/>
      </w:pPr>
      <w:r>
        <w:t>管控规则</w:t>
      </w:r>
    </w:p>
    <w:p>
      <w:pPr>
        <w:spacing w:before="65"/>
        <w:ind w:firstLine="640"/>
      </w:pPr>
      <w:r>
        <w:rPr>
          <w:rFonts w:hint="eastAsia"/>
          <w:lang w:bidi="ar"/>
        </w:rPr>
        <w:t>（1）用途准入</w:t>
      </w:r>
    </w:p>
    <w:p>
      <w:pPr>
        <w:spacing w:before="65"/>
        <w:ind w:firstLine="640"/>
      </w:pPr>
      <w:r>
        <w:rPr>
          <w:rFonts w:hint="eastAsia"/>
          <w:lang w:bidi="ar"/>
        </w:rPr>
        <w:t>鼓励依据国土空间规划及其他相关规划，按照自然恢复为主、人工修复为辅的原则，实施生态修复工程，提升生态功能。严格限制农业开发占用生态控制区，在不涉及</w:t>
      </w:r>
      <w:r>
        <w:rPr>
          <w:lang w:bidi="ar"/>
        </w:rPr>
        <w:t>天然林、公益林</w:t>
      </w:r>
      <w:r>
        <w:rPr>
          <w:rFonts w:hint="eastAsia"/>
          <w:lang w:bidi="ar"/>
        </w:rPr>
        <w:t>、水域的前提下，经评估有利于提升生态功能的，可依据国土空间规划或其他相关规划开展土地整治新增耕地。</w:t>
      </w:r>
    </w:p>
    <w:p>
      <w:pPr>
        <w:spacing w:before="65"/>
        <w:ind w:firstLine="640"/>
        <w:rPr>
          <w:lang w:bidi="ar"/>
        </w:rPr>
      </w:pPr>
      <w:r>
        <w:rPr>
          <w:rFonts w:hint="eastAsia"/>
          <w:lang w:bidi="ar"/>
        </w:rPr>
        <w:t>严控新增建设占用生态控制区，建设用途准入应符合国土空间规划和其他相关规划。各类风景名胜区等必要的配套设施建设、符合区域功能定位的旅游服务设施、道路交通基础设施、水利市政基础设施、公益性设施以及其他必要的特殊设施建设必须占用的，需做好选址论证，严格控制建筑规模与开发强度。</w:t>
      </w:r>
    </w:p>
    <w:p>
      <w:pPr>
        <w:spacing w:before="65"/>
        <w:ind w:firstLine="640"/>
      </w:pPr>
      <w:bookmarkStart w:id="28" w:name="_Hlk206603284"/>
      <w:r>
        <w:rPr>
          <w:rFonts w:hint="eastAsia"/>
        </w:rPr>
        <w:t>“三线一单”生态环境分区管控划定的一般生态空间管控要求：禁止在公益林内放牧、开垦、采石、挖沙取土、堆放废弃物，以及违反操作技术规程采脂、挖笋、掘根、剥树皮、过度修枝等毁林行为。禁止向公益林内排放污染物。</w:t>
      </w:r>
    </w:p>
    <w:bookmarkEnd w:id="28"/>
    <w:p>
      <w:pPr>
        <w:spacing w:before="65"/>
        <w:ind w:firstLine="640"/>
      </w:pPr>
      <w:r>
        <w:rPr>
          <w:rFonts w:hint="eastAsia"/>
          <w:lang w:bidi="ar"/>
        </w:rPr>
        <w:t>（2）用途退出</w:t>
      </w:r>
    </w:p>
    <w:p>
      <w:pPr>
        <w:spacing w:before="65"/>
        <w:ind w:firstLine="640"/>
      </w:pPr>
      <w:r>
        <w:rPr>
          <w:rFonts w:hint="eastAsia"/>
          <w:lang w:bidi="ar"/>
        </w:rPr>
        <w:t>生态控制区内原有的各种不符合生态保护要求、防洪安全的生产、开发活动应当逐步退出，并进行生态修复，退出不应对生态环境造成重大影响；对区内主要保护对象及其栖息地环境造成的负面影响轻微或可控制；符合国土空间规划和其他相关规划。对国有林场和坡度25度以上已经开垦种植的林地要逐步还林。对于现状建设，应当进行评估后制定分类处置方案：对于违法建设和经评估对生态保护存在不利影响的，应当逐步退出；对于历史形成的合法现状建设用地，经评估对生态环境无影响的，可予以保留，但不得随意改变用途或进行改扩建。</w:t>
      </w:r>
    </w:p>
    <w:p>
      <w:pPr>
        <w:pStyle w:val="4"/>
        <w:spacing w:before="195" w:after="195"/>
      </w:pPr>
      <w:r>
        <w:rPr>
          <w:rFonts w:hint="eastAsia"/>
        </w:rPr>
        <w:t>农田保护区</w:t>
      </w:r>
    </w:p>
    <w:p>
      <w:pPr>
        <w:pStyle w:val="5"/>
        <w:ind w:firstLine="640"/>
      </w:pPr>
      <w:r>
        <w:t>农田保护区划定</w:t>
      </w:r>
    </w:p>
    <w:p>
      <w:pPr>
        <w:spacing w:before="65"/>
        <w:ind w:firstLine="640"/>
        <w:rPr>
          <w:lang w:bidi="ar"/>
        </w:rPr>
      </w:pPr>
      <w:bookmarkStart w:id="29" w:name="_Hlk152319961"/>
      <w:r>
        <w:rPr>
          <w:rFonts w:hint="eastAsia"/>
          <w:lang w:bidi="ar"/>
        </w:rPr>
        <w:t>将永久基本农田相对集中需严格保护的区域划为农田保护区。桃溪镇落实农田保护区面积2756.79</w:t>
      </w:r>
      <w:r>
        <w:rPr>
          <w:lang w:bidi="ar"/>
        </w:rPr>
        <w:t>公顷，占镇域面积的</w:t>
      </w:r>
      <w:r>
        <w:rPr>
          <w:rFonts w:hint="eastAsia"/>
          <w:lang w:bidi="ar"/>
        </w:rPr>
        <w:t>21.85</w:t>
      </w:r>
      <w:r>
        <w:rPr>
          <w:lang w:bidi="ar"/>
        </w:rPr>
        <w:t>%</w:t>
      </w:r>
      <w:r>
        <w:rPr>
          <w:rFonts w:hint="eastAsia"/>
          <w:lang w:bidi="ar"/>
        </w:rPr>
        <w:t>。</w:t>
      </w:r>
    </w:p>
    <w:bookmarkEnd w:id="29"/>
    <w:p>
      <w:pPr>
        <w:pStyle w:val="5"/>
        <w:ind w:firstLine="640"/>
      </w:pPr>
      <w:r>
        <w:t>管控规则</w:t>
      </w:r>
    </w:p>
    <w:p>
      <w:pPr>
        <w:spacing w:before="65"/>
        <w:ind w:firstLine="640"/>
      </w:pPr>
      <w:r>
        <w:rPr>
          <w:rFonts w:hint="eastAsia"/>
          <w:lang w:bidi="ar"/>
        </w:rPr>
        <w:t>（1）用途准入</w:t>
      </w:r>
    </w:p>
    <w:p>
      <w:pPr>
        <w:spacing w:before="65"/>
        <w:ind w:firstLine="640"/>
      </w:pPr>
      <w:r>
        <w:rPr>
          <w:rFonts w:hint="eastAsia"/>
        </w:rPr>
        <w:t>农田保护区应重点用于粮食生产，按照《自然资源部 农业农村部关于加强和改进永久基本农田保护工作的通知》第（六）款的规定严格规范永久基本农田上的农业生产活动。</w:t>
      </w:r>
    </w:p>
    <w:p>
      <w:pPr>
        <w:spacing w:before="65"/>
        <w:ind w:firstLine="640"/>
      </w:pPr>
      <w:r>
        <w:rPr>
          <w:rFonts w:hint="eastAsia"/>
        </w:rPr>
        <w:t>农田保护区内鼓励依据国土空间规划、土地整治规划等相关规划开展高标准农田建设、永久基本农田集中连片整治、即可恢复属性地类耕地功能恢复等整治活动，提高永久基本农田质量，引导区内废弃建设用地、其他农用地整治为耕地，区内符合条件的一般耕地应优先划入永久基本农田储备区。</w:t>
      </w:r>
    </w:p>
    <w:p>
      <w:pPr>
        <w:spacing w:before="65"/>
        <w:ind w:firstLine="640"/>
      </w:pPr>
      <w:r>
        <w:rPr>
          <w:rFonts w:hint="eastAsia"/>
        </w:rPr>
        <w:t>农田保护区内限制准入农业设施建设用地，农业设施建设用地不再使用的，必须恢复原用途。</w:t>
      </w:r>
    </w:p>
    <w:p>
      <w:pPr>
        <w:spacing w:before="65"/>
        <w:ind w:firstLine="640"/>
      </w:pPr>
      <w:r>
        <w:rPr>
          <w:rFonts w:hint="eastAsia"/>
        </w:rPr>
        <w:t>农田保护区限制转变为林地、湿地、水域等用途，按照《自然资源部 农业农村部关于加强和改进永久基本农田保护工作的通知》第（九）款的规定协调安排生态建设项目。</w:t>
      </w:r>
    </w:p>
    <w:p>
      <w:pPr>
        <w:spacing w:before="65"/>
        <w:ind w:firstLine="640"/>
      </w:pPr>
      <w:r>
        <w:rPr>
          <w:rFonts w:hint="eastAsia"/>
        </w:rPr>
        <w:t>农田保护区内的永久基本农田实行正面清单准入，在符合国土空间规划和其他相关规划的前提下，允许占用永久基本农田的重大项目、临时用地和矿业权按照《自然资源部关于做好占用永久基本农田重大建设项目用地预审的通知》第一款以及《自然资源部 农业农村部关于加强和改进永久基本农田保护工作的通知》第（七）款、第（八）款执行。</w:t>
      </w:r>
    </w:p>
    <w:p>
      <w:pPr>
        <w:spacing w:before="65"/>
        <w:ind w:firstLine="640"/>
      </w:pPr>
      <w:r>
        <w:rPr>
          <w:rFonts w:hint="eastAsia"/>
          <w:lang w:bidi="ar"/>
        </w:rPr>
        <w:t>（2）用途退出</w:t>
      </w:r>
    </w:p>
    <w:p>
      <w:pPr>
        <w:spacing w:before="65"/>
        <w:ind w:firstLine="640"/>
      </w:pPr>
      <w:r>
        <w:rPr>
          <w:rFonts w:hint="eastAsia"/>
          <w:lang w:bidi="ar"/>
        </w:rPr>
        <w:t>不符合农田保护区准入规则、违法违规占用永久基本农田的用途，应按照国土空间规划、土地整治规划等相关规划有序退出，并限期恢复种植条件，规划期间确实不能恢复种植条件的，经多部门联合论证，允许保留现状用途，但不得扩大面积，并补划相同数量、相当质量的永久基本农田。</w:t>
      </w:r>
    </w:p>
    <w:p>
      <w:pPr>
        <w:pStyle w:val="4"/>
        <w:spacing w:before="195" w:after="195"/>
      </w:pPr>
      <w:r>
        <w:rPr>
          <w:rFonts w:hint="eastAsia"/>
        </w:rPr>
        <w:t>城镇发展区</w:t>
      </w:r>
    </w:p>
    <w:p>
      <w:pPr>
        <w:pStyle w:val="5"/>
        <w:ind w:firstLine="640"/>
      </w:pPr>
      <w:r>
        <w:t>城镇发展区划定</w:t>
      </w:r>
    </w:p>
    <w:p>
      <w:pPr>
        <w:spacing w:before="65"/>
        <w:ind w:firstLine="640"/>
      </w:pPr>
      <w:bookmarkStart w:id="30" w:name="_Hlk152319991"/>
      <w:r>
        <w:rPr>
          <w:rFonts w:hint="eastAsia"/>
        </w:rPr>
        <w:t>落实全镇城镇发展区面积59.99</w:t>
      </w:r>
      <w:r>
        <w:t>公顷，</w:t>
      </w:r>
      <w:r>
        <w:rPr>
          <w:rFonts w:hint="eastAsia"/>
        </w:rPr>
        <w:t>均为城镇集中建设区，</w:t>
      </w:r>
      <w:r>
        <w:t>占镇域面积的</w:t>
      </w:r>
      <w:r>
        <w:rPr>
          <w:rFonts w:hint="eastAsia"/>
        </w:rPr>
        <w:t>0.48</w:t>
      </w:r>
      <w:r>
        <w:t>%。</w:t>
      </w:r>
      <w:bookmarkStart w:id="31" w:name="_Hlk206600167"/>
      <w:r>
        <w:t>城镇发展区主要用于城镇建设，是开展城镇开发建设行为的核心区域。</w:t>
      </w:r>
    </w:p>
    <w:bookmarkEnd w:id="31"/>
    <w:p>
      <w:pPr>
        <w:spacing w:before="65"/>
        <w:ind w:firstLine="640"/>
      </w:pPr>
      <w:bookmarkStart w:id="32" w:name="_Hlk206600176"/>
      <w:bookmarkStart w:id="33" w:name="_Hlk206698997"/>
      <w:r>
        <w:rPr>
          <w:rFonts w:hint="eastAsia"/>
        </w:rPr>
        <w:t>城镇开发边界内镇区用地合理规划与布置，公共服务设施集中与分散相结合布局，绿地均衡布置，划分为五个功能分区。城镇功能分区采用“详细规划</w:t>
      </w:r>
      <w:r>
        <w:t>+规划许可”的方式进行管理</w:t>
      </w:r>
      <w:r>
        <w:rPr>
          <w:rFonts w:hint="eastAsia"/>
        </w:rPr>
        <w:t>。</w:t>
      </w:r>
    </w:p>
    <w:bookmarkEnd w:id="32"/>
    <w:p>
      <w:pPr>
        <w:spacing w:before="65"/>
        <w:ind w:firstLine="640"/>
      </w:pPr>
      <w:r>
        <w:t>（1）</w:t>
      </w:r>
      <w:r>
        <w:rPr>
          <w:rFonts w:hint="eastAsia"/>
        </w:rPr>
        <w:t>居住生活区</w:t>
      </w:r>
    </w:p>
    <w:p>
      <w:pPr>
        <w:spacing w:before="65"/>
        <w:ind w:firstLine="640"/>
      </w:pPr>
      <w:r>
        <w:rPr>
          <w:rFonts w:hint="eastAsia"/>
        </w:rPr>
        <w:t>居住生活区面积约为28.10</w:t>
      </w:r>
      <w:r>
        <w:t>公顷，以居住和生活服务配套为主要功能。完善公共服务设施和绿地与开敞空间建设，优化提升居住区功能和环境，在保障主要功能导向的前提下，鼓励多元功能的适度混合，避免重大妨害功能的干扰</w:t>
      </w:r>
      <w:r>
        <w:rPr>
          <w:rFonts w:hint="eastAsia"/>
        </w:rPr>
        <w:t>。</w:t>
      </w:r>
    </w:p>
    <w:p>
      <w:pPr>
        <w:spacing w:before="65"/>
        <w:ind w:firstLine="640"/>
      </w:pPr>
      <w:r>
        <w:t>（2）</w:t>
      </w:r>
      <w:r>
        <w:rPr>
          <w:rFonts w:hint="eastAsia"/>
        </w:rPr>
        <w:t>综合服务区</w:t>
      </w:r>
    </w:p>
    <w:p>
      <w:pPr>
        <w:spacing w:before="65"/>
        <w:ind w:firstLine="640"/>
      </w:pPr>
      <w:r>
        <w:rPr>
          <w:rFonts w:hint="eastAsia"/>
        </w:rPr>
        <w:t>综合服务区面积约为11.14</w:t>
      </w:r>
      <w:r>
        <w:t>公顷，以提供行政办公、文化体育、教育、医疗等服务为主要功能导向的区域，主要为镇区</w:t>
      </w:r>
      <w:r>
        <w:rPr>
          <w:rFonts w:hint="eastAsia"/>
        </w:rPr>
        <w:t>西南</w:t>
      </w:r>
      <w:r>
        <w:t>侧的医疗服务、综合服务</w:t>
      </w:r>
      <w:r>
        <w:rPr>
          <w:rFonts w:hint="eastAsia"/>
        </w:rPr>
        <w:t>及</w:t>
      </w:r>
      <w:r>
        <w:t>文化服务、</w:t>
      </w:r>
      <w:r>
        <w:rPr>
          <w:rFonts w:hint="eastAsia"/>
        </w:rPr>
        <w:t>东</w:t>
      </w:r>
      <w:r>
        <w:t>南侧的教育片区。强化文化、体育、商贸商务等功能的合理配置，建立创新服务平台，植入公共空间，提升公共活动中心空间覆盖</w:t>
      </w:r>
      <w:r>
        <w:rPr>
          <w:rFonts w:hint="eastAsia"/>
        </w:rPr>
        <w:t>。</w:t>
      </w:r>
    </w:p>
    <w:p>
      <w:pPr>
        <w:spacing w:before="65"/>
        <w:ind w:firstLine="640"/>
      </w:pPr>
      <w:r>
        <w:t>（3）</w:t>
      </w:r>
      <w:r>
        <w:rPr>
          <w:rFonts w:hint="eastAsia"/>
        </w:rPr>
        <w:t>工业发展区</w:t>
      </w:r>
    </w:p>
    <w:p>
      <w:pPr>
        <w:spacing w:before="65"/>
        <w:ind w:firstLine="640"/>
      </w:pPr>
      <w:r>
        <w:rPr>
          <w:rFonts w:hint="eastAsia"/>
        </w:rPr>
        <w:t>工业发展区面积约为8.23</w:t>
      </w:r>
      <w:r>
        <w:t>公顷，</w:t>
      </w:r>
      <w:r>
        <w:rPr>
          <w:rFonts w:hint="eastAsia"/>
        </w:rPr>
        <w:t>以工业用地为主，适当布局为工业服务的商服用地。工业发展区是规划确定的镇区主要工业等功能的总体空间布局，应与周边其他功能区协调好安全防护关系。统筹安排镇区生产性功能，提升生产运行效率，严格遵守环保要求，降低工业功能对城市居住、公共环境、交通等的干扰，保障其他城市功能有序运行；对区内不同类型工业用地的安全防护提出控制要求，以及产城融合建设的具体规定。</w:t>
      </w:r>
    </w:p>
    <w:p>
      <w:pPr>
        <w:spacing w:before="65"/>
        <w:ind w:firstLine="640"/>
      </w:pPr>
      <w:r>
        <w:t>（</w:t>
      </w:r>
      <w:r>
        <w:rPr>
          <w:rFonts w:hint="eastAsia"/>
        </w:rPr>
        <w:t>4</w:t>
      </w:r>
      <w:r>
        <w:t>）</w:t>
      </w:r>
      <w:r>
        <w:rPr>
          <w:rFonts w:hint="eastAsia"/>
        </w:rPr>
        <w:t>商业商务区</w:t>
      </w:r>
    </w:p>
    <w:p>
      <w:pPr>
        <w:spacing w:before="65"/>
        <w:ind w:firstLine="640"/>
      </w:pPr>
      <w:r>
        <w:rPr>
          <w:rFonts w:hint="eastAsia"/>
        </w:rPr>
        <w:t>商业商务区面积约为2.19</w:t>
      </w:r>
      <w:r>
        <w:t>公顷，以商业商贸为主要功能，承载现代消费、休闲娱乐、金融服务等服务业态，综合服务功能应集约紧凑，满足服务等级、规模及类型要求</w:t>
      </w:r>
      <w:r>
        <w:rPr>
          <w:rFonts w:hint="eastAsia"/>
        </w:rPr>
        <w:t>。</w:t>
      </w:r>
    </w:p>
    <w:p>
      <w:pPr>
        <w:spacing w:before="65"/>
        <w:ind w:firstLine="640"/>
      </w:pPr>
      <w:r>
        <w:t>（</w:t>
      </w:r>
      <w:r>
        <w:rPr>
          <w:rFonts w:hint="eastAsia"/>
        </w:rPr>
        <w:t>5</w:t>
      </w:r>
      <w:r>
        <w:t>）</w:t>
      </w:r>
      <w:r>
        <w:rPr>
          <w:rFonts w:hint="eastAsia"/>
        </w:rPr>
        <w:t>绿地休闲区</w:t>
      </w:r>
    </w:p>
    <w:p>
      <w:pPr>
        <w:spacing w:before="65"/>
        <w:ind w:firstLine="640"/>
      </w:pPr>
      <w:r>
        <w:rPr>
          <w:rFonts w:hint="eastAsia"/>
        </w:rPr>
        <w:t>绿地休闲区面积约为4.05</w:t>
      </w:r>
      <w:r>
        <w:t>公顷，可兼容少量商服用地、公共管理与公共服务设施用地。绿地休闲区应安排好“点、线、面”结合的绿地系统结构，为市民提供便捷可达、充足友好的游憩休闲空间，并确保相互干扰的功能区的防护隔离；对公园绿地、广场用地、防护绿地的总体规模与服务半径提出控制要求</w:t>
      </w:r>
      <w:r>
        <w:rPr>
          <w:rFonts w:hint="eastAsia"/>
        </w:rPr>
        <w:t>。</w:t>
      </w:r>
    </w:p>
    <w:bookmarkEnd w:id="30"/>
    <w:bookmarkEnd w:id="33"/>
    <w:p>
      <w:pPr>
        <w:pStyle w:val="5"/>
        <w:ind w:firstLine="640"/>
      </w:pPr>
      <w:r>
        <w:t>管控规则</w:t>
      </w:r>
    </w:p>
    <w:p>
      <w:pPr>
        <w:spacing w:before="65"/>
        <w:ind w:firstLine="640"/>
      </w:pPr>
      <w:bookmarkStart w:id="34" w:name="_Hlk206600237"/>
      <w:r>
        <w:rPr>
          <w:rFonts w:hint="eastAsia"/>
        </w:rPr>
        <w:t>功能区采用“用途准入</w:t>
      </w:r>
      <w:r>
        <w:t>+指标控制+原则指引”的方式进行管理，明确开发强度分区、各类用地的强度指标，如容积率、建筑密度等；提出用地兼容比例控制要求，鼓励用地功能混合使用，营造镇区的多样性；结合地方文化和特色，提出高度、风貌等空间形态控制要求。</w:t>
      </w:r>
    </w:p>
    <w:p>
      <w:pPr>
        <w:spacing w:before="65"/>
        <w:ind w:firstLine="640"/>
      </w:pPr>
      <w:r>
        <w:rPr>
          <w:rFonts w:hint="eastAsia"/>
          <w:lang w:bidi="ar"/>
        </w:rPr>
        <w:t>（1）用途准入</w:t>
      </w:r>
    </w:p>
    <w:p>
      <w:pPr>
        <w:spacing w:before="65"/>
        <w:ind w:firstLine="640"/>
      </w:pPr>
      <w:r>
        <w:rPr>
          <w:rFonts w:hint="eastAsia"/>
          <w:lang w:bidi="ar"/>
        </w:rPr>
        <w:t>城镇集中建设区各类城镇建设用途的准入应符合国土空间规划和其他相关规划，优先使用存量建设用地，引导城镇低效用地再开发，提高建设用地使用效率，落实建设用地标准控制制度，开展节约集约用地评价，推广应用节地技术和节地模式。</w:t>
      </w:r>
    </w:p>
    <w:p>
      <w:pPr>
        <w:spacing w:before="65"/>
        <w:ind w:firstLine="640"/>
      </w:pPr>
      <w:r>
        <w:rPr>
          <w:rFonts w:hint="eastAsia"/>
          <w:lang w:bidi="ar"/>
        </w:rPr>
        <w:t>鼓励建设用地的复合性开发，按照用途相近、功能兼容、互无干扰、基础设施共享的原则，研究制定有助于生活便利、各类用途相互促进的兼容性地类和相关控制指标。</w:t>
      </w:r>
    </w:p>
    <w:p>
      <w:pPr>
        <w:spacing w:before="65"/>
        <w:ind w:firstLine="640"/>
      </w:pPr>
      <w:r>
        <w:rPr>
          <w:rFonts w:hint="eastAsia"/>
          <w:lang w:bidi="ar"/>
        </w:rPr>
        <w:t>（2）用途退出</w:t>
      </w:r>
    </w:p>
    <w:p>
      <w:pPr>
        <w:spacing w:before="65"/>
        <w:ind w:firstLine="640"/>
      </w:pPr>
      <w:r>
        <w:rPr>
          <w:rFonts w:hint="eastAsia"/>
          <w:lang w:bidi="ar"/>
        </w:rPr>
        <w:t>对用途分区主导功能产生负面影响的用途应通过国土空间规划的编制和实施逐步退出</w:t>
      </w:r>
      <w:bookmarkEnd w:id="34"/>
      <w:r>
        <w:rPr>
          <w:rFonts w:hint="eastAsia"/>
          <w:lang w:bidi="ar"/>
        </w:rPr>
        <w:t>。</w:t>
      </w:r>
    </w:p>
    <w:p>
      <w:pPr>
        <w:pStyle w:val="4"/>
        <w:spacing w:before="195" w:after="195"/>
      </w:pPr>
      <w:r>
        <w:rPr>
          <w:rFonts w:hint="eastAsia"/>
        </w:rPr>
        <w:t>乡村发展区</w:t>
      </w:r>
    </w:p>
    <w:p>
      <w:pPr>
        <w:spacing w:before="65" w:after="120"/>
        <w:ind w:firstLine="640"/>
      </w:pPr>
      <w:bookmarkStart w:id="35" w:name="_Hlk152837370"/>
      <w:r>
        <w:rPr>
          <w:rFonts w:hint="eastAsia"/>
        </w:rPr>
        <w:t>落实全镇乡村发展区面积3048.12</w:t>
      </w:r>
      <w:r>
        <w:t>公顷，占全域面积的</w:t>
      </w:r>
      <w:r>
        <w:rPr>
          <w:rFonts w:hint="eastAsia"/>
        </w:rPr>
        <w:t>24.16</w:t>
      </w:r>
      <w:r>
        <w:t>%。包括永久基本农田集中区外，为满足农林牧渔等农业发展以及农民集中生活和生产配套为主的区域，主要分布于适宜农业生产、农民集中生活和生产配套为主的区域</w:t>
      </w:r>
      <w:r>
        <w:rPr>
          <w:rFonts w:hint="eastAsia"/>
        </w:rPr>
        <w:t>。</w:t>
      </w:r>
    </w:p>
    <w:bookmarkEnd w:id="35"/>
    <w:p>
      <w:pPr>
        <w:pStyle w:val="5"/>
        <w:ind w:firstLine="640"/>
      </w:pPr>
      <w:r>
        <w:rPr>
          <w:rFonts w:hint="eastAsia"/>
        </w:rPr>
        <w:t>村庄建设区</w:t>
      </w:r>
    </w:p>
    <w:p>
      <w:pPr>
        <w:spacing w:before="65"/>
        <w:ind w:firstLine="640"/>
      </w:pPr>
      <w:r>
        <w:rPr>
          <w:rFonts w:hint="eastAsia"/>
        </w:rPr>
        <w:t>乡村发展区内划定村庄建设区834.83</w:t>
      </w:r>
      <w:r>
        <w:t>公顷，占</w:t>
      </w:r>
      <w:r>
        <w:rPr>
          <w:rFonts w:hint="eastAsia"/>
        </w:rPr>
        <w:t>乡村发展区</w:t>
      </w:r>
      <w:r>
        <w:t>的</w:t>
      </w:r>
      <w:r>
        <w:rPr>
          <w:rFonts w:hint="eastAsia"/>
        </w:rPr>
        <w:t>31.24</w:t>
      </w:r>
      <w:r>
        <w:t>%。</w:t>
      </w:r>
    </w:p>
    <w:p>
      <w:pPr>
        <w:spacing w:before="65" w:after="120"/>
        <w:ind w:firstLine="640"/>
      </w:pPr>
      <w:r>
        <w:t>（</w:t>
      </w:r>
      <w:r>
        <w:rPr>
          <w:rFonts w:hint="eastAsia"/>
        </w:rPr>
        <w:t>1）用途准入</w:t>
      </w:r>
    </w:p>
    <w:p>
      <w:pPr>
        <w:spacing w:before="65" w:after="120"/>
        <w:ind w:firstLine="640"/>
      </w:pPr>
      <w:r>
        <w:rPr>
          <w:rFonts w:hint="eastAsia"/>
        </w:rPr>
        <w:t>村庄建设区的准入应符合国土空间规划和其他相关规划。在符合国土空间规划和其他相关规划的前提下，村庄建设区准入宅基地、农村公共服务设施、交通市政基础设施、农产品加工仓储、农家乐、民宿、创意办公、休闲农业、乡村旅游配套设施等农村生产、生活相关的用途。</w:t>
      </w:r>
    </w:p>
    <w:p>
      <w:pPr>
        <w:spacing w:before="65" w:after="120"/>
        <w:ind w:firstLine="640"/>
      </w:pPr>
      <w:r>
        <w:rPr>
          <w:rFonts w:hint="eastAsia"/>
        </w:rPr>
        <w:t>已批准村庄规划覆盖的区域，村庄建设区的准入应符合村庄规划的要求，优先保障农村宅基地和公共服务设施用地的建设需求，宅基地建设应依法落实“一户一宅”要求，遵守地方宅基地建设标准；公共服务设施应严格按照国土空间规划明确的公共服务设施建设标准和布局要求进行建设。</w:t>
      </w:r>
    </w:p>
    <w:p>
      <w:pPr>
        <w:spacing w:before="65" w:after="120"/>
        <w:ind w:firstLine="640"/>
      </w:pPr>
      <w:r>
        <w:t>（</w:t>
      </w:r>
      <w:r>
        <w:rPr>
          <w:rFonts w:hint="eastAsia"/>
        </w:rPr>
        <w:t>2）用途退出</w:t>
      </w:r>
    </w:p>
    <w:p>
      <w:pPr>
        <w:spacing w:before="65" w:after="120"/>
        <w:ind w:firstLine="640"/>
      </w:pPr>
      <w:r>
        <w:rPr>
          <w:rFonts w:hint="eastAsia"/>
        </w:rPr>
        <w:t>对村民生产、生活有负面影响的生产、开发活动应当通过国土空间规划的编制和实施逐步退出。</w:t>
      </w:r>
    </w:p>
    <w:p>
      <w:pPr>
        <w:pStyle w:val="5"/>
        <w:ind w:firstLine="640"/>
      </w:pPr>
      <w:r>
        <w:rPr>
          <w:rFonts w:hint="eastAsia"/>
        </w:rPr>
        <w:t>一般农业区</w:t>
      </w:r>
    </w:p>
    <w:p>
      <w:pPr>
        <w:spacing w:before="65" w:after="120"/>
        <w:ind w:firstLine="640"/>
      </w:pPr>
      <w:r>
        <w:rPr>
          <w:rFonts w:hint="eastAsia"/>
        </w:rPr>
        <w:t>乡村发展区内划定一般农业区2213.29</w:t>
      </w:r>
      <w:r>
        <w:t>公顷，占</w:t>
      </w:r>
      <w:r>
        <w:rPr>
          <w:rFonts w:hint="eastAsia"/>
        </w:rPr>
        <w:t>乡村发展区</w:t>
      </w:r>
      <w:r>
        <w:t>的</w:t>
      </w:r>
      <w:r>
        <w:rPr>
          <w:rFonts w:hint="eastAsia"/>
        </w:rPr>
        <w:t>68.76</w:t>
      </w:r>
      <w:r>
        <w:t>%。</w:t>
      </w:r>
    </w:p>
    <w:p>
      <w:pPr>
        <w:spacing w:before="65" w:after="120"/>
        <w:ind w:firstLine="640"/>
      </w:pPr>
      <w:r>
        <w:t>（</w:t>
      </w:r>
      <w:r>
        <w:rPr>
          <w:rFonts w:hint="eastAsia"/>
        </w:rPr>
        <w:t>1）用途准入</w:t>
      </w:r>
    </w:p>
    <w:p>
      <w:pPr>
        <w:spacing w:before="65" w:after="120"/>
        <w:ind w:firstLine="640"/>
      </w:pPr>
      <w:r>
        <w:rPr>
          <w:rFonts w:hint="eastAsia"/>
        </w:rPr>
        <w:t>一般农业区中的耕地按照《土地管理法》、《土地管理法实施条例》、《关于坚决制止耕地“非农化”防止耕地“非粮化”稳定发展粮食生产的意见》等法律法规、文件的要求进行管控。</w:t>
      </w:r>
    </w:p>
    <w:p>
      <w:pPr>
        <w:spacing w:before="65" w:after="120"/>
        <w:ind w:firstLine="640"/>
      </w:pPr>
      <w:r>
        <w:rPr>
          <w:rFonts w:hint="eastAsia"/>
        </w:rPr>
        <w:t>一般农业区内的耕地优先用于粮食和棉、油、糖、蔬菜等农产品生产。一般农业区内鼓励依据国土空间规划、全域土地综合整治规划等相关规划开展土地整治，提升耕地质量，促进区内建设用地、其他农用地整治为耕地。一般农业区中。</w:t>
      </w:r>
    </w:p>
    <w:p>
      <w:pPr>
        <w:spacing w:before="65" w:after="120"/>
        <w:ind w:firstLine="640"/>
      </w:pPr>
      <w:r>
        <w:rPr>
          <w:rFonts w:hint="eastAsia"/>
        </w:rPr>
        <w:t>在符合国土空间规划和其他相关规划的前提下，一般农业区允许农业设施建设用地准入，需要落实占补平衡，使用后必须恢复原用途。严格控制农业设施建设用地转化为非农建设用地。</w:t>
      </w:r>
    </w:p>
    <w:p>
      <w:pPr>
        <w:spacing w:before="65" w:after="120"/>
        <w:ind w:firstLine="640"/>
      </w:pPr>
      <w:r>
        <w:rPr>
          <w:rFonts w:hint="eastAsia"/>
        </w:rPr>
        <w:t>一般农业区中的永久基本农田储备耕地在补划为永久基本农田前，按照一般耕地管理和使用，并及时进行补充更新。重大建设项目或整改补划永久基本农田的，可直接在永久基本农田储备耕地中进行补划。</w:t>
      </w:r>
    </w:p>
    <w:p>
      <w:pPr>
        <w:spacing w:before="65" w:after="120"/>
        <w:ind w:firstLine="640"/>
      </w:pPr>
      <w:r>
        <w:t>（</w:t>
      </w:r>
      <w:r>
        <w:rPr>
          <w:rFonts w:hint="eastAsia"/>
        </w:rPr>
        <w:t>2）用途退出</w:t>
      </w:r>
    </w:p>
    <w:p>
      <w:pPr>
        <w:spacing w:before="65" w:after="120"/>
        <w:ind w:firstLine="640"/>
      </w:pPr>
      <w:r>
        <w:rPr>
          <w:rFonts w:hint="eastAsia"/>
        </w:rPr>
        <w:t>下列用途应通过国土空间规划的编制和实施有序退出，并限期恢复种植条件，规划期间确实不能恢复种植条件的，允许保留现状用途，但不得扩大面积。包括：一般农业区内破坏、污染耕地的开发生产活动；违法违规占用耕地的用途；零星的建设用地等用途。</w:t>
      </w:r>
    </w:p>
    <w:p>
      <w:pPr>
        <w:pStyle w:val="4"/>
      </w:pPr>
      <w:r>
        <w:rPr>
          <w:rFonts w:hint="eastAsia"/>
        </w:rPr>
        <w:t>矿产能源发展区</w:t>
      </w:r>
    </w:p>
    <w:p>
      <w:pPr>
        <w:ind w:firstLine="640"/>
      </w:pPr>
      <w:r>
        <w:rPr>
          <w:rFonts w:hint="eastAsia"/>
        </w:rPr>
        <w:t>1</w:t>
      </w:r>
      <w:r>
        <w:t>.矿产能源发展区划定</w:t>
      </w:r>
    </w:p>
    <w:p>
      <w:pPr>
        <w:spacing w:before="65"/>
        <w:ind w:firstLine="640"/>
      </w:pPr>
      <w:r>
        <w:rPr>
          <w:rFonts w:hint="eastAsia"/>
          <w:lang w:bidi="ar"/>
        </w:rPr>
        <w:t>全镇划定矿产能源发展区面积62.07</w:t>
      </w:r>
      <w:r>
        <w:rPr>
          <w:lang w:bidi="ar"/>
        </w:rPr>
        <w:t>公顷，占全域面积的</w:t>
      </w:r>
      <w:r>
        <w:rPr>
          <w:rFonts w:hint="eastAsia"/>
          <w:lang w:bidi="ar"/>
        </w:rPr>
        <w:t>0.49</w:t>
      </w:r>
      <w:r>
        <w:rPr>
          <w:lang w:bidi="ar"/>
        </w:rPr>
        <w:t>%</w:t>
      </w:r>
      <w:r>
        <w:rPr>
          <w:rFonts w:hint="eastAsia"/>
          <w:lang w:bidi="ar"/>
        </w:rPr>
        <w:t>。</w:t>
      </w:r>
    </w:p>
    <w:p>
      <w:pPr>
        <w:ind w:firstLine="640"/>
      </w:pPr>
      <w:r>
        <w:rPr>
          <w:rFonts w:hint="eastAsia"/>
        </w:rPr>
        <w:t>2</w:t>
      </w:r>
      <w:r>
        <w:t>.管控规则</w:t>
      </w:r>
    </w:p>
    <w:p>
      <w:pPr>
        <w:spacing w:before="65"/>
        <w:ind w:firstLine="640"/>
      </w:pPr>
      <w:r>
        <w:rPr>
          <w:lang w:bidi="ar"/>
        </w:rPr>
        <w:t>（</w:t>
      </w:r>
      <w:r>
        <w:rPr>
          <w:rFonts w:hint="eastAsia"/>
          <w:lang w:bidi="ar"/>
        </w:rPr>
        <w:t>1）用途准入</w:t>
      </w:r>
    </w:p>
    <w:p>
      <w:pPr>
        <w:spacing w:before="65"/>
        <w:ind w:firstLine="640"/>
      </w:pPr>
      <w:r>
        <w:rPr>
          <w:rFonts w:hint="eastAsia"/>
          <w:lang w:bidi="ar"/>
        </w:rPr>
        <w:t>在符合国土空间规划和其他相关规划的前提下，矿产能源发展区允许矿产资源的勘探、开采、初加工以及相关的配套设施建设，禁止大规模的城镇建设。</w:t>
      </w:r>
    </w:p>
    <w:p>
      <w:pPr>
        <w:spacing w:before="65"/>
        <w:ind w:firstLine="640"/>
      </w:pPr>
      <w:r>
        <w:rPr>
          <w:rFonts w:hint="eastAsia"/>
          <w:lang w:bidi="ar"/>
        </w:rPr>
        <w:t>在符合国土空间规划和其他相关规划的前提下，矿产能源发展区允许开展农用地整理和其他土地整治工程的实施，鼓励生态修复和生态建设工程。</w:t>
      </w:r>
    </w:p>
    <w:p>
      <w:pPr>
        <w:spacing w:before="65"/>
        <w:ind w:firstLine="640"/>
      </w:pPr>
      <w:r>
        <w:rPr>
          <w:lang w:bidi="ar"/>
        </w:rPr>
        <w:t>（</w:t>
      </w:r>
      <w:r>
        <w:rPr>
          <w:rFonts w:hint="eastAsia"/>
          <w:lang w:bidi="ar"/>
        </w:rPr>
        <w:t>2）用途退出</w:t>
      </w:r>
    </w:p>
    <w:p>
      <w:pPr>
        <w:spacing w:before="65"/>
        <w:ind w:firstLine="640"/>
        <w:rPr>
          <w:lang w:bidi="ar"/>
        </w:rPr>
      </w:pPr>
      <w:r>
        <w:rPr>
          <w:rFonts w:hint="eastAsia"/>
          <w:lang w:bidi="ar"/>
        </w:rPr>
        <w:t>在符合国土空间规划和其他相关规划的前提下，不符合准入规则、影响矿产能源勘探和开采的用途应有序退出。</w:t>
      </w:r>
    </w:p>
    <w:p>
      <w:pPr>
        <w:spacing w:before="65" w:after="120"/>
        <w:ind w:firstLine="640"/>
      </w:pPr>
      <w:r>
        <w:br w:type="page"/>
      </w:r>
    </w:p>
    <w:p>
      <w:pPr>
        <w:spacing w:before="65" w:after="120"/>
        <w:ind w:firstLine="640"/>
      </w:pPr>
    </w:p>
    <w:p>
      <w:pPr>
        <w:pStyle w:val="2"/>
        <w:spacing w:before="489" w:after="489"/>
      </w:pPr>
      <w:bookmarkStart w:id="36" w:name="_Toc206777515"/>
      <w:r>
        <w:rPr>
          <w:rFonts w:hint="eastAsia"/>
        </w:rPr>
        <w:t>国土空间功能结构调整</w:t>
      </w:r>
      <w:bookmarkEnd w:id="36"/>
    </w:p>
    <w:p>
      <w:pPr>
        <w:pStyle w:val="3"/>
      </w:pPr>
      <w:r>
        <w:rPr>
          <w:rFonts w:hint="eastAsia"/>
        </w:rPr>
        <w:t>国土空间功能结构调整</w:t>
      </w:r>
    </w:p>
    <w:bookmarkEnd w:id="26"/>
    <w:p>
      <w:pPr>
        <w:pStyle w:val="4"/>
        <w:spacing w:before="195" w:after="195"/>
      </w:pPr>
      <w:r>
        <w:rPr>
          <w:rFonts w:hint="eastAsia"/>
        </w:rPr>
        <w:t>优化国土空间功能结构调整</w:t>
      </w:r>
    </w:p>
    <w:p>
      <w:pPr>
        <w:widowControl w:val="0"/>
        <w:spacing w:before="65" w:after="163" w:afterLines="50"/>
        <w:ind w:firstLine="640"/>
        <w:rPr>
          <w:lang w:bidi="ar"/>
        </w:rPr>
      </w:pPr>
      <w:r>
        <w:rPr>
          <w:rFonts w:hint="eastAsia" w:ascii="Times New Roman" w:cs="宋体"/>
          <w:lang w:bidi="ar"/>
        </w:rPr>
        <w:t>规划</w:t>
      </w:r>
      <w:r>
        <w:rPr>
          <w:rFonts w:ascii="Times New Roman" w:cs="宋体"/>
          <w:lang w:bidi="ar"/>
        </w:rPr>
        <w:t>期内</w:t>
      </w:r>
      <w:r>
        <w:rPr>
          <w:rFonts w:hint="eastAsia" w:ascii="Times New Roman" w:cs="宋体"/>
          <w:lang w:bidi="ar"/>
        </w:rPr>
        <w:t>，耕地面积不低于2869.13公顷（耕地保有量）；</w:t>
      </w:r>
      <w:r>
        <w:rPr>
          <w:rFonts w:ascii="Times New Roman" w:cs="宋体"/>
          <w:lang w:bidi="ar"/>
        </w:rPr>
        <w:t>规划至2035年</w:t>
      </w:r>
      <w:r>
        <w:rPr>
          <w:rFonts w:hint="eastAsia" w:ascii="Times New Roman" w:cs="宋体"/>
          <w:lang w:bidi="ar"/>
        </w:rPr>
        <w:t>，园地面积适量增加；林地面积保持稳定；草地面积适度减少；农业设施建设用地适度减少；城镇用地面积小于等于</w:t>
      </w:r>
      <w:r>
        <w:rPr>
          <w:rFonts w:hint="eastAsia"/>
        </w:rPr>
        <w:t>59.99</w:t>
      </w:r>
      <w:r>
        <w:rPr>
          <w:rFonts w:hint="eastAsia" w:ascii="Times New Roman" w:cs="宋体"/>
          <w:lang w:bidi="ar"/>
        </w:rPr>
        <w:t>公顷；村庄用地面积小于等于</w:t>
      </w:r>
      <w:r>
        <w:rPr>
          <w:rFonts w:hint="eastAsia"/>
        </w:rPr>
        <w:t>834.83</w:t>
      </w:r>
      <w:r>
        <w:rPr>
          <w:rFonts w:hint="eastAsia" w:ascii="Times New Roman" w:cs="宋体"/>
          <w:lang w:bidi="ar"/>
        </w:rPr>
        <w:t>公顷；区域基础设施用地面积持续增加；其他建设用地面积有所增加；陆地水域</w:t>
      </w:r>
      <w:r>
        <w:rPr>
          <w:rFonts w:hint="eastAsia"/>
          <w:lang w:bidi="ar"/>
        </w:rPr>
        <w:t>保持稳定</w:t>
      </w:r>
      <w:r>
        <w:rPr>
          <w:rFonts w:hint="eastAsia" w:ascii="Times New Roman" w:cs="宋体"/>
          <w:lang w:bidi="ar"/>
        </w:rPr>
        <w:t>。</w:t>
      </w:r>
      <w:r>
        <w:rPr>
          <w:rFonts w:hint="eastAsia"/>
          <w:lang w:val="zh-CN" w:bidi="ar"/>
        </w:rPr>
        <w:t>详见附表</w:t>
      </w:r>
      <w:r>
        <w:rPr>
          <w:lang w:val="zh-CN" w:bidi="ar"/>
        </w:rPr>
        <w:t>4</w:t>
      </w:r>
      <w:r>
        <w:rPr>
          <w:rFonts w:hint="eastAsia"/>
          <w:lang w:bidi="ar"/>
        </w:rPr>
        <w:t>。</w:t>
      </w:r>
    </w:p>
    <w:p>
      <w:pPr>
        <w:pStyle w:val="5"/>
        <w:ind w:firstLine="640"/>
      </w:pPr>
      <w:r>
        <w:rPr>
          <w:rFonts w:hint="eastAsia"/>
        </w:rPr>
        <w:t>优化农用地结构</w:t>
      </w:r>
    </w:p>
    <w:p>
      <w:pPr>
        <w:widowControl w:val="0"/>
        <w:spacing w:before="65" w:after="163" w:afterLines="50"/>
        <w:ind w:firstLine="640"/>
        <w:rPr>
          <w:lang w:bidi="ar"/>
        </w:rPr>
      </w:pPr>
      <w:bookmarkStart w:id="37" w:name="_Hlk206699046"/>
      <w:r>
        <w:rPr>
          <w:rFonts w:hint="eastAsia"/>
          <w:lang w:bidi="ar"/>
        </w:rPr>
        <w:t>耕地：严格落实耕地“占补平衡”，加大生态修复和国土综合整治力度，切实保护耕地面积、提高耕地质量、改善耕地生态。规划基期年耕地面积2876.64</w:t>
      </w:r>
      <w:r>
        <w:rPr>
          <w:lang w:bidi="ar"/>
        </w:rPr>
        <w:t>公顷，规划期内，全镇耕地面积不低于在“三区三线”划定成果中确定的耕地保护目标2</w:t>
      </w:r>
      <w:r>
        <w:rPr>
          <w:rFonts w:hint="eastAsia"/>
          <w:lang w:bidi="ar"/>
        </w:rPr>
        <w:t>869.13</w:t>
      </w:r>
      <w:r>
        <w:rPr>
          <w:lang w:bidi="ar"/>
        </w:rPr>
        <w:t>公顷。</w:t>
      </w:r>
    </w:p>
    <w:p>
      <w:pPr>
        <w:widowControl w:val="0"/>
        <w:spacing w:before="65" w:after="163" w:afterLines="50"/>
        <w:ind w:firstLine="640"/>
        <w:rPr>
          <w:lang w:bidi="ar"/>
        </w:rPr>
      </w:pPr>
      <w:r>
        <w:rPr>
          <w:rFonts w:hint="eastAsia"/>
          <w:lang w:bidi="ar"/>
        </w:rPr>
        <w:t>园地：适度优化园地。在保障农民合法权益、尊重农民意愿的前提下，在国土综合整治中，有序开展零星园地的整理，引导园地从平原区进山、上坡，优化园地布局。规划至</w:t>
      </w:r>
      <w:r>
        <w:rPr>
          <w:lang w:bidi="ar"/>
        </w:rPr>
        <w:t>2035年，园地面积</w:t>
      </w:r>
      <w:r>
        <w:rPr>
          <w:rFonts w:hint="eastAsia"/>
          <w:lang w:bidi="ar"/>
        </w:rPr>
        <w:t>适度增加</w:t>
      </w:r>
      <w:r>
        <w:rPr>
          <w:lang w:bidi="ar"/>
        </w:rPr>
        <w:t>。</w:t>
      </w:r>
    </w:p>
    <w:p>
      <w:pPr>
        <w:widowControl w:val="0"/>
        <w:spacing w:before="65" w:after="163" w:afterLines="50"/>
        <w:ind w:firstLine="640"/>
        <w:rPr>
          <w:lang w:bidi="ar"/>
        </w:rPr>
      </w:pPr>
      <w:r>
        <w:rPr>
          <w:rFonts w:hint="eastAsia"/>
          <w:lang w:bidi="ar"/>
        </w:rPr>
        <w:t>林地：加强林地保护，严格控制建设用地占用林地，加强森林资源修复，切实保护森林资源。规划基期年林地面积7210.64</w:t>
      </w:r>
      <w:r>
        <w:rPr>
          <w:lang w:bidi="ar"/>
        </w:rPr>
        <w:t>公顷，规划期内，林地面积</w:t>
      </w:r>
      <w:r>
        <w:rPr>
          <w:rFonts w:hint="eastAsia"/>
          <w:lang w:bidi="ar"/>
        </w:rPr>
        <w:t>保持稳定</w:t>
      </w:r>
      <w:r>
        <w:rPr>
          <w:lang w:bidi="ar"/>
        </w:rPr>
        <w:t>。</w:t>
      </w:r>
    </w:p>
    <w:p>
      <w:pPr>
        <w:widowControl w:val="0"/>
        <w:spacing w:before="65" w:after="163" w:afterLines="50"/>
        <w:ind w:firstLine="640"/>
        <w:rPr>
          <w:lang w:bidi="ar"/>
        </w:rPr>
      </w:pPr>
      <w:r>
        <w:rPr>
          <w:rFonts w:hint="eastAsia"/>
          <w:lang w:bidi="ar"/>
        </w:rPr>
        <w:t>草地：适度开发草地等未利用地，在保护生态环境的前提下，对草地等后备资源进行适度的开发利用。严格控制生态保护红线、自然保护地、天然林、公益林、河湖蓝线内以及坡度</w:t>
      </w:r>
      <w:r>
        <w:rPr>
          <w:lang w:bidi="ar"/>
        </w:rPr>
        <w:t>25度以上的草地开发。规划基期年草地面积</w:t>
      </w:r>
      <w:r>
        <w:rPr>
          <w:rFonts w:hint="eastAsia"/>
          <w:lang w:bidi="ar"/>
        </w:rPr>
        <w:t>285.98</w:t>
      </w:r>
      <w:r>
        <w:rPr>
          <w:lang w:bidi="ar"/>
        </w:rPr>
        <w:t>公顷，规划至2035年，草地</w:t>
      </w:r>
      <w:r>
        <w:rPr>
          <w:rFonts w:hint="eastAsia"/>
          <w:lang w:bidi="ar"/>
        </w:rPr>
        <w:t>适度</w:t>
      </w:r>
      <w:r>
        <w:rPr>
          <w:lang w:bidi="ar"/>
        </w:rPr>
        <w:t>减少</w:t>
      </w:r>
      <w:r>
        <w:rPr>
          <w:rFonts w:hint="eastAsia"/>
          <w:lang w:bidi="ar"/>
        </w:rPr>
        <w:t>。</w:t>
      </w:r>
      <w:bookmarkEnd w:id="37"/>
    </w:p>
    <w:p>
      <w:pPr>
        <w:pStyle w:val="5"/>
        <w:ind w:firstLine="640"/>
      </w:pPr>
      <w:r>
        <w:rPr>
          <w:rFonts w:hint="eastAsia"/>
        </w:rPr>
        <w:t>优化建设用地结构</w:t>
      </w:r>
    </w:p>
    <w:p>
      <w:pPr>
        <w:spacing w:before="65"/>
        <w:ind w:firstLine="640"/>
        <w:rPr>
          <w:lang w:bidi="ar"/>
        </w:rPr>
      </w:pPr>
      <w:bookmarkStart w:id="38" w:name="_Hlk206699066"/>
      <w:r>
        <w:rPr>
          <w:rFonts w:hint="eastAsia"/>
          <w:lang w:bidi="ar"/>
        </w:rPr>
        <w:t>城镇用地：严格控制城镇用地，在严格落实“三区三线”的基础上，统筹城乡建设用地规模，重点保障城乡基础设施、公共服务设施、重大民生工程、重点产业用地，规划至</w:t>
      </w:r>
      <w:r>
        <w:rPr>
          <w:lang w:bidi="ar"/>
        </w:rPr>
        <w:t>2035年城镇用地规模不得超过</w:t>
      </w:r>
      <w:r>
        <w:rPr>
          <w:rFonts w:hint="eastAsia"/>
          <w:lang w:bidi="ar"/>
        </w:rPr>
        <w:t>59.99</w:t>
      </w:r>
      <w:r>
        <w:rPr>
          <w:lang w:bidi="ar"/>
        </w:rPr>
        <w:t>公顷。</w:t>
      </w:r>
    </w:p>
    <w:p>
      <w:pPr>
        <w:spacing w:before="65"/>
        <w:ind w:firstLine="640"/>
        <w:rPr>
          <w:lang w:bidi="ar"/>
        </w:rPr>
      </w:pPr>
      <w:r>
        <w:rPr>
          <w:rFonts w:hint="eastAsia"/>
          <w:lang w:bidi="ar"/>
        </w:rPr>
        <w:t>村庄用地：全县农村人口会进一步向城镇转移，按照人均村庄用地整体稳定的要求，以及顺应乡村发展规律，防止超越发展阶段搞大拆建、大开发的总原则，规划期内村庄用地适度减少。按照人口与城镇化进程，有序开展农村建设用地整治，重点整治“空心村”，规划至</w:t>
      </w:r>
      <w:r>
        <w:rPr>
          <w:lang w:bidi="ar"/>
        </w:rPr>
        <w:t>2035年，村庄用地总规模不再新增，村庄用地规模不得超过城镇开发边界外村庄用地总规模</w:t>
      </w:r>
      <w:r>
        <w:rPr>
          <w:rFonts w:hint="eastAsia"/>
          <w:lang w:bidi="ar"/>
        </w:rPr>
        <w:t>834.83</w:t>
      </w:r>
      <w:r>
        <w:rPr>
          <w:lang w:bidi="ar"/>
        </w:rPr>
        <w:t>公顷</w:t>
      </w:r>
      <w:r>
        <w:rPr>
          <w:rFonts w:hint="eastAsia"/>
          <w:lang w:bidi="ar"/>
        </w:rPr>
        <w:t>。</w:t>
      </w:r>
    </w:p>
    <w:p>
      <w:pPr>
        <w:spacing w:before="65"/>
        <w:ind w:firstLine="640"/>
      </w:pPr>
      <w:r>
        <w:rPr>
          <w:rFonts w:hint="eastAsia"/>
          <w:lang w:bidi="ar"/>
        </w:rPr>
        <w:t>区域基础设施用地：</w:t>
      </w:r>
      <w:r>
        <w:rPr>
          <w:rFonts w:hint="eastAsia"/>
        </w:rPr>
        <w:t>优先落实国家、省市级重点交通水利用地需求，以及镇域内道路、水利等基础设施建设</w:t>
      </w:r>
      <w:r>
        <w:t>，规划期内，严格落实国家、省、市级重点项目用地需求，规划期内区域基础设施用地根据实际需求增加</w:t>
      </w:r>
      <w:r>
        <w:rPr>
          <w:rFonts w:hint="eastAsia"/>
        </w:rPr>
        <w:t>。</w:t>
      </w:r>
    </w:p>
    <w:p>
      <w:pPr>
        <w:ind w:firstLine="640"/>
      </w:pPr>
      <w:r>
        <w:t>其他建设用地</w:t>
      </w:r>
      <w:r>
        <w:rPr>
          <w:rFonts w:hint="eastAsia"/>
        </w:rPr>
        <w:t>：</w:t>
      </w:r>
      <w:r>
        <w:rPr>
          <w:rFonts w:hint="eastAsia"/>
          <w:lang w:bidi="ar"/>
        </w:rPr>
        <w:t>落实部门</w:t>
      </w:r>
      <w:r>
        <w:rPr>
          <w:lang w:bidi="ar"/>
        </w:rPr>
        <w:t>相关</w:t>
      </w:r>
      <w:r>
        <w:rPr>
          <w:rFonts w:hint="eastAsia"/>
          <w:lang w:bidi="ar"/>
        </w:rPr>
        <w:t>规划，矿产、旅游、民生等用地需求，规划期内其他建设用地适度增加</w:t>
      </w:r>
      <w:bookmarkEnd w:id="38"/>
      <w:r>
        <w:rPr>
          <w:rFonts w:hint="eastAsia"/>
          <w:lang w:bidi="ar"/>
        </w:rPr>
        <w:t>。</w:t>
      </w:r>
    </w:p>
    <w:p>
      <w:pPr>
        <w:pStyle w:val="5"/>
        <w:ind w:firstLine="640"/>
      </w:pPr>
      <w:r>
        <w:rPr>
          <w:rFonts w:hint="eastAsia"/>
        </w:rPr>
        <w:t>合理利用其他土地</w:t>
      </w:r>
    </w:p>
    <w:p>
      <w:pPr>
        <w:spacing w:before="65"/>
        <w:ind w:firstLine="640"/>
        <w:rPr>
          <w:lang w:bidi="ar"/>
        </w:rPr>
      </w:pPr>
      <w:r>
        <w:rPr>
          <w:rFonts w:hint="eastAsia"/>
          <w:lang w:bidi="ar"/>
        </w:rPr>
        <w:t>严格河湖水域岸线管理保护，积极开展寺河、刁河以及农村水系沟渠连通治理工程，提高河道防洪能力，规划期末陆地水域面积保持稳定。</w:t>
      </w:r>
    </w:p>
    <w:p>
      <w:pPr>
        <w:pStyle w:val="3"/>
      </w:pPr>
      <w:r>
        <w:rPr>
          <w:rFonts w:hint="eastAsia"/>
        </w:rPr>
        <w:t>留白用地</w:t>
      </w:r>
    </w:p>
    <w:p>
      <w:pPr>
        <w:pStyle w:val="4"/>
        <w:spacing w:before="195" w:after="195"/>
      </w:pPr>
      <w:r>
        <w:rPr>
          <w:rFonts w:hint="eastAsia"/>
        </w:rPr>
        <w:t>留白用地</w:t>
      </w:r>
    </w:p>
    <w:p>
      <w:pPr>
        <w:spacing w:before="65"/>
        <w:ind w:firstLine="640"/>
      </w:pPr>
      <w:r>
        <w:rPr>
          <w:rFonts w:hint="eastAsia"/>
        </w:rPr>
        <w:t>村庄规划阶段可按照现状村庄建设用地的</w:t>
      </w:r>
      <w:r>
        <w:t>5%作为规划留白，用于暂时无法确定用途或位置的乡镇域内农村公益设施、乡村文旅设施、农村一二三产融合发展用地等。规划留白不得占用永久基本农田、生态保护红线。</w:t>
      </w:r>
    </w:p>
    <w:p>
      <w:pPr>
        <w:spacing w:before="65"/>
        <w:ind w:firstLine="640"/>
      </w:pPr>
      <w:r>
        <w:br w:type="page"/>
      </w:r>
    </w:p>
    <w:p>
      <w:pPr>
        <w:spacing w:before="65"/>
        <w:ind w:firstLine="640"/>
      </w:pPr>
    </w:p>
    <w:p>
      <w:pPr>
        <w:pStyle w:val="2"/>
        <w:spacing w:before="489" w:after="489"/>
      </w:pPr>
      <w:bookmarkStart w:id="39" w:name="_Toc206777516"/>
      <w:r>
        <w:rPr>
          <w:rFonts w:hint="eastAsia"/>
        </w:rPr>
        <w:t>自然资源保护利用</w:t>
      </w:r>
      <w:bookmarkEnd w:id="39"/>
    </w:p>
    <w:p>
      <w:pPr>
        <w:pStyle w:val="3"/>
      </w:pPr>
      <w:r>
        <w:rPr>
          <w:rFonts w:hint="eastAsia"/>
        </w:rPr>
        <w:t>耕地资源保护与利用</w:t>
      </w:r>
    </w:p>
    <w:p>
      <w:pPr>
        <w:pStyle w:val="4"/>
        <w:spacing w:before="195" w:after="195"/>
      </w:pPr>
      <w:r>
        <w:rPr>
          <w:rFonts w:hint="eastAsia"/>
        </w:rPr>
        <w:t>严格落实耕地保护责任</w:t>
      </w:r>
    </w:p>
    <w:p>
      <w:pPr>
        <w:spacing w:before="65"/>
        <w:ind w:firstLine="640"/>
        <w:rPr>
          <w:lang w:bidi="ar"/>
        </w:rPr>
      </w:pPr>
      <w:r>
        <w:rPr>
          <w:rFonts w:hint="eastAsia"/>
          <w:lang w:bidi="ar"/>
        </w:rPr>
        <w:t>落实“合理利用土地、切实保护耕地”的基本国策，落实耕地保护目标，严守耕地保护红线，保证面积不减少、质量有提升、生态有改善。</w:t>
      </w:r>
      <w:r>
        <w:rPr>
          <w:rFonts w:hint="eastAsia"/>
          <w:u w:val="single"/>
          <w:lang w:bidi="ar"/>
        </w:rPr>
        <w:t>规划至2035年，全镇耕地保有量不低于</w:t>
      </w:r>
      <w:r>
        <w:rPr>
          <w:u w:val="single"/>
          <w:lang w:bidi="ar"/>
        </w:rPr>
        <w:t>2</w:t>
      </w:r>
      <w:r>
        <w:rPr>
          <w:rFonts w:hint="eastAsia"/>
          <w:u w:val="single"/>
          <w:lang w:bidi="ar"/>
        </w:rPr>
        <w:t>869.13</w:t>
      </w:r>
      <w:r>
        <w:rPr>
          <w:u w:val="single"/>
          <w:lang w:bidi="ar"/>
        </w:rPr>
        <w:t>公顷，</w:t>
      </w:r>
      <w:bookmarkStart w:id="40" w:name="_Hlk206699180"/>
      <w:r>
        <w:rPr>
          <w:rFonts w:hint="eastAsia"/>
          <w:u w:val="single"/>
        </w:rPr>
        <w:t>根据上位规划，永久基本农田保护红线面积不低于</w:t>
      </w:r>
      <w:r>
        <w:rPr>
          <w:u w:val="single"/>
        </w:rPr>
        <w:t>2</w:t>
      </w:r>
      <w:r>
        <w:rPr>
          <w:rFonts w:hint="eastAsia"/>
          <w:u w:val="single"/>
        </w:rPr>
        <w:t>756.79</w:t>
      </w:r>
      <w:r>
        <w:rPr>
          <w:u w:val="single"/>
        </w:rPr>
        <w:t>公顷，</w:t>
      </w:r>
      <w:r>
        <w:rPr>
          <w:rFonts w:hint="eastAsia"/>
          <w:u w:val="single"/>
        </w:rPr>
        <w:t>实际落实永久基本农田保护红线面积</w:t>
      </w:r>
      <w:r>
        <w:rPr>
          <w:u w:val="single"/>
        </w:rPr>
        <w:t>2</w:t>
      </w:r>
      <w:r>
        <w:rPr>
          <w:rFonts w:hint="eastAsia"/>
          <w:u w:val="single"/>
        </w:rPr>
        <w:t>763.49</w:t>
      </w:r>
      <w:r>
        <w:rPr>
          <w:u w:val="single"/>
        </w:rPr>
        <w:t>公顷</w:t>
      </w:r>
      <w:bookmarkEnd w:id="40"/>
      <w:r>
        <w:rPr>
          <w:rFonts w:hint="eastAsia"/>
          <w:lang w:bidi="ar"/>
        </w:rPr>
        <w:t>。严格落实</w:t>
      </w:r>
      <w:r>
        <w:rPr>
          <w:lang w:bidi="ar"/>
        </w:rPr>
        <w:t>划定</w:t>
      </w:r>
      <w:r>
        <w:rPr>
          <w:rFonts w:hint="eastAsia"/>
          <w:lang w:bidi="ar"/>
        </w:rPr>
        <w:t>的耕地保护图斑，</w:t>
      </w:r>
      <w:r>
        <w:t>足额带位置</w:t>
      </w:r>
      <w:r>
        <w:rPr>
          <w:rFonts w:hint="eastAsia"/>
        </w:rPr>
        <w:t>落实</w:t>
      </w:r>
      <w:r>
        <w:t>到</w:t>
      </w:r>
      <w:r>
        <w:rPr>
          <w:rFonts w:hint="eastAsia"/>
        </w:rPr>
        <w:t>村庄</w:t>
      </w:r>
      <w:r>
        <w:t>、到地块，上图入库、建档立卡，守住耕地保护和粮食安全底线。</w:t>
      </w:r>
      <w:r>
        <w:rPr>
          <w:rFonts w:hint="eastAsia"/>
          <w:lang w:bidi="ar"/>
        </w:rPr>
        <w:t>落实“长牙齿”的耕地保护措施，</w:t>
      </w:r>
      <w:r>
        <w:rPr>
          <w:lang w:bidi="ar"/>
        </w:rPr>
        <w:t>落实</w:t>
      </w:r>
      <w:r>
        <w:rPr>
          <w:rFonts w:hint="eastAsia"/>
          <w:lang w:bidi="ar"/>
        </w:rPr>
        <w:t>耕地保护责任目标考核机制，</w:t>
      </w:r>
      <w:r>
        <w:rPr>
          <w:lang w:bidi="ar"/>
        </w:rPr>
        <w:t>落实</w:t>
      </w:r>
      <w:r>
        <w:rPr>
          <w:rFonts w:hint="eastAsia"/>
          <w:lang w:bidi="ar"/>
        </w:rPr>
        <w:t>耕地保护党政同责、终生追责。</w:t>
      </w:r>
      <w:r>
        <w:rPr>
          <w:lang w:bidi="ar"/>
        </w:rPr>
        <w:t>严格落实</w:t>
      </w:r>
      <w:r>
        <w:rPr>
          <w:rFonts w:hint="eastAsia"/>
          <w:lang w:bidi="ar"/>
        </w:rPr>
        <w:t>推进“非农化”问题排查整治，严格控制耕地转为林地、草地、园地等其他农用地。</w:t>
      </w:r>
    </w:p>
    <w:p>
      <w:pPr>
        <w:pStyle w:val="4"/>
        <w:spacing w:before="195" w:after="195"/>
      </w:pPr>
      <w:r>
        <w:t>严格落实耕地种植用途管控</w:t>
      </w:r>
    </w:p>
    <w:p>
      <w:pPr>
        <w:spacing w:before="65"/>
        <w:ind w:firstLine="640"/>
        <w:rPr>
          <w:lang w:bidi="ar"/>
        </w:rPr>
      </w:pPr>
      <w:r>
        <w:rPr>
          <w:lang w:bidi="ar"/>
        </w:rPr>
        <w:t>落实耕地种植制度，耕地主要用于粮食和棉、油、糖、蔬菜等农产品生产以及饲草饲料生产，永久基本农田重点用于粮食生产，高标准农田原则上全部用于粮食生产。严守永久基本农田保护红线，严禁擅自占用和改变用途。全面落实田长制，建立多层级网格化管理的耕地保护监督机制，加强耕地执法监督,坚决遏制耕地“非农化”、防止“非粮化”。</w:t>
      </w:r>
    </w:p>
    <w:p>
      <w:pPr>
        <w:pStyle w:val="4"/>
        <w:spacing w:before="195" w:after="195"/>
      </w:pPr>
      <w:r>
        <w:rPr>
          <w:rFonts w:hint="eastAsia"/>
        </w:rPr>
        <w:t>严格落实占补平衡</w:t>
      </w:r>
    </w:p>
    <w:p>
      <w:pPr>
        <w:spacing w:before="48"/>
        <w:ind w:firstLine="640"/>
        <w:rPr>
          <w:lang w:bidi="ar"/>
        </w:rPr>
      </w:pPr>
      <w:r>
        <w:rPr>
          <w:rFonts w:hint="eastAsia"/>
          <w:lang w:bidi="ar"/>
        </w:rPr>
        <w:t>严格实行“以补定占”，在实现耕地总量动态平衡前提下，将镇域内稳定利用耕地净增加量作为下年度非农建设允许占用耕地规模上限控制，对违法建设占用耕地相应冻结补充耕地指标。将非农建设、造林种树、种果种茶等各类占用耕地行为统一纳入耕地占补平衡管理；补充耕地坚持以恢复优质耕地为主、新开垦耕地为辅的原则，在符合国土空间规划和生态环境保护要求的前提下，优先将适宜恢复为优质耕地的园地、林地、草地等其他农用地以及低效闲置建设用地统筹作为补充耕地来源。各类实施主体将非耕地垦造、恢复为耕地的，符合规定的可作为补充耕地。</w:t>
      </w:r>
    </w:p>
    <w:p>
      <w:pPr>
        <w:spacing w:before="48"/>
        <w:ind w:firstLine="640"/>
        <w:rPr>
          <w:lang w:bidi="ar"/>
        </w:rPr>
      </w:pPr>
      <w:r>
        <w:rPr>
          <w:rFonts w:hint="eastAsia"/>
          <w:lang w:bidi="ar"/>
        </w:rPr>
        <w:t>拓宽补充耕地来源，规划期内积极稳妥有序开展农村</w:t>
      </w:r>
      <w:r>
        <w:rPr>
          <w:lang w:bidi="ar"/>
        </w:rPr>
        <w:t>建设用地整治，重点推进镇域内“空心村”、闲置宅基地整治，规划期内通过农村建设用地整治补充耕地</w:t>
      </w:r>
      <w:r>
        <w:rPr>
          <w:rFonts w:hint="eastAsia"/>
          <w:lang w:bidi="ar"/>
        </w:rPr>
        <w:t>23.03</w:t>
      </w:r>
      <w:r>
        <w:rPr>
          <w:lang w:bidi="ar"/>
        </w:rPr>
        <w:t>公顷。规划期内通过农用地整治可补充耕地</w:t>
      </w:r>
      <w:r>
        <w:rPr>
          <w:rFonts w:hint="eastAsia"/>
          <w:lang w:bidi="ar"/>
        </w:rPr>
        <w:t>54.06</w:t>
      </w:r>
      <w:r>
        <w:rPr>
          <w:lang w:bidi="ar"/>
        </w:rPr>
        <w:t>公顷</w:t>
      </w:r>
      <w:r>
        <w:rPr>
          <w:rFonts w:hint="eastAsia"/>
          <w:lang w:bidi="ar"/>
        </w:rPr>
        <w:t>。</w:t>
      </w:r>
    </w:p>
    <w:p>
      <w:pPr>
        <w:pStyle w:val="4"/>
        <w:spacing w:before="195" w:after="195"/>
      </w:pPr>
      <w:bookmarkStart w:id="41" w:name="_Hlk142899495"/>
      <w:bookmarkStart w:id="42" w:name="_Hlk142899869"/>
      <w:r>
        <w:rPr>
          <w:rFonts w:hint="eastAsia"/>
        </w:rPr>
        <w:t>加强耕地质量建设</w:t>
      </w:r>
    </w:p>
    <w:bookmarkEnd w:id="41"/>
    <w:p>
      <w:pPr>
        <w:spacing w:before="65"/>
        <w:ind w:firstLine="640"/>
        <w:rPr>
          <w:lang w:bidi="ar"/>
        </w:rPr>
      </w:pPr>
      <w:r>
        <w:rPr>
          <w:rFonts w:hint="eastAsia"/>
          <w:lang w:bidi="ar"/>
        </w:rPr>
        <w:t>积极开展土地整治项目，推进耕地质量保护与提升，落</w:t>
      </w:r>
      <w:r>
        <w:rPr>
          <w:lang w:bidi="ar"/>
        </w:rPr>
        <w:t>实</w:t>
      </w:r>
      <w:r>
        <w:rPr>
          <w:rFonts w:hint="eastAsia"/>
          <w:lang w:bidi="ar"/>
        </w:rPr>
        <w:t>“</w:t>
      </w:r>
      <w:r>
        <w:rPr>
          <w:lang w:bidi="ar"/>
        </w:rPr>
        <w:t>藏粮于地、藏粮于技</w:t>
      </w:r>
      <w:r>
        <w:rPr>
          <w:rFonts w:hint="eastAsia"/>
          <w:lang w:bidi="ar"/>
        </w:rPr>
        <w:t>”</w:t>
      </w:r>
      <w:r>
        <w:rPr>
          <w:lang w:bidi="ar"/>
        </w:rPr>
        <w:t>战略，加快农业生产配套田网、渠网、路网、电网等建设，提高农田抗灾减灾能力、农田排灌能力和农机作业能力，大力推进高标准农田建设，通过实施土地平整、土壤改良、地力培肥等措施，逐步把永久基本农田全部建成高标准农田。</w:t>
      </w:r>
      <w:r>
        <w:rPr>
          <w:rFonts w:hint="eastAsia"/>
          <w:lang w:bidi="ar"/>
        </w:rPr>
        <w:t>规划期内，确保集中连片的永久基本农田全部建成为高标准农田。</w:t>
      </w:r>
    </w:p>
    <w:p>
      <w:pPr>
        <w:pStyle w:val="4"/>
        <w:rPr>
          <w:lang w:bidi="ar"/>
        </w:rPr>
      </w:pPr>
      <w:r>
        <w:rPr>
          <w:rFonts w:hint="eastAsia"/>
          <w:lang w:bidi="ar"/>
        </w:rPr>
        <w:t>强化耕地生态保护</w:t>
      </w:r>
    </w:p>
    <w:p>
      <w:pPr>
        <w:spacing w:before="65"/>
        <w:ind w:firstLine="640"/>
        <w:rPr>
          <w:lang w:bidi="ar"/>
        </w:rPr>
      </w:pPr>
      <w:r>
        <w:rPr>
          <w:rFonts w:hint="eastAsia"/>
          <w:lang w:bidi="ar"/>
        </w:rPr>
        <w:t>合理利用水土资源，持续改善耕地生态环境，实现耕地</w:t>
      </w:r>
      <w:r>
        <w:rPr>
          <w:lang w:bidi="ar"/>
        </w:rPr>
        <w:t>数量、质量、生态的协调统一。大力发展绿色农业，持续推进测土配方施肥，实现化肥农药减量增效，促进农村地区畜禽粪污、地膜和农作物秸秆资源化利用，防治土壤退化。</w:t>
      </w:r>
    </w:p>
    <w:p>
      <w:pPr>
        <w:spacing w:before="65"/>
        <w:ind w:firstLine="640"/>
        <w:rPr>
          <w:lang w:bidi="ar"/>
        </w:rPr>
      </w:pPr>
      <w:r>
        <w:rPr>
          <w:rFonts w:hint="eastAsia"/>
          <w:lang w:bidi="ar"/>
        </w:rPr>
        <w:t>加大农业节水力度，扩大低耗水、高耐旱作物种植比例，</w:t>
      </w:r>
      <w:r>
        <w:rPr>
          <w:lang w:bidi="ar"/>
        </w:rPr>
        <w:t>开展大中型灌区高效节水灌溉配套建设，提高灌溉水利用效率。加强农田水利基础设施建设，提高耕地防灾减灾能力，及时整治复垦灾毁耕地，保障农业生产秩序。强化耕地与周边生态系统协同保护，修复完善农田防护林网和耕地生态功能，恢复田间生物群落和生态链，建设健康稳定田园生态系统。</w:t>
      </w:r>
    </w:p>
    <w:bookmarkEnd w:id="42"/>
    <w:p>
      <w:pPr>
        <w:pStyle w:val="3"/>
      </w:pPr>
      <w:r>
        <w:rPr>
          <w:rFonts w:hint="eastAsia"/>
        </w:rPr>
        <w:t>森林资源保护与利用</w:t>
      </w:r>
    </w:p>
    <w:p>
      <w:pPr>
        <w:pStyle w:val="4"/>
        <w:spacing w:before="195" w:after="195"/>
      </w:pPr>
      <w:r>
        <w:rPr>
          <w:rFonts w:hint="eastAsia"/>
        </w:rPr>
        <w:t>落实</w:t>
      </w:r>
      <w:r>
        <w:t>森林资源</w:t>
      </w:r>
      <w:r>
        <w:rPr>
          <w:rFonts w:hint="eastAsia"/>
        </w:rPr>
        <w:t>保护任务</w:t>
      </w:r>
    </w:p>
    <w:p>
      <w:pPr>
        <w:spacing w:before="65"/>
        <w:ind w:firstLine="640"/>
      </w:pPr>
      <w:r>
        <w:rPr>
          <w:rFonts w:hint="eastAsia"/>
        </w:rPr>
        <w:t>加强镇域森林资源的保护，全面建立实施林长制，压实森林管理与保护责任，稳定林地保有量，提高森林覆盖率。重点完善刁河、桃溪</w:t>
      </w:r>
      <w:r>
        <w:t>河</w:t>
      </w:r>
      <w:r>
        <w:rPr>
          <w:rFonts w:hint="eastAsia"/>
        </w:rPr>
        <w:t>和道路两侧防护林带及农田林网等重要的森林源地建设，促使桃溪镇生态系统质量和稳定性进一步提升。</w:t>
      </w:r>
    </w:p>
    <w:p>
      <w:pPr>
        <w:spacing w:before="65"/>
        <w:ind w:firstLine="640"/>
      </w:pPr>
      <w:r>
        <w:rPr>
          <w:rFonts w:hint="eastAsia"/>
        </w:rPr>
        <w:t>稳步推进造林绿化工程，全面提升桃溪镇镇域绿量。至2035年，完成新增造林绿化任务893.97</w:t>
      </w:r>
      <w:r>
        <w:t>公顷</w:t>
      </w:r>
      <w:r>
        <w:rPr>
          <w:rFonts w:hint="eastAsia"/>
        </w:rPr>
        <w:t>。</w:t>
      </w:r>
    </w:p>
    <w:p>
      <w:pPr>
        <w:spacing w:before="65"/>
        <w:ind w:firstLine="640"/>
      </w:pPr>
      <w:r>
        <w:rPr>
          <w:rFonts w:hint="eastAsia"/>
        </w:rPr>
        <w:t>重点在以下区域加强林地建设：镇域北部麦子山、西部岱军岭和王庄水库周边等重点区域。</w:t>
      </w:r>
    </w:p>
    <w:p>
      <w:pPr>
        <w:pStyle w:val="4"/>
        <w:spacing w:before="195" w:after="195"/>
      </w:pPr>
      <w:r>
        <w:rPr>
          <w:rFonts w:hint="eastAsia"/>
        </w:rPr>
        <w:t>落实完善</w:t>
      </w:r>
      <w:r>
        <w:t>林地分类保护</w:t>
      </w:r>
      <w:r>
        <w:rPr>
          <w:rFonts w:hint="eastAsia"/>
        </w:rPr>
        <w:t>机制</w:t>
      </w:r>
    </w:p>
    <w:p>
      <w:pPr>
        <w:spacing w:before="65"/>
        <w:ind w:firstLine="640"/>
      </w:pPr>
      <w:r>
        <w:rPr>
          <w:rFonts w:hint="eastAsia"/>
        </w:rPr>
        <w:t>全镇天然林面积7162.73</w:t>
      </w:r>
      <w:r>
        <w:t>公顷，占镇域面积的</w:t>
      </w:r>
      <w:r>
        <w:rPr>
          <w:rFonts w:hint="eastAsia"/>
        </w:rPr>
        <w:t>56.76</w:t>
      </w:r>
      <w:r>
        <w:t>%，主要分布于</w:t>
      </w:r>
      <w:r>
        <w:rPr>
          <w:rFonts w:hint="eastAsia"/>
        </w:rPr>
        <w:t>东川村、黑山村、彭沟村、桃庄河村、大路村、寺河村、桃溪村、吴沟村、石碑营村等</w:t>
      </w:r>
      <w:r>
        <w:t>北部</w:t>
      </w:r>
      <w:r>
        <w:rPr>
          <w:rFonts w:hint="eastAsia"/>
        </w:rPr>
        <w:t>山区</w:t>
      </w:r>
      <w:r>
        <w:t>和</w:t>
      </w:r>
      <w:r>
        <w:rPr>
          <w:rFonts w:hint="eastAsia"/>
        </w:rPr>
        <w:t>南部山区区域</w:t>
      </w:r>
      <w:r>
        <w:t>；全镇生态公益林面积</w:t>
      </w:r>
      <w:r>
        <w:rPr>
          <w:rFonts w:hint="eastAsia"/>
        </w:rPr>
        <w:t>4429.87</w:t>
      </w:r>
      <w:r>
        <w:t>公顷，占镇域面积的</w:t>
      </w:r>
      <w:r>
        <w:rPr>
          <w:rFonts w:hint="eastAsia"/>
        </w:rPr>
        <w:t>35.10</w:t>
      </w:r>
      <w:r>
        <w:t>%，</w:t>
      </w:r>
      <w:r>
        <w:rPr>
          <w:rFonts w:hint="eastAsia"/>
        </w:rPr>
        <w:t>广泛</w:t>
      </w:r>
      <w:r>
        <w:t>分布于</w:t>
      </w:r>
      <w:r>
        <w:rPr>
          <w:rFonts w:hint="eastAsia"/>
        </w:rPr>
        <w:t>东川村、黑山村、彭沟村、桃庄河村、大路村、寺河村等</w:t>
      </w:r>
      <w:r>
        <w:t>北部</w:t>
      </w:r>
      <w:r>
        <w:rPr>
          <w:rFonts w:hint="eastAsia"/>
        </w:rPr>
        <w:t>山区</w:t>
      </w:r>
      <w:r>
        <w:t>和</w:t>
      </w:r>
      <w:r>
        <w:rPr>
          <w:rFonts w:hint="eastAsia"/>
        </w:rPr>
        <w:t>南部山区区域。</w:t>
      </w:r>
    </w:p>
    <w:p>
      <w:pPr>
        <w:spacing w:before="65"/>
        <w:ind w:firstLine="640"/>
      </w:pPr>
      <w:r>
        <w:rPr>
          <w:rFonts w:hint="eastAsia"/>
        </w:rPr>
        <w:t>科学合理进行森林经营，严格遵守限额采伐和凭证采伐的管理制度，全面停止天然林商业性采伐，不得将天然林改造为人工林，不得擅自将公益林改为商品林。巩固提升生态系统碳汇能力，加强重大林业有害生物防治，保护古树名木及其自然环境。</w:t>
      </w:r>
    </w:p>
    <w:p>
      <w:pPr>
        <w:pStyle w:val="3"/>
      </w:pPr>
      <w:r>
        <w:t>建设用地节约集约利用</w:t>
      </w:r>
    </w:p>
    <w:p>
      <w:pPr>
        <w:pStyle w:val="4"/>
        <w:spacing w:before="195" w:after="195"/>
      </w:pPr>
      <w:r>
        <w:rPr>
          <w:rFonts w:hint="eastAsia"/>
        </w:rPr>
        <w:t>实行总量控制，保障建设</w:t>
      </w:r>
      <w:r>
        <w:t>用地需求。</w:t>
      </w:r>
    </w:p>
    <w:p>
      <w:pPr>
        <w:spacing w:before="48" w:after="163" w:afterLines="50"/>
        <w:ind w:firstLine="640"/>
        <w:rPr>
          <w:rFonts w:cs="宋体"/>
          <w:lang w:bidi="ar"/>
        </w:rPr>
      </w:pPr>
      <w:r>
        <w:rPr>
          <w:rFonts w:hint="eastAsia" w:cs="宋体"/>
          <w:lang w:bidi="ar"/>
        </w:rPr>
        <w:t>严控新增城乡用地规模。规划期末，城镇建设用地规模不超过59.99公顷，村庄建设用地不超过834.83公顷。严格按照城镇开发边界范围开展集中建设，凡不符合国土空间规划、国家区域政策、产业政策和供地政策的建设项目，不得开展城镇建设利用活动</w:t>
      </w:r>
      <w:r>
        <w:rPr>
          <w:rFonts w:cs="宋体"/>
          <w:lang w:bidi="ar"/>
        </w:rPr>
        <w:t>。</w:t>
      </w:r>
      <w:r>
        <w:rPr>
          <w:rFonts w:hint="eastAsia" w:cs="宋体"/>
          <w:lang w:bidi="ar"/>
        </w:rPr>
        <w:t>精准</w:t>
      </w:r>
      <w:r>
        <w:rPr>
          <w:rFonts w:cs="宋体"/>
          <w:lang w:bidi="ar"/>
        </w:rPr>
        <w:t>有效配置新增指标，实现</w:t>
      </w:r>
      <w:r>
        <w:rPr>
          <w:rFonts w:hint="eastAsia" w:cs="宋体"/>
          <w:lang w:bidi="ar"/>
        </w:rPr>
        <w:t>“优地</w:t>
      </w:r>
      <w:r>
        <w:rPr>
          <w:rFonts w:cs="宋体"/>
          <w:lang w:bidi="ar"/>
        </w:rPr>
        <w:t>优用</w:t>
      </w:r>
      <w:r>
        <w:rPr>
          <w:rFonts w:hint="eastAsia" w:cs="宋体"/>
          <w:lang w:bidi="ar"/>
        </w:rPr>
        <w:t>”，</w:t>
      </w:r>
      <w:r>
        <w:rPr>
          <w:rFonts w:cs="宋体"/>
          <w:lang w:bidi="ar"/>
        </w:rPr>
        <w:t>加大存量挖掘潜力，推进城镇建设用地混合开发和空间复合利用。</w:t>
      </w:r>
      <w:r>
        <w:rPr>
          <w:rFonts w:hint="eastAsia" w:cs="宋体"/>
          <w:lang w:bidi="ar"/>
        </w:rPr>
        <w:t>规范</w:t>
      </w:r>
      <w:r>
        <w:rPr>
          <w:rFonts w:cs="宋体"/>
          <w:lang w:bidi="ar"/>
        </w:rPr>
        <w:t>利用，盘活村庄建设用地。</w:t>
      </w:r>
      <w:r>
        <w:rPr>
          <w:rFonts w:hint="eastAsia" w:cs="宋体"/>
          <w:lang w:bidi="ar"/>
        </w:rPr>
        <w:t>有序</w:t>
      </w:r>
      <w:r>
        <w:rPr>
          <w:rFonts w:cs="宋体"/>
          <w:lang w:bidi="ar"/>
        </w:rPr>
        <w:t>引导、稳妥推进村庄建设用地节约集约利用，完善鼓励机制，鼓励农村</w:t>
      </w:r>
      <w:r>
        <w:rPr>
          <w:rFonts w:hint="eastAsia" w:cs="宋体"/>
          <w:lang w:bidi="ar"/>
        </w:rPr>
        <w:t>闲置</w:t>
      </w:r>
      <w:r>
        <w:rPr>
          <w:rFonts w:cs="宋体"/>
          <w:lang w:bidi="ar"/>
        </w:rPr>
        <w:t>宅基地有偿退出和村庄低效建设用地</w:t>
      </w:r>
      <w:r>
        <w:rPr>
          <w:rFonts w:hint="eastAsia" w:cs="宋体"/>
          <w:lang w:bidi="ar"/>
        </w:rPr>
        <w:t>再利用</w:t>
      </w:r>
      <w:r>
        <w:rPr>
          <w:rFonts w:cs="宋体"/>
          <w:lang w:bidi="ar"/>
        </w:rPr>
        <w:t>。鼓励</w:t>
      </w:r>
      <w:r>
        <w:rPr>
          <w:rFonts w:hint="eastAsia" w:cs="宋体"/>
          <w:lang w:bidi="ar"/>
        </w:rPr>
        <w:t>对</w:t>
      </w:r>
      <w:r>
        <w:rPr>
          <w:rFonts w:cs="宋体"/>
          <w:lang w:bidi="ar"/>
        </w:rPr>
        <w:t>依法登记</w:t>
      </w:r>
      <w:r>
        <w:rPr>
          <w:rFonts w:hint="eastAsia" w:cs="宋体"/>
          <w:lang w:bidi="ar"/>
        </w:rPr>
        <w:t>的村庄建设</w:t>
      </w:r>
      <w:r>
        <w:rPr>
          <w:rFonts w:cs="宋体"/>
          <w:lang w:bidi="ar"/>
        </w:rPr>
        <w:t>用地进行</w:t>
      </w:r>
      <w:r>
        <w:rPr>
          <w:rFonts w:hint="eastAsia" w:cs="宋体"/>
          <w:lang w:bidi="ar"/>
        </w:rPr>
        <w:t>复合</w:t>
      </w:r>
      <w:r>
        <w:rPr>
          <w:rFonts w:cs="宋体"/>
          <w:lang w:bidi="ar"/>
        </w:rPr>
        <w:t>利用，发展乡村振兴产业，提高经济收益。</w:t>
      </w:r>
    </w:p>
    <w:p>
      <w:pPr>
        <w:spacing w:before="48" w:after="163" w:afterLines="50"/>
        <w:ind w:firstLine="640"/>
      </w:pPr>
      <w:r>
        <w:rPr>
          <w:rFonts w:hint="eastAsia" w:cs="宋体"/>
          <w:lang w:bidi="ar"/>
        </w:rPr>
        <w:t>保障区域基础设施用地和其他建设用地需求</w:t>
      </w:r>
      <w:r>
        <w:rPr>
          <w:rFonts w:cs="宋体"/>
          <w:lang w:bidi="ar"/>
        </w:rPr>
        <w:t>。</w:t>
      </w:r>
      <w:r>
        <w:rPr>
          <w:rFonts w:hint="eastAsia" w:cs="宋体"/>
          <w:lang w:bidi="ar"/>
        </w:rPr>
        <w:t>强化保障交通</w:t>
      </w:r>
      <w:r>
        <w:rPr>
          <w:rFonts w:cs="宋体"/>
          <w:lang w:bidi="ar"/>
        </w:rPr>
        <w:t>、水利、</w:t>
      </w:r>
      <w:r>
        <w:rPr>
          <w:rFonts w:hint="eastAsia" w:cs="宋体"/>
          <w:lang w:bidi="ar"/>
        </w:rPr>
        <w:t>能源等基础</w:t>
      </w:r>
      <w:r>
        <w:rPr>
          <w:rFonts w:cs="宋体"/>
          <w:lang w:bidi="ar"/>
        </w:rPr>
        <w:t>设施用地</w:t>
      </w:r>
      <w:r>
        <w:rPr>
          <w:rFonts w:hint="eastAsia" w:cs="宋体"/>
          <w:lang w:bidi="ar"/>
        </w:rPr>
        <w:t>需求，全力</w:t>
      </w:r>
      <w:r>
        <w:rPr>
          <w:rFonts w:cs="宋体"/>
          <w:lang w:bidi="ar"/>
        </w:rPr>
        <w:t>提升自然资源要素保障能力</w:t>
      </w:r>
      <w:r>
        <w:rPr>
          <w:rFonts w:hint="eastAsia" w:cs="宋体"/>
          <w:lang w:bidi="ar"/>
        </w:rPr>
        <w:t>；加强</w:t>
      </w:r>
      <w:r>
        <w:rPr>
          <w:rFonts w:cs="宋体"/>
          <w:lang w:bidi="ar"/>
        </w:rPr>
        <w:t>殡葬用地保障力度，</w:t>
      </w:r>
      <w:r>
        <w:rPr>
          <w:rFonts w:hint="eastAsia" w:cs="宋体"/>
          <w:lang w:bidi="ar"/>
        </w:rPr>
        <w:t>镇域</w:t>
      </w:r>
      <w:r>
        <w:rPr>
          <w:rFonts w:cs="宋体"/>
          <w:lang w:bidi="ar"/>
        </w:rPr>
        <w:t>范围内预留不少于</w:t>
      </w:r>
      <w:r>
        <w:rPr>
          <w:rFonts w:hint="eastAsia" w:cs="宋体"/>
          <w:lang w:bidi="ar"/>
        </w:rPr>
        <w:t>3.33公顷</w:t>
      </w:r>
      <w:r>
        <w:rPr>
          <w:rFonts w:cs="宋体"/>
          <w:lang w:bidi="ar"/>
        </w:rPr>
        <w:t>（</w:t>
      </w:r>
      <w:r>
        <w:rPr>
          <w:rFonts w:hint="eastAsia" w:cs="宋体"/>
          <w:lang w:bidi="ar"/>
        </w:rPr>
        <w:t>50亩</w:t>
      </w:r>
      <w:r>
        <w:rPr>
          <w:rFonts w:cs="宋体"/>
          <w:lang w:bidi="ar"/>
        </w:rPr>
        <w:t>）</w:t>
      </w:r>
      <w:r>
        <w:rPr>
          <w:rFonts w:hint="eastAsia" w:cs="宋体"/>
          <w:lang w:bidi="ar"/>
        </w:rPr>
        <w:t>的</w:t>
      </w:r>
      <w:r>
        <w:rPr>
          <w:rFonts w:cs="宋体"/>
          <w:lang w:bidi="ar"/>
        </w:rPr>
        <w:t>公益性公墓用地，鼓励与其他乡镇</w:t>
      </w:r>
      <w:r>
        <w:rPr>
          <w:rFonts w:hint="eastAsia" w:cs="宋体"/>
          <w:lang w:bidi="ar"/>
        </w:rPr>
        <w:t>联合</w:t>
      </w:r>
      <w:r>
        <w:rPr>
          <w:rFonts w:cs="宋体"/>
          <w:lang w:bidi="ar"/>
        </w:rPr>
        <w:t>建立</w:t>
      </w:r>
      <w:r>
        <w:rPr>
          <w:rFonts w:hint="eastAsia" w:cs="宋体"/>
          <w:lang w:bidi="ar"/>
        </w:rPr>
        <w:t>公墓。</w:t>
      </w:r>
    </w:p>
    <w:p>
      <w:pPr>
        <w:pStyle w:val="4"/>
      </w:pPr>
      <w:r>
        <w:t>优配增量，精准新增建设用地</w:t>
      </w:r>
    </w:p>
    <w:p>
      <w:pPr>
        <w:ind w:firstLine="640"/>
      </w:pPr>
      <w:r>
        <w:rPr>
          <w:rFonts w:hint="eastAsia"/>
        </w:rPr>
        <w:t>桃溪镇镇区规划期内严格控制建设用地规模，充分挖掘存量建设用地，最大限度地减少对耕地的占用，合理布局城镇用地指标。规划至2035年城镇用地规模为59.99公顷，桃溪镇区城镇建设以存量开发、内涵提升为主</w:t>
      </w:r>
      <w:r>
        <w:t>。</w:t>
      </w:r>
    </w:p>
    <w:p>
      <w:pPr>
        <w:ind w:firstLine="640"/>
        <w:rPr>
          <w:highlight w:val="yellow"/>
        </w:rPr>
      </w:pPr>
      <w:r>
        <w:rPr>
          <w:rFonts w:hint="eastAsia"/>
        </w:rPr>
        <w:t>在村庄建设边界划定中，桃溪镇调入的村庄建设边界指标主要用于满足乡村振兴的产业用地需求和合理的宅基地需求，在镇域调入的6.30</w:t>
      </w:r>
      <w:r>
        <w:t>公顷村庄建设边界指标中，产业用地面积为</w:t>
      </w:r>
      <w:r>
        <w:rPr>
          <w:rFonts w:hint="eastAsia"/>
        </w:rPr>
        <w:t>4.36</w:t>
      </w:r>
      <w:r>
        <w:t>公顷，宅基地面积为</w:t>
      </w:r>
      <w:r>
        <w:rPr>
          <w:rFonts w:hint="eastAsia"/>
        </w:rPr>
        <w:t>0.69</w:t>
      </w:r>
      <w:r>
        <w:t>公顷，基础设施、公共服务设施和未明确用途的用地面积为</w:t>
      </w:r>
      <w:r>
        <w:rPr>
          <w:rFonts w:hint="eastAsia"/>
        </w:rPr>
        <w:t>1.25</w:t>
      </w:r>
      <w:r>
        <w:t>公顷</w:t>
      </w:r>
      <w:r>
        <w:rPr>
          <w:rFonts w:hint="eastAsia"/>
        </w:rPr>
        <w:t>。</w:t>
      </w:r>
      <w:r>
        <w:t>在空间位置分布上，</w:t>
      </w:r>
      <w:r>
        <w:rPr>
          <w:rFonts w:hint="eastAsia"/>
        </w:rPr>
        <w:t>每个行政村都有新增村庄建设指标。</w:t>
      </w:r>
    </w:p>
    <w:p>
      <w:pPr>
        <w:ind w:firstLine="640"/>
        <w:rPr>
          <w:highlight w:val="yellow"/>
        </w:rPr>
      </w:pPr>
      <w:r>
        <w:rPr>
          <w:rFonts w:hint="eastAsia"/>
        </w:rPr>
        <w:t>桃溪镇村庄建设边界预留机动指标21.50</w:t>
      </w:r>
      <w:r>
        <w:t>公顷</w:t>
      </w:r>
      <w:r>
        <w:rPr>
          <w:rFonts w:hint="eastAsia"/>
        </w:rPr>
        <w:t>，</w:t>
      </w:r>
      <w:r>
        <w:t>暂</w:t>
      </w:r>
      <w:r>
        <w:rPr>
          <w:rFonts w:hint="eastAsia"/>
        </w:rPr>
        <w:t>不上图落位，通过台账进行管理，用于保障暂时无法确定位置的村民居住、农村公共公益设施以及零星分散的农（矿）产品初加工、乡村文旅设施、农村新产业新业态等一二三产业融合发展用地需求。在不占用永久基本农田和生态保护红线、不破坏历史风貌和影响自然环境安全的前提下使用机动指标，可暂不做规划调整，待办理农用地转用时明确规划用地性质、规模和布局，农用地转用批准后更新国土空间规划“一张图”。</w:t>
      </w:r>
    </w:p>
    <w:p>
      <w:pPr>
        <w:pStyle w:val="4"/>
      </w:pPr>
      <w:r>
        <w:t>盘活建设用地存量</w:t>
      </w:r>
    </w:p>
    <w:p>
      <w:pPr>
        <w:ind w:firstLine="640"/>
        <w:rPr>
          <w:rFonts w:ascii="仿宋_GB2312"/>
        </w:rPr>
      </w:pPr>
      <w:r>
        <w:rPr>
          <w:rFonts w:hint="eastAsia" w:ascii="仿宋_GB2312"/>
        </w:rPr>
        <w:t>推进闲置地、废弃地等存量建设用地盘活利用，遏制村庄用地“沿路跑”和“空心化”现象，鼓励村民在旧房屋原址上新建房屋。分类施策，实施存量建设用地功能转换，对闲置宅基地和住宅进行整理，因地制宜盘活利用。闲置宅基地可建成游园、文化广场，闲置住宅可建成村史馆、图书室、活动室等村民活动场所，对有利用价值的闲置住宅倡导发展文化旅游和开展农事体验活动等。对低效城镇用地进行用地调整，满足商业服务、公共服务设施、城镇住宅等用地需求，提高存量建设用地使用效率。</w:t>
      </w:r>
    </w:p>
    <w:p>
      <w:pPr>
        <w:pStyle w:val="4"/>
      </w:pPr>
      <w:r>
        <w:t>提升建设用地节约集约利用水平</w:t>
      </w:r>
    </w:p>
    <w:p>
      <w:pPr>
        <w:ind w:firstLine="640"/>
      </w:pPr>
      <w:r>
        <w:rPr>
          <w:rFonts w:hint="eastAsia"/>
        </w:rPr>
        <w:t>落实农村宅基地“一户一宅”规定，新增宅基地应优先利</w:t>
      </w:r>
      <w:r>
        <w:t>用原有宅基地和村内空闲地，建立健全闲置宅基地退出机制和再利用机制。对于农村新建、改建、扩建、翻建住房的，按照《</w:t>
      </w:r>
      <w:r>
        <w:rPr>
          <w:rFonts w:hint="eastAsia"/>
        </w:rPr>
        <w:t>河南省人民政府关于印发河南省农村宅基地和村民自建住房管理办法的通知</w:t>
      </w:r>
      <w:r>
        <w:t>》</w:t>
      </w:r>
      <w:r>
        <w:rPr>
          <w:rFonts w:hint="eastAsia"/>
        </w:rPr>
        <w:t>（豫政〔2025〕12号）</w:t>
      </w:r>
      <w:r>
        <w:t>规定执行。村民自建住房原则上以不超过三层的低层住宅为主</w:t>
      </w:r>
      <w:r>
        <w:rPr>
          <w:rFonts w:hint="eastAsia"/>
        </w:rPr>
        <w:t>。城填郊区和人均耕地少于</w:t>
      </w:r>
      <w:r>
        <w:t>667平方米的平原地区，每户宅基地面积不得超过134平方米；人均耕地667平方米以上的平原地区，每户宅基地面积不得超过167平方米；</w:t>
      </w:r>
      <w:r>
        <w:rPr>
          <w:rFonts w:hint="eastAsia"/>
        </w:rPr>
        <w:t>山区、丘陵地区</w:t>
      </w:r>
      <w:r>
        <w:t>每户宅基地面积不得超过200平方米。按照村庄规划引导农民依法建房，优化农村居民点布局，提高土地利用效益。严格</w:t>
      </w:r>
      <w:r>
        <w:rPr>
          <w:rFonts w:hint="eastAsia"/>
        </w:rPr>
        <w:t>执行建设项目用地标准控制制度，合理提高建设用地开发强度，创新节地模式，推广节地技术。</w:t>
      </w:r>
    </w:p>
    <w:p>
      <w:pPr>
        <w:pStyle w:val="3"/>
      </w:pPr>
      <w:r>
        <w:rPr>
          <w:rFonts w:hint="eastAsia"/>
        </w:rPr>
        <w:t>水资源保护与利用</w:t>
      </w:r>
    </w:p>
    <w:p>
      <w:pPr>
        <w:pStyle w:val="4"/>
        <w:spacing w:before="195" w:after="195"/>
      </w:pPr>
      <w:r>
        <w:rPr>
          <w:rFonts w:hint="eastAsia"/>
        </w:rPr>
        <w:t>加强河湖水域岸线空间管控及水生态治理</w:t>
      </w:r>
    </w:p>
    <w:p>
      <w:pPr>
        <w:spacing w:before="65"/>
        <w:ind w:firstLine="640"/>
      </w:pPr>
      <w:r>
        <w:t>落实</w:t>
      </w:r>
      <w:r>
        <w:rPr>
          <w:rFonts w:hint="eastAsia"/>
        </w:rPr>
        <w:t>刁河、寺河等</w:t>
      </w:r>
      <w:r>
        <w:t>河道管理范围线，严格河湖水域岸线用途管制，强化涉河建设项目管理，规范各类涉水行为，限制或禁止各种损害生态系统水源涵养功能的经济社会活动和生产方式。开展妨碍河道行洪突出问题排查整治，全面落实采砂管理责任，规范河道砂石利用管理，开展河道非法采砂专项整治。加快水生态修复，开展</w:t>
      </w:r>
      <w:r>
        <w:rPr>
          <w:rFonts w:hint="eastAsia" w:ascii="Times New Roman" w:hAnsi="Times New Roman"/>
          <w:lang w:bidi="ar"/>
        </w:rPr>
        <w:t>刁河、寺河重点区域</w:t>
      </w:r>
      <w:r>
        <w:t>生态修复及安全建设项目、骨干河道水环境综合治理项目等生态修复工作，全面推进河湖水域岸线生态修复，保障河流生态水量，建设沿岸生态廊道。</w:t>
      </w:r>
    </w:p>
    <w:p>
      <w:pPr>
        <w:pStyle w:val="4"/>
        <w:spacing w:before="195" w:after="195"/>
      </w:pPr>
      <w:r>
        <w:rPr>
          <w:rFonts w:hint="eastAsia"/>
        </w:rPr>
        <w:t>加强水资源节约利用</w:t>
      </w:r>
    </w:p>
    <w:p>
      <w:pPr>
        <w:spacing w:before="65"/>
        <w:ind w:firstLine="640"/>
      </w:pPr>
      <w:r>
        <w:rPr>
          <w:rFonts w:hint="eastAsia"/>
        </w:rPr>
        <w:t>优先保障城乡居民生活用水，合理安排工业和农业用水，建立多种水源联合调配机制，优先利地表水，在保证乡镇生活用水的前提下，严格控制地下水开采程度，加大再生水和雨水资源化利用。加快城镇供水管网节水改造，减低供水管网漏损率。全面开展节水型单位、居民小区创建活动，持续推广普及生活节水器具，加强学校、医院、宾馆、餐饮、洗浴等重点行业节水技术改造。</w:t>
      </w:r>
    </w:p>
    <w:p>
      <w:pPr>
        <w:spacing w:before="65"/>
        <w:ind w:firstLine="640"/>
      </w:pPr>
      <w:r>
        <w:rPr>
          <w:rFonts w:hint="eastAsia"/>
        </w:rPr>
        <w:t>坚持节水优先，推进节水型社会建设。优化调整产业结构与布局，按照清洁生产和循环经济的标准，凡是生产规模、工艺不符合国家产业政策要求的企业，应坚决予以关停。加强农业节水建设，大力发展高效节水灌溉农业。加强供水管网维护管理，大力推广普及节水器具和产品，提高水资源利用效率。重点做好灌区提升工程、生态水系工程等重点项目，创建一批节水型示范企业。加快灌溉工程的配套、挖潜与改造，推广管道输水灌溉、喷灌、微灌等高效节水灌溉技术。</w:t>
      </w:r>
    </w:p>
    <w:p>
      <w:pPr>
        <w:pStyle w:val="4"/>
        <w:spacing w:before="195" w:after="195"/>
      </w:pPr>
      <w:r>
        <w:rPr>
          <w:rFonts w:hint="eastAsia"/>
        </w:rPr>
        <w:t>加强水污染防治</w:t>
      </w:r>
    </w:p>
    <w:p>
      <w:pPr>
        <w:spacing w:before="65"/>
        <w:ind w:firstLine="640"/>
      </w:pPr>
      <w:r>
        <w:rPr>
          <w:rFonts w:hint="eastAsia"/>
        </w:rPr>
        <w:t>强化水污染治理</w:t>
      </w:r>
      <w:r>
        <w:t>。推进农村生活污水处理设施和管网建设。持续推进化肥、农药的减量化，积极开展试点地块实施化肥农药利用率测算。严控涉水工业项目，加强企业监管。</w:t>
      </w:r>
    </w:p>
    <w:p>
      <w:pPr>
        <w:spacing w:before="65"/>
        <w:ind w:firstLine="640"/>
      </w:pPr>
      <w:r>
        <w:rPr>
          <w:rFonts w:hint="eastAsia"/>
        </w:rPr>
        <w:t>保障饮用水水源水质安全。强化饮用水水源风险防控，完善饮用水水源污染事故应急预案，确保镇集中式饮用水源地取水、供水厂、用水水龙头水质达标率</w:t>
      </w:r>
      <w:r>
        <w:t>100%，集中式饮用水源地水质优良比例100%，农村饮用水达标人口覆盖率100%。</w:t>
      </w:r>
    </w:p>
    <w:p>
      <w:pPr>
        <w:spacing w:before="65"/>
        <w:ind w:firstLine="640"/>
      </w:pPr>
      <w:r>
        <w:rPr>
          <w:rFonts w:hint="eastAsia"/>
        </w:rPr>
        <w:t>控制工业水污染物排放。切实执行排污许可证制度。强化工业企业水污染深度治理和工艺技术改造力度，配合完善先进制造业开发区污水处理管网，大力开展污水深度处理。</w:t>
      </w:r>
    </w:p>
    <w:p>
      <w:pPr>
        <w:spacing w:before="65"/>
        <w:ind w:firstLine="640"/>
      </w:pPr>
      <w:r>
        <w:rPr>
          <w:rFonts w:hint="eastAsia"/>
        </w:rPr>
        <w:t>强化河流综合整治力度。以“河长制”落实“河常治”，对于纳入河长制管理范围的</w:t>
      </w:r>
      <w:r>
        <w:t>河流、水库，保持巡河力度，强化日常监管。持续开展河湖库塘清淤，加强淤泥检测、清理、排放、运输、处置的全过程管理，探索建立清淤轮疏长效机制。</w:t>
      </w:r>
    </w:p>
    <w:p>
      <w:pPr>
        <w:spacing w:before="65"/>
        <w:ind w:firstLine="640"/>
      </w:pPr>
      <w:r>
        <w:rPr>
          <w:rFonts w:hint="eastAsia"/>
        </w:rPr>
        <w:t>开展农村黑臭水体排查与整治。积极开展农村黑臭水体综合整治专项行动，对镇域内黑臭水体进行梳理盘点、实地勘查，通过集体研究、分类施策。切实加强对黑臭水体的日常管理和巡查管控，严管向黑臭水体倾倒垃圾、污水、废弃物等不文明行为，并通过村级公示栏、村民微信群进行曝光，增强群众爱护环境的思想意识和行为自觉，确保黑臭水体有人清、有人管，实现水环境的长期干净、整洁。到</w:t>
      </w:r>
      <w:r>
        <w:t>2025年，实现</w:t>
      </w:r>
      <w:r>
        <w:rPr>
          <w:rFonts w:hint="eastAsia"/>
        </w:rPr>
        <w:t>全镇</w:t>
      </w:r>
      <w:r>
        <w:t>农村黑臭水体得到治理；规划期，确保农村黑臭水体动态清零。</w:t>
      </w:r>
    </w:p>
    <w:p>
      <w:pPr>
        <w:spacing w:before="65"/>
        <w:ind w:firstLine="640"/>
      </w:pPr>
      <w:r>
        <w:rPr>
          <w:rFonts w:hint="eastAsia"/>
        </w:rPr>
        <w:t>提高农村无害化厕所普及率。科学选择改厕技术模式，积极引进适合本地实际的改厕技术和产品。持续开展农村厕所革命“回头看”，改造提升未按标准规范建设的卫生厕所。加强粪污处理利用，鼓励联村、联户、村镇一体处理；鼓励因户制宜推进农户黑灰水就地处理利用。推进农村厕所粪污资源化利用。加强集中污水处理设施及厕所粪后段集中处理设施建设，委托第三方进行后期管护，增设公益岗位，持续完成上级目标任务。</w:t>
      </w:r>
    </w:p>
    <w:p>
      <w:pPr>
        <w:spacing w:before="65"/>
        <w:ind w:firstLine="640"/>
      </w:pPr>
      <w:r>
        <w:rPr>
          <w:rFonts w:hint="eastAsia"/>
        </w:rPr>
        <w:t>加强水生态建设，维护水系健康。加强河湖水域岸线管理，对河道、水库、湖泊等水域空间及其防护空间进行重点保护，严格建设管控。开展滨水带、重点湖库及小流域水土流失综合治理，保护水生态安全。</w:t>
      </w:r>
    </w:p>
    <w:p>
      <w:pPr>
        <w:spacing w:before="65"/>
        <w:ind w:firstLine="640"/>
      </w:pPr>
      <w:r>
        <w:br w:type="page"/>
      </w:r>
    </w:p>
    <w:p>
      <w:pPr>
        <w:spacing w:before="65"/>
        <w:ind w:firstLine="640"/>
      </w:pPr>
    </w:p>
    <w:p>
      <w:pPr>
        <w:pStyle w:val="2"/>
        <w:spacing w:before="489" w:after="489"/>
      </w:pPr>
      <w:bookmarkStart w:id="43" w:name="_Toc206777517"/>
      <w:r>
        <w:rPr>
          <w:rFonts w:hint="eastAsia"/>
        </w:rPr>
        <w:t>产业规划</w:t>
      </w:r>
      <w:bookmarkEnd w:id="43"/>
    </w:p>
    <w:p>
      <w:pPr>
        <w:pStyle w:val="3"/>
      </w:pPr>
      <w:bookmarkStart w:id="44" w:name="_Toc185606063"/>
      <w:bookmarkStart w:id="45" w:name="_Toc200652781"/>
      <w:r>
        <w:rPr>
          <w:rFonts w:hint="eastAsia"/>
        </w:rPr>
        <w:t>产业规划</w:t>
      </w:r>
      <w:bookmarkEnd w:id="44"/>
      <w:bookmarkEnd w:id="45"/>
    </w:p>
    <w:p>
      <w:pPr>
        <w:pStyle w:val="4"/>
        <w:spacing w:before="195" w:after="195"/>
      </w:pPr>
      <w:r>
        <w:rPr>
          <w:rFonts w:hint="eastAsia"/>
        </w:rPr>
        <w:t>产业发展策略</w:t>
      </w:r>
    </w:p>
    <w:p>
      <w:pPr>
        <w:spacing w:before="48"/>
        <w:ind w:firstLine="640"/>
      </w:pPr>
      <w:r>
        <w:rPr>
          <w:rFonts w:hint="eastAsia"/>
        </w:rPr>
        <w:t>通过梳理产业发展现状、产业发展优势，按照三产融合发展途径优化镇域产业体系，促进乡村振兴发展。</w:t>
      </w:r>
    </w:p>
    <w:p>
      <w:pPr>
        <w:spacing w:before="48"/>
        <w:ind w:firstLine="640"/>
      </w:pPr>
      <w:r>
        <w:rPr>
          <w:rFonts w:hint="eastAsia"/>
        </w:rPr>
        <w:t>（</w:t>
      </w:r>
      <w:r>
        <w:t>1）特色生态农业</w:t>
      </w:r>
    </w:p>
    <w:p>
      <w:pPr>
        <w:spacing w:before="48"/>
        <w:ind w:firstLine="640"/>
      </w:pPr>
      <w:r>
        <w:rPr>
          <w:rFonts w:hint="eastAsia"/>
        </w:rPr>
        <w:t>建设三产联动产业架构体系，推动农业产业向全产业链扩展提升，建设农业综合体。</w:t>
      </w:r>
    </w:p>
    <w:p>
      <w:pPr>
        <w:spacing w:before="48"/>
        <w:ind w:firstLine="640"/>
      </w:pPr>
      <w:r>
        <w:rPr>
          <w:rFonts w:hint="eastAsia"/>
        </w:rPr>
        <w:t>农业</w:t>
      </w:r>
      <w:r>
        <w:t>+文化+旅游：以“</w:t>
      </w:r>
      <w:r>
        <w:rPr>
          <w:rFonts w:hint="eastAsia"/>
        </w:rPr>
        <w:t>桃庄河红色</w:t>
      </w:r>
      <w:r>
        <w:t>”文化为载体，特色农业种植，创新融合农业空间和服务业空间，打造特色田园文化、红色文化旅游线路。</w:t>
      </w:r>
    </w:p>
    <w:p>
      <w:pPr>
        <w:spacing w:before="48"/>
        <w:ind w:firstLine="640"/>
      </w:pPr>
      <w:r>
        <w:rPr>
          <w:rFonts w:hint="eastAsia"/>
        </w:rPr>
        <w:t>农业</w:t>
      </w:r>
      <w:r>
        <w:t>+生态+旅游：以“</w:t>
      </w:r>
      <w:r>
        <w:rPr>
          <w:rFonts w:hint="eastAsia"/>
        </w:rPr>
        <w:t>矿坑</w:t>
      </w:r>
      <w:r>
        <w:t>”及两侧生态空间为载体，发展乡村</w:t>
      </w:r>
      <w:r>
        <w:rPr>
          <w:rFonts w:hint="eastAsia"/>
        </w:rPr>
        <w:t>特色</w:t>
      </w:r>
      <w:r>
        <w:t>生态旅游。</w:t>
      </w:r>
    </w:p>
    <w:p>
      <w:pPr>
        <w:spacing w:before="48"/>
        <w:ind w:firstLine="640"/>
      </w:pPr>
      <w:r>
        <w:rPr>
          <w:rFonts w:hint="eastAsia"/>
        </w:rPr>
        <w:t>农业</w:t>
      </w:r>
      <w:r>
        <w:t>+工业+旅游：结合</w:t>
      </w:r>
      <w:r>
        <w:rPr>
          <w:rFonts w:hint="eastAsia"/>
        </w:rPr>
        <w:t>桃溪</w:t>
      </w:r>
      <w:r>
        <w:t>镇优质农产品（</w:t>
      </w:r>
      <w:r>
        <w:rPr>
          <w:rFonts w:hint="eastAsia"/>
        </w:rPr>
        <w:t>林果、烟叶、紫</w:t>
      </w:r>
      <w:r>
        <w:t>薯）加工，围绕乡村农产品加工主题兴建、打造</w:t>
      </w:r>
      <w:r>
        <w:rPr>
          <w:rFonts w:hint="eastAsia"/>
        </w:rPr>
        <w:t>农业</w:t>
      </w:r>
      <w:r>
        <w:t>文化体验及农业教育等，提高农产品附加值。</w:t>
      </w:r>
    </w:p>
    <w:p>
      <w:pPr>
        <w:spacing w:before="48"/>
        <w:ind w:firstLine="640"/>
      </w:pPr>
      <w:r>
        <w:rPr>
          <w:rFonts w:hint="eastAsia"/>
        </w:rPr>
        <w:t>（</w:t>
      </w:r>
      <w:r>
        <w:t>2）加工制造产业</w:t>
      </w:r>
    </w:p>
    <w:p>
      <w:pPr>
        <w:spacing w:before="48"/>
        <w:ind w:firstLine="640"/>
      </w:pPr>
      <w:r>
        <w:rPr>
          <w:rFonts w:hint="eastAsia"/>
        </w:rPr>
        <w:t>农副产品加工——发展农产品加工业，推动农产品（林果、烟叶、紫</w:t>
      </w:r>
      <w:r>
        <w:t>薯</w:t>
      </w:r>
      <w:r>
        <w:rPr>
          <w:rFonts w:hint="eastAsia"/>
        </w:rPr>
        <w:t>等）二次加工升级，延伸，提升产品附加值，打造具有桃溪特色品牌的食品加工产品。</w:t>
      </w:r>
    </w:p>
    <w:p>
      <w:pPr>
        <w:spacing w:before="48"/>
        <w:ind w:firstLine="640"/>
      </w:pPr>
      <w:r>
        <w:rPr>
          <w:rFonts w:hint="eastAsia"/>
        </w:rPr>
        <w:t>绿色建材——依托现有建材制造企业，拓宽产业链条，提升工艺，发展装配式建筑所需材料，打造绿色建材产业。</w:t>
      </w:r>
    </w:p>
    <w:p>
      <w:pPr>
        <w:spacing w:before="48"/>
        <w:ind w:firstLine="640"/>
      </w:pPr>
      <w:r>
        <w:rPr>
          <w:rFonts w:hint="eastAsia"/>
        </w:rPr>
        <w:t>（</w:t>
      </w:r>
      <w:r>
        <w:t>3）现代商贸物流服务业</w:t>
      </w:r>
    </w:p>
    <w:p>
      <w:pPr>
        <w:spacing w:before="48"/>
        <w:ind w:firstLine="640"/>
      </w:pPr>
      <w:r>
        <w:rPr>
          <w:rFonts w:hint="eastAsia"/>
        </w:rPr>
        <w:t>依托镇区内商贸服务设施，引进运输、仓储和转运、加工配送型第三方物流知名企业，有效衔接好国道、省道等交通节点，打通物流网络，构建现代运输体系。</w:t>
      </w:r>
    </w:p>
    <w:p>
      <w:pPr>
        <w:spacing w:before="48"/>
        <w:ind w:firstLine="640"/>
      </w:pPr>
      <w:r>
        <w:rPr>
          <w:rFonts w:hint="eastAsia"/>
        </w:rPr>
        <w:t>强化物流管理，采取少耗材、可再用、高环保的绿色包装，合理设置运输路线，积极发展绿色物流。</w:t>
      </w:r>
    </w:p>
    <w:p>
      <w:pPr>
        <w:spacing w:before="65"/>
        <w:ind w:firstLine="640"/>
      </w:pPr>
      <w:r>
        <w:rPr>
          <w:rFonts w:hint="eastAsia"/>
        </w:rPr>
        <w:t>推进电子商务进农村示范和“快递村村通”。</w:t>
      </w:r>
    </w:p>
    <w:p>
      <w:pPr>
        <w:pStyle w:val="4"/>
        <w:spacing w:before="195" w:after="195"/>
      </w:pPr>
      <w:bookmarkStart w:id="46" w:name="_Hlk200635407"/>
      <w:r>
        <w:rPr>
          <w:rFonts w:hint="eastAsia"/>
        </w:rPr>
        <w:t>产业功能定位</w:t>
      </w:r>
    </w:p>
    <w:p>
      <w:pPr>
        <w:spacing w:before="65"/>
        <w:ind w:firstLine="640"/>
      </w:pPr>
      <w:r>
        <w:rPr>
          <w:rFonts w:hint="eastAsia"/>
        </w:rPr>
        <w:t>以生态旅游、特色农业种植、农产品加工和商贸物流服务为主要产业。</w:t>
      </w:r>
    </w:p>
    <w:bookmarkEnd w:id="46"/>
    <w:p>
      <w:pPr>
        <w:pStyle w:val="4"/>
        <w:spacing w:before="195" w:after="195"/>
      </w:pPr>
      <w:r>
        <w:rPr>
          <w:rFonts w:hint="eastAsia"/>
        </w:rPr>
        <w:t>优化产业布局</w:t>
      </w:r>
    </w:p>
    <w:p>
      <w:pPr>
        <w:spacing w:before="65"/>
        <w:ind w:firstLine="640"/>
      </w:pPr>
      <w:r>
        <w:rPr>
          <w:rFonts w:hint="eastAsia"/>
        </w:rPr>
        <w:t>规划形成“一心两轴、一环三区、多基地”的产业布局。</w:t>
      </w:r>
    </w:p>
    <w:p>
      <w:pPr>
        <w:ind w:firstLine="640"/>
      </w:pPr>
      <w:r>
        <w:rPr>
          <w:rFonts w:hint="eastAsia"/>
        </w:rPr>
        <w:t>一心：主要结合镇区商贸服务设施和物流仓储设施形成的商贸服务和物流疏散中心。</w:t>
      </w:r>
    </w:p>
    <w:p>
      <w:pPr>
        <w:ind w:firstLine="640"/>
      </w:pPr>
      <w:r>
        <w:rPr>
          <w:rFonts w:hint="eastAsia"/>
        </w:rPr>
        <w:t>两轴：沿镇域主要交通廊道形成东西向、东北向两条产业发展轴。</w:t>
      </w:r>
    </w:p>
    <w:p>
      <w:pPr>
        <w:ind w:firstLine="640"/>
      </w:pPr>
      <w:r>
        <w:rPr>
          <w:rFonts w:hint="eastAsia"/>
        </w:rPr>
        <w:t>一环：依托镇域北部特色资源打造桃庄河-黑山-东川特色旅游环。</w:t>
      </w:r>
    </w:p>
    <w:p>
      <w:pPr>
        <w:ind w:firstLine="640"/>
      </w:pPr>
      <w:r>
        <w:rPr>
          <w:rFonts w:hint="eastAsia"/>
        </w:rPr>
        <w:t>三区：北部主要为林果、烟叶等形成北部特色农业种植区；中部主要以粮食生产为主，兼以烟叶种植、养殖的高效农业主产区；南部主要以茶叶等为主的山地特色种植区。</w:t>
      </w:r>
    </w:p>
    <w:p>
      <w:pPr>
        <w:ind w:firstLine="640"/>
      </w:pPr>
      <w:r>
        <w:rPr>
          <w:rFonts w:hint="eastAsia"/>
        </w:rPr>
        <w:t>多基地：主要发挥特色优势农业，打造林果（核桃、软籽石榴、猕猴桃、黑李、油桃）、文化旅游、养殖等多个特色基地。</w:t>
      </w:r>
    </w:p>
    <w:p>
      <w:pPr>
        <w:pStyle w:val="3"/>
      </w:pPr>
      <w:bookmarkStart w:id="47" w:name="_Toc200652782"/>
      <w:bookmarkStart w:id="48" w:name="_Toc200550534"/>
      <w:bookmarkStart w:id="49" w:name="_Toc200524222"/>
      <w:bookmarkStart w:id="50" w:name="_Hlk200635653"/>
      <w:bookmarkStart w:id="51" w:name="_Hlk200563381"/>
      <w:r>
        <w:rPr>
          <w:rFonts w:hint="eastAsia"/>
        </w:rPr>
        <w:t>产业用地保障</w:t>
      </w:r>
      <w:bookmarkEnd w:id="47"/>
      <w:bookmarkEnd w:id="48"/>
      <w:bookmarkEnd w:id="49"/>
    </w:p>
    <w:p>
      <w:pPr>
        <w:pStyle w:val="4"/>
        <w:spacing w:before="195" w:after="195"/>
      </w:pPr>
      <w:bookmarkStart w:id="52" w:name="_Hlk200523747"/>
      <w:r>
        <w:rPr>
          <w:rFonts w:hint="eastAsia"/>
        </w:rPr>
        <w:t>产业用地规划</w:t>
      </w:r>
    </w:p>
    <w:p>
      <w:pPr>
        <w:ind w:firstLine="640"/>
      </w:pPr>
      <w:r>
        <w:rPr>
          <w:rFonts w:hint="eastAsia"/>
        </w:rPr>
        <w:t>本次规划产业用地主要包括工业用地、商业</w:t>
      </w:r>
      <w:r>
        <w:t>服务业用地，</w:t>
      </w:r>
      <w:r>
        <w:rPr>
          <w:rFonts w:hint="eastAsia"/>
        </w:rPr>
        <w:t>原则上，新规划产业用地均位于城镇开发边界或村庄建</w:t>
      </w:r>
      <w:r>
        <w:t>设边界内。</w:t>
      </w:r>
    </w:p>
    <w:p>
      <w:pPr>
        <w:ind w:firstLine="640"/>
      </w:pPr>
      <w:r>
        <w:rPr>
          <w:rFonts w:hint="eastAsia"/>
        </w:rPr>
        <w:t>镇区范围内规划新增工业用地1.95公顷，用于发展特色农产品加工；规划新增商业服务业用地为1</w:t>
      </w:r>
      <w:r>
        <w:t>.</w:t>
      </w:r>
      <w:r>
        <w:rPr>
          <w:rFonts w:hint="eastAsia"/>
        </w:rPr>
        <w:t>67公顷，用于满足商业商贸需求。</w:t>
      </w:r>
    </w:p>
    <w:p>
      <w:pPr>
        <w:pStyle w:val="4"/>
        <w:spacing w:before="195" w:after="195"/>
      </w:pPr>
      <w:r>
        <w:rPr>
          <w:rFonts w:hint="eastAsia"/>
        </w:rPr>
        <w:t>产业准入清单</w:t>
      </w:r>
    </w:p>
    <w:p>
      <w:pPr>
        <w:spacing w:before="65"/>
        <w:ind w:firstLine="640"/>
      </w:pPr>
      <w:bookmarkStart w:id="53" w:name="_Hlk200523775"/>
      <w:r>
        <w:rPr>
          <w:rFonts w:hint="eastAsia"/>
        </w:rPr>
        <w:t>在城镇开发边界和村庄建设边界外，主要布局农、林、牧、渔业。</w:t>
      </w:r>
    </w:p>
    <w:p>
      <w:pPr>
        <w:spacing w:before="65"/>
        <w:ind w:firstLine="640"/>
      </w:pPr>
      <w:r>
        <w:rPr>
          <w:rFonts w:hint="eastAsia"/>
        </w:rPr>
        <w:t>在城镇开发边界内，主要布局污染较小或无污染的制造业，建筑业，批发和零售业，交通运输、仓储和邮政业，住宿和餐饮业，信息传输、软件和信息技术服务业，金融业，房地产业，租赁和商业服务业，技术服务业，环境和公共设施管理业，居民服务、修理和其他服务业，教育、卫生和社会工作，文化、体育和娱乐业等。</w:t>
      </w:r>
    </w:p>
    <w:p>
      <w:pPr>
        <w:spacing w:before="65"/>
        <w:ind w:firstLine="640"/>
      </w:pPr>
      <w:r>
        <w:rPr>
          <w:rFonts w:hint="eastAsia"/>
        </w:rPr>
        <w:t>在村庄建设边界内，主要布局直接服务种植养殖业的农产品加工、电子商务、仓储保鲜冷链、产地低温直销配送等一二三产融合发展项目，不得布局对居民生活产生较大影响和污染严重的产业。</w:t>
      </w:r>
    </w:p>
    <w:p>
      <w:pPr>
        <w:spacing w:before="65"/>
        <w:ind w:firstLine="640"/>
      </w:pPr>
      <w:r>
        <w:rPr>
          <w:rFonts w:hint="eastAsia"/>
        </w:rPr>
        <w:t>在镇域范围内，不得布局三类工业、危化品生产存储以及其他污染严重的产业</w:t>
      </w:r>
      <w:bookmarkEnd w:id="53"/>
      <w:r>
        <w:rPr>
          <w:rFonts w:hint="eastAsia"/>
        </w:rPr>
        <w:t>。</w:t>
      </w:r>
    </w:p>
    <w:bookmarkEnd w:id="50"/>
    <w:bookmarkEnd w:id="51"/>
    <w:bookmarkEnd w:id="52"/>
    <w:p>
      <w:pPr>
        <w:pStyle w:val="4"/>
      </w:pPr>
      <w:bookmarkStart w:id="54" w:name="_Hlk207462364"/>
      <w:r>
        <w:t>产业负面清单</w:t>
      </w:r>
    </w:p>
    <w:p>
      <w:pPr>
        <w:spacing w:before="65"/>
        <w:ind w:firstLine="640"/>
      </w:pPr>
      <w:r>
        <w:rPr>
          <w:rFonts w:hint="eastAsia"/>
        </w:rPr>
        <w:t>乡村产业发展应与财政、金融、人才、土地等相关政策</w:t>
      </w:r>
      <w:r>
        <w:t>相衔接，根据乡村资源特色及区域优势，选择适合本地发展的产业类型。要严控乡村产业准入，严格遵守《产业结构调整指导目录》文件的相关要求，将限制类、淘汰类产业列入产业负面清单，禁止发展该类产业。对于列入国家禁止类产业目录的、污染环境的项目，不得进入乡村。</w:t>
      </w:r>
    </w:p>
    <w:p>
      <w:pPr>
        <w:spacing w:before="65"/>
        <w:ind w:firstLine="640"/>
      </w:pPr>
      <w:r>
        <w:t>农村产业融合发展用地禁止用于商品住宅、别墅、酒店、公</w:t>
      </w:r>
      <w:r>
        <w:rPr>
          <w:rFonts w:hint="eastAsia"/>
        </w:rPr>
        <w:t>寓等房地产开发，禁止擅自改变用途或分割转让转租。禁止擅自将农业设施建设用地改变用途用于产业项目建设。</w:t>
      </w:r>
    </w:p>
    <w:bookmarkEnd w:id="54"/>
    <w:p>
      <w:pPr>
        <w:pStyle w:val="4"/>
        <w:spacing w:before="195" w:after="195"/>
      </w:pPr>
      <w:r>
        <w:rPr>
          <w:rFonts w:hint="eastAsia"/>
        </w:rPr>
        <w:t>产业用地管控</w:t>
      </w:r>
    </w:p>
    <w:p>
      <w:pPr>
        <w:spacing w:before="65"/>
        <w:ind w:firstLine="640"/>
      </w:pPr>
      <w:bookmarkStart w:id="55" w:name="_Hlk200524039"/>
      <w:r>
        <w:rPr>
          <w:rFonts w:hint="eastAsia"/>
        </w:rPr>
        <w:t>乡镇级国土空间规划应安排不少于</w:t>
      </w:r>
      <w:r>
        <w:t>10%的建设用地指标，重点保障乡村产业发展用地。根据产业发展规律，在城乡之间合理安排产业用地布局。工业企业要向产业集聚区、专业园区集聚；具有一定规模的农产品加工要向</w:t>
      </w:r>
      <w:r>
        <w:rPr>
          <w:rFonts w:hint="eastAsia"/>
        </w:rPr>
        <w:t>中心城区</w:t>
      </w:r>
      <w:r>
        <w:t>或乡镇城镇开发边界内集聚；对直接服务种植养殖业的农产品加工、电子商务、仓储保鲜冷链、产地低温直销配送等产业，应优先利用村内空闲地和闲置宅基地，原则上集中在村庄建设边界内；对利用农村本地资源开展农产品分拣、初加工、发展休闲观光旅游而必须的配套设施建设，在不侵占永久基本农田和生态保护红线、不突破国土空间规划建</w:t>
      </w:r>
      <w:r>
        <w:rPr>
          <w:rFonts w:hint="eastAsia"/>
        </w:rPr>
        <w:t>设用地指标等约束条件、不破坏自然环境和历史风貌的条件下，可在村庄建设边界外安排少量建设用地。在符合国土空间规划前提下，鼓励对依法登记的宅基地等农村建设用地进行复合利用，发展乡村民宿、农产品初加工、电子商务等农村产业。农业生产中直接用于作物种植和畜禽水产养殖的设施用地，按照自然资源部相关</w:t>
      </w:r>
      <w:r>
        <w:t>要求使用。</w:t>
      </w:r>
    </w:p>
    <w:bookmarkEnd w:id="55"/>
    <w:p>
      <w:pPr>
        <w:spacing w:before="65"/>
        <w:ind w:firstLine="640"/>
      </w:pPr>
      <w:r>
        <w:br w:type="page"/>
      </w:r>
    </w:p>
    <w:p>
      <w:pPr>
        <w:spacing w:before="65"/>
        <w:ind w:firstLine="640"/>
      </w:pPr>
    </w:p>
    <w:p>
      <w:pPr>
        <w:pStyle w:val="2"/>
        <w:spacing w:before="489" w:after="489"/>
      </w:pPr>
      <w:bookmarkStart w:id="56" w:name="_Toc206777518"/>
      <w:r>
        <w:rPr>
          <w:rFonts w:hint="eastAsia"/>
        </w:rPr>
        <w:t>村庄布局</w:t>
      </w:r>
      <w:bookmarkEnd w:id="56"/>
    </w:p>
    <w:p>
      <w:pPr>
        <w:pStyle w:val="3"/>
      </w:pPr>
      <w:r>
        <w:rPr>
          <w:rFonts w:hint="eastAsia"/>
        </w:rPr>
        <w:t>人口与城镇化水平预测</w:t>
      </w:r>
    </w:p>
    <w:p>
      <w:pPr>
        <w:pStyle w:val="4"/>
        <w:spacing w:before="195" w:after="195"/>
      </w:pPr>
      <w:r>
        <w:rPr>
          <w:rFonts w:hint="eastAsia"/>
        </w:rPr>
        <w:t>人口规模预测</w:t>
      </w:r>
    </w:p>
    <w:p>
      <w:pPr>
        <w:spacing w:before="65"/>
        <w:ind w:firstLine="640"/>
        <w:rPr>
          <w:rFonts w:ascii="Times New Roman" w:hAnsi="Times New Roman"/>
        </w:rPr>
      </w:pPr>
      <w:r>
        <w:rPr>
          <w:rFonts w:ascii="Times New Roman" w:hAnsi="Times New Roman"/>
        </w:rPr>
        <w:t>规划基期年，</w:t>
      </w:r>
      <w:r>
        <w:rPr>
          <w:rFonts w:hint="eastAsia" w:ascii="Times New Roman" w:hAnsi="Times New Roman"/>
        </w:rPr>
        <w:t>镇</w:t>
      </w:r>
      <w:r>
        <w:rPr>
          <w:rFonts w:ascii="Times New Roman" w:hAnsi="Times New Roman"/>
        </w:rPr>
        <w:t>域</w:t>
      </w:r>
      <w:r>
        <w:rPr>
          <w:rFonts w:hint="eastAsia" w:ascii="Times New Roman" w:hAnsi="Times New Roman"/>
        </w:rPr>
        <w:t>常住</w:t>
      </w:r>
      <w:r>
        <w:rPr>
          <w:rFonts w:ascii="Times New Roman" w:hAnsi="Times New Roman"/>
        </w:rPr>
        <w:t>总人口</w:t>
      </w:r>
      <w:r>
        <w:rPr>
          <w:rFonts w:hint="eastAsia" w:ascii="Times New Roman" w:hAnsi="Times New Roman"/>
        </w:rPr>
        <w:t>18184人</w:t>
      </w:r>
      <w:r>
        <w:rPr>
          <w:rFonts w:ascii="Times New Roman" w:hAnsi="Times New Roman"/>
        </w:rPr>
        <w:t>。至2025年，</w:t>
      </w:r>
      <w:r>
        <w:rPr>
          <w:rFonts w:hint="eastAsia" w:ascii="Times New Roman" w:hAnsi="Times New Roman"/>
        </w:rPr>
        <w:t>镇</w:t>
      </w:r>
      <w:r>
        <w:rPr>
          <w:rFonts w:ascii="Times New Roman" w:hAnsi="Times New Roman"/>
        </w:rPr>
        <w:t>域</w:t>
      </w:r>
      <w:r>
        <w:rPr>
          <w:rFonts w:hint="eastAsia" w:ascii="Times New Roman" w:hAnsi="Times New Roman"/>
        </w:rPr>
        <w:t>常住</w:t>
      </w:r>
      <w:r>
        <w:rPr>
          <w:rFonts w:ascii="Times New Roman" w:hAnsi="Times New Roman"/>
        </w:rPr>
        <w:t>总人口</w:t>
      </w:r>
      <w:r>
        <w:rPr>
          <w:rFonts w:hint="eastAsia" w:ascii="Times New Roman" w:hAnsi="Times New Roman"/>
        </w:rPr>
        <w:t>1</w:t>
      </w:r>
      <w:r>
        <w:rPr>
          <w:rFonts w:ascii="Times New Roman" w:hAnsi="Times New Roman"/>
        </w:rPr>
        <w:t>7671人；至2035年，</w:t>
      </w:r>
      <w:r>
        <w:rPr>
          <w:rFonts w:hint="eastAsia" w:ascii="Times New Roman" w:hAnsi="Times New Roman"/>
        </w:rPr>
        <w:t>镇</w:t>
      </w:r>
      <w:r>
        <w:rPr>
          <w:rFonts w:ascii="Times New Roman" w:hAnsi="Times New Roman"/>
        </w:rPr>
        <w:t>域</w:t>
      </w:r>
      <w:r>
        <w:rPr>
          <w:rFonts w:hint="eastAsia" w:ascii="Times New Roman" w:hAnsi="Times New Roman"/>
        </w:rPr>
        <w:t>常住</w:t>
      </w:r>
      <w:r>
        <w:rPr>
          <w:rFonts w:ascii="Times New Roman" w:hAnsi="Times New Roman"/>
        </w:rPr>
        <w:t>总人口16959人</w:t>
      </w:r>
      <w:r>
        <w:rPr>
          <w:rFonts w:hint="eastAsia" w:ascii="Times New Roman" w:hAnsi="Times New Roman"/>
        </w:rPr>
        <w:t>。</w:t>
      </w:r>
    </w:p>
    <w:p>
      <w:pPr>
        <w:pStyle w:val="4"/>
        <w:spacing w:before="195" w:after="195"/>
      </w:pPr>
      <w:r>
        <w:rPr>
          <w:rFonts w:hint="eastAsia"/>
        </w:rPr>
        <w:t>城镇化水平预测</w:t>
      </w:r>
    </w:p>
    <w:p>
      <w:pPr>
        <w:spacing w:before="65"/>
        <w:ind w:firstLine="640"/>
      </w:pPr>
      <w:r>
        <w:rPr>
          <w:rFonts w:hint="eastAsia" w:ascii="Times New Roman" w:hAnsi="Times New Roman"/>
        </w:rPr>
        <w:t>规划</w:t>
      </w:r>
      <w:r>
        <w:rPr>
          <w:rFonts w:ascii="Times New Roman" w:hAnsi="Times New Roman"/>
        </w:rPr>
        <w:t>基期年，</w:t>
      </w:r>
      <w:r>
        <w:rPr>
          <w:rFonts w:hint="eastAsia" w:ascii="Times New Roman" w:hAnsi="Times New Roman"/>
        </w:rPr>
        <w:t>桃溪镇</w:t>
      </w:r>
      <w:r>
        <w:rPr>
          <w:rFonts w:ascii="Times New Roman" w:hAnsi="Times New Roman"/>
        </w:rPr>
        <w:t>城镇化水平1</w:t>
      </w:r>
      <w:r>
        <w:rPr>
          <w:rFonts w:hint="eastAsia" w:ascii="Times New Roman" w:hAnsi="Times New Roman"/>
        </w:rPr>
        <w:t>8.34</w:t>
      </w:r>
      <w:r>
        <w:rPr>
          <w:rFonts w:hint="eastAsia"/>
        </w:rPr>
        <w:t>%</w:t>
      </w:r>
      <w:r>
        <w:rPr>
          <w:rFonts w:ascii="Times New Roman" w:hAnsi="Times New Roman"/>
        </w:rPr>
        <w:t>。至2025年，</w:t>
      </w:r>
      <w:r>
        <w:rPr>
          <w:rFonts w:hint="eastAsia" w:ascii="Times New Roman" w:hAnsi="Times New Roman"/>
        </w:rPr>
        <w:t>镇</w:t>
      </w:r>
      <w:r>
        <w:rPr>
          <w:rFonts w:ascii="Times New Roman" w:hAnsi="Times New Roman"/>
        </w:rPr>
        <w:t>域城镇人口</w:t>
      </w:r>
      <w:r>
        <w:rPr>
          <w:rFonts w:hint="eastAsia" w:ascii="Times New Roman" w:hAnsi="Times New Roman"/>
        </w:rPr>
        <w:t>4417</w:t>
      </w:r>
      <w:r>
        <w:rPr>
          <w:rFonts w:ascii="Times New Roman" w:hAnsi="Times New Roman"/>
        </w:rPr>
        <w:t>人，城镇化水平达到</w:t>
      </w:r>
      <w:r>
        <w:rPr>
          <w:rFonts w:hint="eastAsia" w:ascii="Times New Roman" w:hAnsi="Times New Roman"/>
        </w:rPr>
        <w:t>25</w:t>
      </w:r>
      <w:r>
        <w:rPr>
          <w:rFonts w:ascii="Times New Roman" w:hAnsi="Times New Roman"/>
        </w:rPr>
        <w:t>%，；至2035年，</w:t>
      </w:r>
      <w:r>
        <w:rPr>
          <w:rFonts w:hint="eastAsia" w:ascii="Times New Roman" w:hAnsi="Times New Roman"/>
        </w:rPr>
        <w:t>镇</w:t>
      </w:r>
      <w:r>
        <w:rPr>
          <w:rFonts w:ascii="Times New Roman" w:hAnsi="Times New Roman"/>
        </w:rPr>
        <w:t>域城镇人口</w:t>
      </w:r>
      <w:r>
        <w:rPr>
          <w:rFonts w:hint="eastAsia" w:ascii="Times New Roman" w:hAnsi="Times New Roman"/>
        </w:rPr>
        <w:t>6274</w:t>
      </w:r>
      <w:r>
        <w:rPr>
          <w:rFonts w:ascii="Times New Roman" w:hAnsi="Times New Roman"/>
        </w:rPr>
        <w:t>人，城镇化水平达到</w:t>
      </w:r>
      <w:r>
        <w:rPr>
          <w:rFonts w:hint="eastAsia" w:ascii="Times New Roman" w:hAnsi="Times New Roman"/>
        </w:rPr>
        <w:t>37</w:t>
      </w:r>
      <w:r>
        <w:rPr>
          <w:rFonts w:ascii="Times New Roman" w:hAnsi="Times New Roman"/>
        </w:rPr>
        <w:t>%左右。</w:t>
      </w:r>
    </w:p>
    <w:p>
      <w:pPr>
        <w:pStyle w:val="3"/>
      </w:pPr>
      <w:r>
        <w:rPr>
          <w:rFonts w:hint="eastAsia"/>
        </w:rPr>
        <w:t>村庄分类布局</w:t>
      </w:r>
    </w:p>
    <w:p>
      <w:pPr>
        <w:pStyle w:val="4"/>
        <w:spacing w:before="195" w:after="195"/>
      </w:pPr>
      <w:r>
        <w:rPr>
          <w:rFonts w:hint="eastAsia"/>
        </w:rPr>
        <w:t>村庄分类</w:t>
      </w:r>
    </w:p>
    <w:p>
      <w:pPr>
        <w:spacing w:before="65"/>
        <w:ind w:firstLine="640"/>
      </w:pPr>
      <w:r>
        <w:rPr>
          <w:rFonts w:hint="eastAsia"/>
        </w:rPr>
        <w:t>桃溪镇共有9个行政村，其中1个城郊融合类、4个集聚提升类和4个整治改善类。</w:t>
      </w:r>
    </w:p>
    <w:p>
      <w:pPr>
        <w:pStyle w:val="4"/>
        <w:spacing w:before="195" w:after="195"/>
      </w:pPr>
      <w:r>
        <w:rPr>
          <w:rFonts w:hint="eastAsia"/>
        </w:rPr>
        <w:t>村庄</w:t>
      </w:r>
      <w:r>
        <w:t>发展引导</w:t>
      </w:r>
    </w:p>
    <w:p>
      <w:pPr>
        <w:spacing w:before="65"/>
        <w:ind w:firstLine="640"/>
      </w:pPr>
      <w:r>
        <w:rPr>
          <w:rFonts w:hint="eastAsia"/>
        </w:rPr>
        <w:t>桃溪村为城郊融合类村庄，应综合考虑工业化、城镇化和村庄自身发展需要，加快城乡产业融合发展、基础设施互联互通、公共服务共建共享，在形态上保留乡村风貌，在治理上体现城市水平，逐步强化服务城镇发展、承接城镇功能外溢的作用。</w:t>
      </w:r>
    </w:p>
    <w:p>
      <w:pPr>
        <w:spacing w:before="65"/>
        <w:ind w:firstLine="640"/>
      </w:pPr>
      <w:r>
        <w:rPr>
          <w:rFonts w:hint="eastAsia"/>
        </w:rPr>
        <w:t>东川村、桃庄河村、石碑营村、吴沟村等</w:t>
      </w:r>
      <w:r>
        <w:t>集聚提升类村庄重点完善乡村基本服务单元功能，提升村庄公共设施和基础设施服务能力和水平。做强特色优势产业，延伸主导产业链条，推进一二三产业融合发展，提供就业岗位，增加村民和村集体收入。</w:t>
      </w:r>
    </w:p>
    <w:p>
      <w:pPr>
        <w:spacing w:before="65"/>
        <w:ind w:firstLine="640"/>
      </w:pPr>
      <w:r>
        <w:rPr>
          <w:rFonts w:hint="eastAsia"/>
        </w:rPr>
        <w:t>黑山村、大路村、寺河村、彭沟</w:t>
      </w:r>
      <w:r>
        <w:t>村</w:t>
      </w:r>
      <w:r>
        <w:rPr>
          <w:rFonts w:hint="eastAsia"/>
        </w:rPr>
        <w:t>等整治改善类村庄应着重</w:t>
      </w:r>
      <w:r>
        <w:t>于</w:t>
      </w:r>
      <w:r>
        <w:rPr>
          <w:rFonts w:hint="eastAsia"/>
        </w:rPr>
        <w:t>村庄危房改造、人居环境整治、基础设施与公共服务设施提升、土地整治、生态保护与修复等，满足建设需要。</w:t>
      </w:r>
    </w:p>
    <w:p>
      <w:pPr>
        <w:pStyle w:val="3"/>
      </w:pPr>
      <w:bookmarkStart w:id="57" w:name="_Toc206582617"/>
      <w:r>
        <w:rPr>
          <w:rFonts w:hint="eastAsia"/>
        </w:rPr>
        <w:t>城乡生活圈构建</w:t>
      </w:r>
      <w:bookmarkEnd w:id="57"/>
    </w:p>
    <w:p>
      <w:pPr>
        <w:pStyle w:val="4"/>
      </w:pPr>
      <w:r>
        <w:rPr>
          <w:rFonts w:hint="eastAsia"/>
        </w:rPr>
        <w:t>城乡生活圈划分</w:t>
      </w:r>
    </w:p>
    <w:p>
      <w:pPr>
        <w:spacing w:before="65"/>
        <w:ind w:firstLine="640"/>
      </w:pPr>
      <w:r>
        <w:t>以</w:t>
      </w:r>
      <w:r>
        <w:rPr>
          <w:rFonts w:hint="eastAsia"/>
        </w:rPr>
        <w:t>镇区为中心</w:t>
      </w:r>
      <w:r>
        <w:t>，构建</w:t>
      </w:r>
      <w:r>
        <w:rPr>
          <w:rFonts w:hint="eastAsia"/>
        </w:rPr>
        <w:t>城镇</w:t>
      </w:r>
      <w:r>
        <w:t>生活圈，以</w:t>
      </w:r>
      <w:r>
        <w:rPr>
          <w:rFonts w:hint="eastAsia"/>
        </w:rPr>
        <w:t>城镇组团和重点村</w:t>
      </w:r>
      <w:r>
        <w:t>为中心，构建</w:t>
      </w:r>
      <w:r>
        <w:rPr>
          <w:rFonts w:hint="eastAsia"/>
        </w:rPr>
        <w:t>乡村生活圈。</w:t>
      </w:r>
    </w:p>
    <w:p>
      <w:pPr>
        <w:spacing w:before="65"/>
        <w:ind w:firstLine="640"/>
      </w:pPr>
      <w:r>
        <w:rPr>
          <w:rFonts w:hint="eastAsia"/>
        </w:rPr>
        <w:t>依据行政界线、村庄分类、镇村体系、地理位置等因素，桃溪镇共划定</w:t>
      </w:r>
      <w:r>
        <w:t>1</w:t>
      </w:r>
      <w:r>
        <w:rPr>
          <w:rFonts w:hint="eastAsia"/>
        </w:rPr>
        <w:t>个城镇生活圈、3</w:t>
      </w:r>
      <w:r>
        <w:t>个乡村</w:t>
      </w:r>
      <w:r>
        <w:rPr>
          <w:rFonts w:hint="eastAsia"/>
        </w:rPr>
        <w:t>生活圈</w:t>
      </w:r>
      <w:r>
        <w:t>。其中：</w:t>
      </w:r>
    </w:p>
    <w:p>
      <w:pPr>
        <w:spacing w:before="65"/>
        <w:ind w:firstLine="640"/>
      </w:pPr>
      <w:r>
        <w:rPr>
          <w:rFonts w:hint="eastAsia"/>
        </w:rPr>
        <w:t>城镇生活圈主要包含桃溪村、寺河村和彭沟村。</w:t>
      </w:r>
    </w:p>
    <w:p>
      <w:pPr>
        <w:spacing w:before="65"/>
        <w:ind w:firstLine="640"/>
      </w:pPr>
      <w:r>
        <w:rPr>
          <w:rFonts w:hint="eastAsia"/>
        </w:rPr>
        <w:t>东川组团乡村生活圈主要包含东川村和大路村。</w:t>
      </w:r>
    </w:p>
    <w:p>
      <w:pPr>
        <w:spacing w:before="65"/>
        <w:ind w:firstLine="640"/>
      </w:pPr>
      <w:r>
        <w:rPr>
          <w:rFonts w:hint="eastAsia"/>
        </w:rPr>
        <w:t>桃庄河组团乡村生活圈包含桃庄河村和黑山村。</w:t>
      </w:r>
    </w:p>
    <w:p>
      <w:pPr>
        <w:spacing w:before="65"/>
        <w:ind w:firstLine="640"/>
      </w:pPr>
      <w:r>
        <w:rPr>
          <w:rFonts w:hint="eastAsia"/>
        </w:rPr>
        <w:t>石碑营组团乡村生活圈主要包含石碑营村和吴沟村。</w:t>
      </w:r>
    </w:p>
    <w:p>
      <w:pPr>
        <w:pStyle w:val="4"/>
      </w:pPr>
      <w:bookmarkStart w:id="58" w:name="_Hlk207291743"/>
      <w:r>
        <w:rPr>
          <w:rFonts w:hint="eastAsia"/>
        </w:rPr>
        <w:t>乡村建设引导</w:t>
      </w:r>
    </w:p>
    <w:p>
      <w:pPr>
        <w:ind w:firstLine="640"/>
      </w:pPr>
      <w:r>
        <w:t>构建“</w:t>
      </w:r>
      <w:r>
        <w:rPr>
          <w:rFonts w:hint="eastAsia"/>
        </w:rPr>
        <w:t>镇区</w:t>
      </w:r>
      <w:r>
        <w:t>-</w:t>
      </w:r>
      <w:r>
        <w:rPr>
          <w:rFonts w:hint="eastAsia"/>
        </w:rPr>
        <w:t>中心村</w:t>
      </w:r>
      <w:r>
        <w:t>-</w:t>
      </w:r>
      <w:r>
        <w:rPr>
          <w:rFonts w:hint="eastAsia"/>
        </w:rPr>
        <w:t>基层</w:t>
      </w:r>
      <w:r>
        <w:t>村”三级体系</w:t>
      </w:r>
      <w:r>
        <w:rPr>
          <w:rFonts w:hint="eastAsia"/>
        </w:rPr>
        <w:t>，强化镇区的核心地位，培育中心村</w:t>
      </w:r>
      <w:r>
        <w:t>，引导择周边自然村和基层村的人口向其适度集中，提供高于</w:t>
      </w:r>
      <w:r>
        <w:rPr>
          <w:rFonts w:hint="eastAsia"/>
        </w:rPr>
        <w:t>基层村</w:t>
      </w:r>
      <w:r>
        <w:t>的公共服务。</w:t>
      </w:r>
      <w:r>
        <w:rPr>
          <w:rFonts w:hint="eastAsia"/>
        </w:rPr>
        <w:t>控制基层村发展，严格控制新增宅基地和产业用地，逐步引导其人口向镇区和中心村转移。</w:t>
      </w:r>
    </w:p>
    <w:p>
      <w:pPr>
        <w:ind w:firstLine="640"/>
      </w:pPr>
      <w:r>
        <w:rPr>
          <w:rFonts w:hint="eastAsia"/>
        </w:rPr>
        <w:t>保障产业集聚空间，引导工业、仓储物流、农产品加工园区朝镇区、开发区周边布局，避免“村村点火、户户冒烟”的分散布局。新增宅基地和安置房等应优先布局在镇区和中心村，形成规模效应。提升镇区存量居住用地的品质和容量，提高人口承载力，通过规划和法律手段，严格限制在村庄建设区外和基层村无序新建、扩建住宅。</w:t>
      </w:r>
    </w:p>
    <w:p>
      <w:pPr>
        <w:ind w:firstLine="640"/>
      </w:pPr>
      <w:r>
        <w:rPr>
          <w:rFonts w:hint="eastAsia"/>
        </w:rPr>
        <w:t>提升镇区与中心村、主要交通干道的连接道路等级，优化镇区内路网，开通公交线路。集中建设污水处理厂、垃圾中转站、供水管网、电力电信设施，并向周边中心村延伸覆盖，实现规模效益。</w:t>
      </w:r>
    </w:p>
    <w:p>
      <w:pPr>
        <w:ind w:firstLine="640"/>
      </w:pPr>
      <w:r>
        <w:rPr>
          <w:rFonts w:hint="eastAsia"/>
        </w:rPr>
        <w:t>在镇区集中布局高水平的卫生院、中心小学、幼儿园、养老院、文化活动中心、便民服务中心等。在中心村配置标准化的卫生室、幼儿园、养老院、农家书屋等，形成与镇区互补的服务网络。</w:t>
      </w:r>
    </w:p>
    <w:p>
      <w:pPr>
        <w:ind w:firstLine="640"/>
      </w:pPr>
      <w:r>
        <w:rPr>
          <w:rFonts w:hint="eastAsia"/>
        </w:rPr>
        <w:t>通过空间约束</w:t>
      </w:r>
      <w:r>
        <w:t>和空间激励相结合，配套以有吸引力的政策和优质的公共服务，让市场主体和居民用脚投票，自发地、自愿地向规划确定的</w:t>
      </w:r>
      <w:r>
        <w:rPr>
          <w:rFonts w:hint="eastAsia"/>
        </w:rPr>
        <w:t>镇区和中心村</w:t>
      </w:r>
      <w:r>
        <w:t>集中，最终实现集约、高效、绿色、宜居的乡镇发展新格局。</w:t>
      </w:r>
    </w:p>
    <w:bookmarkEnd w:id="58"/>
    <w:p>
      <w:pPr>
        <w:spacing w:before="65"/>
        <w:ind w:firstLine="640"/>
      </w:pPr>
      <w:r>
        <w:br w:type="page"/>
      </w:r>
    </w:p>
    <w:p>
      <w:pPr>
        <w:spacing w:before="65"/>
        <w:ind w:firstLine="640"/>
      </w:pPr>
    </w:p>
    <w:p>
      <w:pPr>
        <w:pStyle w:val="2"/>
        <w:spacing w:before="489" w:after="489"/>
      </w:pPr>
      <w:bookmarkStart w:id="59" w:name="_Toc206777519"/>
      <w:r>
        <w:rPr>
          <w:rFonts w:hint="eastAsia"/>
        </w:rPr>
        <w:t>支撑保障体系</w:t>
      </w:r>
      <w:bookmarkEnd w:id="59"/>
    </w:p>
    <w:p>
      <w:pPr>
        <w:pStyle w:val="3"/>
      </w:pPr>
      <w:bookmarkStart w:id="60" w:name="_Toc129799047"/>
      <w:bookmarkStart w:id="61" w:name="_Hlk142657734"/>
      <w:r>
        <w:rPr>
          <w:rFonts w:hint="eastAsia"/>
        </w:rPr>
        <w:t>道路交通规划</w:t>
      </w:r>
    </w:p>
    <w:p>
      <w:pPr>
        <w:pStyle w:val="4"/>
        <w:spacing w:before="195" w:after="195"/>
      </w:pPr>
      <w:bookmarkStart w:id="62" w:name="_Hlk150185677"/>
      <w:r>
        <w:rPr>
          <w:rFonts w:hint="eastAsia"/>
        </w:rPr>
        <w:t>发展目标与策略</w:t>
      </w:r>
    </w:p>
    <w:p>
      <w:pPr>
        <w:spacing w:before="65"/>
        <w:ind w:firstLine="640"/>
      </w:pPr>
      <w:r>
        <w:rPr>
          <w:rFonts w:hint="eastAsia"/>
        </w:rPr>
        <w:t>发展目标：落实干线公路建设，加强县、乡公路与区域性道路的有机衔接；强化桃溪镇在全县道路交通体系中的作用、支撑桃溪镇西南门户地位。</w:t>
      </w:r>
    </w:p>
    <w:p>
      <w:pPr>
        <w:spacing w:before="65"/>
        <w:ind w:firstLine="640"/>
        <w:rPr>
          <w:b/>
          <w:bCs/>
        </w:rPr>
      </w:pPr>
      <w:r>
        <w:rPr>
          <w:rFonts w:hint="eastAsia"/>
        </w:rPr>
        <w:t>发展策略：</w:t>
      </w:r>
      <w:r>
        <w:t>构建骨架运输网络，推进</w:t>
      </w:r>
      <w:r>
        <w:rPr>
          <w:rFonts w:hint="eastAsia"/>
        </w:rPr>
        <w:t>全</w:t>
      </w:r>
      <w:r>
        <w:t>域交通一体化发展</w:t>
      </w:r>
      <w:r>
        <w:rPr>
          <w:rFonts w:hint="eastAsia"/>
        </w:rPr>
        <w:t>，加强镇区、中心村、特色村与区域交通干线的衔接，构建“结构清晰、节点突出、互联互通、便捷高效”的交通网络。</w:t>
      </w:r>
    </w:p>
    <w:p>
      <w:pPr>
        <w:pStyle w:val="4"/>
        <w:spacing w:before="195" w:after="195"/>
      </w:pPr>
      <w:r>
        <w:rPr>
          <w:rFonts w:hint="eastAsia"/>
        </w:rPr>
        <w:t>道路交通规划</w:t>
      </w:r>
    </w:p>
    <w:p>
      <w:pPr>
        <w:spacing w:before="65"/>
        <w:ind w:firstLine="640"/>
      </w:pPr>
      <w:r>
        <w:rPr>
          <w:rFonts w:hint="eastAsia"/>
        </w:rPr>
        <w:t>高速铁路：镇域配合推动南十高铁的选线建设。</w:t>
      </w:r>
    </w:p>
    <w:p>
      <w:pPr>
        <w:spacing w:before="65"/>
        <w:ind w:firstLine="640"/>
      </w:pPr>
      <w:r>
        <w:rPr>
          <w:rFonts w:hint="eastAsia"/>
        </w:rPr>
        <w:t>公路：构建“三横两纵”公路网络，“三横”为省道329、省道330、县道005-乡道015，“两纵”为县道005、县道007。重点推进省道330、省道329升级改造，加强内乡乡道道路的建设和质量提升，</w:t>
      </w:r>
      <w:r>
        <w:t>加大乡村公路建设的力度，推进集聚提升类村庄三、四级公路连通工作</w:t>
      </w:r>
      <w:r>
        <w:rPr>
          <w:rFonts w:hint="eastAsia"/>
        </w:rPr>
        <w:t>。</w:t>
      </w:r>
    </w:p>
    <w:p>
      <w:pPr>
        <w:pStyle w:val="4"/>
        <w:spacing w:before="195" w:after="195"/>
      </w:pPr>
      <w:r>
        <w:rPr>
          <w:rFonts w:hint="eastAsia"/>
        </w:rPr>
        <w:t>城乡公交站场</w:t>
      </w:r>
    </w:p>
    <w:bookmarkEnd w:id="62"/>
    <w:p>
      <w:pPr>
        <w:spacing w:before="65"/>
        <w:ind w:firstLine="640"/>
      </w:pPr>
      <w:r>
        <w:rPr>
          <w:rFonts w:hint="eastAsia"/>
        </w:rPr>
        <w:t>完善城乡公共交通体系建设，到</w:t>
      </w:r>
      <w:r>
        <w:t>2035年实现村村通公交车，</w:t>
      </w:r>
      <w:r>
        <w:rPr>
          <w:rFonts w:hint="eastAsia"/>
        </w:rPr>
        <w:t>在</w:t>
      </w:r>
      <w:r>
        <w:rPr>
          <w:rFonts w:ascii="仿宋_GB2312" w:hAnsi="仿宋_GB2312"/>
          <w:color w:val="000000"/>
          <w:szCs w:val="24"/>
        </w:rPr>
        <w:t>镇区设置</w:t>
      </w:r>
      <w:r>
        <w:rPr>
          <w:rFonts w:hint="eastAsia" w:ascii="仿宋_GB2312" w:hAnsi="仿宋_GB2312"/>
          <w:color w:val="000000"/>
          <w:szCs w:val="24"/>
        </w:rPr>
        <w:t>城乡公交首末站</w:t>
      </w:r>
      <w:r>
        <w:rPr>
          <w:rFonts w:ascii="仿宋_GB2312" w:hAnsi="仿宋_GB2312"/>
          <w:color w:val="000000"/>
          <w:szCs w:val="24"/>
        </w:rPr>
        <w:t>，在</w:t>
      </w:r>
      <w:r>
        <w:rPr>
          <w:rFonts w:hint="eastAsia" w:ascii="仿宋_GB2312" w:hAnsi="仿宋_GB2312"/>
          <w:color w:val="000000"/>
          <w:szCs w:val="24"/>
        </w:rPr>
        <w:t>桃庄河</w:t>
      </w:r>
      <w:r>
        <w:rPr>
          <w:rFonts w:ascii="仿宋_GB2312" w:hAnsi="仿宋_GB2312"/>
          <w:color w:val="000000"/>
          <w:szCs w:val="24"/>
        </w:rPr>
        <w:t>村、</w:t>
      </w:r>
      <w:r>
        <w:rPr>
          <w:rFonts w:hint="eastAsia" w:ascii="仿宋_GB2312" w:hAnsi="仿宋_GB2312"/>
          <w:color w:val="000000"/>
          <w:szCs w:val="24"/>
        </w:rPr>
        <w:t>石碑营</w:t>
      </w:r>
      <w:r>
        <w:rPr>
          <w:rFonts w:ascii="仿宋_GB2312" w:hAnsi="仿宋_GB2312"/>
          <w:color w:val="000000"/>
          <w:szCs w:val="24"/>
        </w:rPr>
        <w:t>村</w:t>
      </w:r>
      <w:r>
        <w:rPr>
          <w:rFonts w:hint="eastAsia" w:ascii="仿宋_GB2312" w:hAnsi="仿宋_GB2312"/>
          <w:color w:val="000000"/>
          <w:szCs w:val="24"/>
        </w:rPr>
        <w:t>、东川村等</w:t>
      </w:r>
      <w:r>
        <w:rPr>
          <w:rFonts w:ascii="仿宋_GB2312" w:hAnsi="仿宋_GB2312"/>
          <w:color w:val="000000"/>
          <w:szCs w:val="24"/>
        </w:rPr>
        <w:t>规划城乡公交停靠站。</w:t>
      </w:r>
    </w:p>
    <w:p>
      <w:pPr>
        <w:pStyle w:val="3"/>
      </w:pPr>
      <w:r>
        <w:rPr>
          <w:rFonts w:hint="eastAsia"/>
        </w:rPr>
        <w:t>市政公用设施规划</w:t>
      </w:r>
    </w:p>
    <w:p>
      <w:pPr>
        <w:pStyle w:val="4"/>
        <w:spacing w:before="195" w:after="195"/>
      </w:pPr>
      <w:r>
        <w:rPr>
          <w:rFonts w:hint="eastAsia"/>
        </w:rPr>
        <w:t>给水工程规划</w:t>
      </w:r>
    </w:p>
    <w:p>
      <w:pPr>
        <w:spacing w:before="65"/>
        <w:ind w:firstLine="640"/>
      </w:pPr>
      <w:r>
        <w:rPr>
          <w:rFonts w:hint="eastAsia"/>
        </w:rPr>
        <w:t>预测镇域最高日总用水量为</w:t>
      </w:r>
      <w:r>
        <w:t>0.32万立方米/日。</w:t>
      </w:r>
    </w:p>
    <w:p>
      <w:pPr>
        <w:spacing w:before="65"/>
        <w:ind w:firstLine="640"/>
      </w:pPr>
      <w:r>
        <w:rPr>
          <w:rFonts w:hint="eastAsia"/>
        </w:rPr>
        <w:t>规划将桃溪供水站升级为桃溪水厂，规模为</w:t>
      </w:r>
      <w:r>
        <w:t>1400立方米/日，供水水源采用附近的中深层地下水；镇区水厂与</w:t>
      </w:r>
      <w:r>
        <w:rPr>
          <w:rFonts w:hint="eastAsia"/>
        </w:rPr>
        <w:t>桃庄河</w:t>
      </w:r>
      <w:r>
        <w:t>供水站并网供水，并扩大供水范围，实现更大区域的跨村联村供水。受地形地势限制的地区，以单个或多个村庄为单位，实现集中供水</w:t>
      </w:r>
      <w:r>
        <w:rPr>
          <w:rFonts w:hint="eastAsia"/>
        </w:rPr>
        <w:t>。</w:t>
      </w:r>
    </w:p>
    <w:p>
      <w:pPr>
        <w:pStyle w:val="4"/>
        <w:spacing w:before="195" w:after="195"/>
      </w:pPr>
      <w:r>
        <w:rPr>
          <w:rFonts w:hint="eastAsia"/>
        </w:rPr>
        <w:t>排水工程规划</w:t>
      </w:r>
    </w:p>
    <w:p>
      <w:pPr>
        <w:spacing w:before="65"/>
        <w:ind w:firstLine="640"/>
      </w:pPr>
      <w:r>
        <w:rPr>
          <w:rFonts w:hint="eastAsia"/>
        </w:rPr>
        <w:t>规划镇区采用雨污分流制排水系统，村庄一般采用合流制，有条件时采用分流制。</w:t>
      </w:r>
    </w:p>
    <w:p>
      <w:pPr>
        <w:spacing w:before="65"/>
        <w:ind w:firstLine="640"/>
      </w:pPr>
      <w:r>
        <w:rPr>
          <w:rFonts w:hint="eastAsia"/>
        </w:rPr>
        <w:t>预测镇域最高日总污水量为</w:t>
      </w:r>
      <w:r>
        <w:t>2162立方米/日。</w:t>
      </w:r>
    </w:p>
    <w:p>
      <w:pPr>
        <w:spacing w:before="65"/>
        <w:ind w:firstLine="640"/>
      </w:pPr>
      <w:r>
        <w:rPr>
          <w:rFonts w:hint="eastAsia"/>
        </w:rPr>
        <w:t>规划桃溪镇镇区污水由污水管网收集排入桃溪镇污水处理厂，污水厂规模为</w:t>
      </w:r>
      <w:r>
        <w:t>1000立方米/日；污水处理厂出水水质要求达到《城镇污水处理厂污染物排放标准》（GB 18918-2002）中规定的一级A标准，处理达标后排入寺河。</w:t>
      </w:r>
      <w:r>
        <w:rPr>
          <w:rFonts w:hint="eastAsia"/>
        </w:rPr>
        <w:t>距离镇区较近的村庄污水纳入城镇污水管网集中处理，距离镇区较远的村庄单独建设污水处理设施集中处理污水。</w:t>
      </w:r>
    </w:p>
    <w:p>
      <w:pPr>
        <w:spacing w:before="65"/>
        <w:ind w:firstLine="640"/>
      </w:pPr>
      <w:r>
        <w:t>石碑营村、桃庄河村等集中连片的村庄单独建设小型污水处理站集中处理生活污水；吴沟村等村民居住分散的村庄利用小型污水处理罐进行分户处理。</w:t>
      </w:r>
    </w:p>
    <w:p>
      <w:pPr>
        <w:spacing w:before="65"/>
        <w:ind w:firstLine="640"/>
      </w:pPr>
      <w:r>
        <w:rPr>
          <w:rFonts w:hint="eastAsia"/>
        </w:rPr>
        <w:t>雨水排放系统坚持就近、分散排放的原则。雨水管渠应充分利用自然河流水系、充分尊重原有生态基底，巧妙利用地形地貌实现雨水自然排放，必要时设置排涝泵站。</w:t>
      </w:r>
    </w:p>
    <w:p>
      <w:pPr>
        <w:pStyle w:val="4"/>
        <w:spacing w:before="195" w:after="195"/>
      </w:pPr>
      <w:r>
        <w:rPr>
          <w:rFonts w:hint="eastAsia"/>
        </w:rPr>
        <w:t>电力工程规划</w:t>
      </w:r>
    </w:p>
    <w:p>
      <w:pPr>
        <w:spacing w:before="65"/>
        <w:ind w:firstLine="640"/>
      </w:pPr>
      <w:bookmarkStart w:id="63" w:name="_Hlk140846865"/>
      <w:r>
        <w:rPr>
          <w:rFonts w:hint="eastAsia"/>
        </w:rPr>
        <w:t>预测镇域年总用电量为</w:t>
      </w:r>
      <w:r>
        <w:t>2040万千瓦时。</w:t>
      </w:r>
    </w:p>
    <w:p>
      <w:pPr>
        <w:spacing w:before="65"/>
        <w:ind w:firstLine="640"/>
      </w:pPr>
      <w:r>
        <w:rPr>
          <w:rFonts w:hint="eastAsia"/>
        </w:rPr>
        <w:t>规划扩容</w:t>
      </w:r>
      <w:r>
        <w:t>500千伏群英变，供电容量为3×750兆伏安；</w:t>
      </w:r>
      <w:r>
        <w:rPr>
          <w:rFonts w:hint="eastAsia"/>
        </w:rPr>
        <w:t>规划保留</w:t>
      </w:r>
      <w:r>
        <w:t>35千伏桃溪变，供电容量为10兆伏安。</w:t>
      </w:r>
    </w:p>
    <w:p>
      <w:pPr>
        <w:spacing w:before="65"/>
        <w:ind w:firstLine="640"/>
      </w:pPr>
      <w:r>
        <w:rPr>
          <w:rFonts w:hint="eastAsia"/>
        </w:rPr>
        <w:t>依据《城市电力规划规范》（</w:t>
      </w:r>
      <w:r>
        <w:t>GB/T 50293-2014），500千伏高压线设置60-75米宽的高压走廊；220千伏高压线设置30-40米宽的高压走廊；110千伏高压线设置15-25米宽的高压走廊；35千伏高压线设置15-20米宽的高压走廊；高压走廊控制区内严禁各种开发建设活动。</w:t>
      </w:r>
    </w:p>
    <w:bookmarkEnd w:id="63"/>
    <w:p>
      <w:pPr>
        <w:pStyle w:val="4"/>
        <w:spacing w:before="195" w:after="195"/>
      </w:pPr>
      <w:r>
        <w:rPr>
          <w:rFonts w:hint="eastAsia"/>
        </w:rPr>
        <w:t>通信工程规划</w:t>
      </w:r>
    </w:p>
    <w:p>
      <w:pPr>
        <w:spacing w:before="65"/>
        <w:ind w:firstLine="640"/>
      </w:pPr>
      <w:r>
        <w:rPr>
          <w:rFonts w:hint="eastAsia"/>
        </w:rPr>
        <w:t>预测镇域固定电话总量为</w:t>
      </w:r>
      <w:r>
        <w:t>0.68万线。</w:t>
      </w:r>
    </w:p>
    <w:p>
      <w:pPr>
        <w:spacing w:before="65"/>
        <w:ind w:firstLine="640"/>
      </w:pPr>
      <w:r>
        <w:rPr>
          <w:rFonts w:hint="eastAsia"/>
        </w:rPr>
        <w:t>积极采用高科技、新技术、新设备，建设完善大容量、高速率、广覆盖的集电信网、数据网及有线广播电视网三网合一的综合通信系统，并且数据传输光缆及电信管道统一规划、建设，适应城镇发展要求。</w:t>
      </w:r>
    </w:p>
    <w:p>
      <w:pPr>
        <w:spacing w:before="65"/>
        <w:ind w:firstLine="640"/>
      </w:pPr>
      <w:r>
        <w:rPr>
          <w:rFonts w:hint="eastAsia"/>
        </w:rPr>
        <w:t>升级完善和合理布局广电设施，提升广电网络功能，推广电视、广播的数字化、高清化和网络化，筹建大功率广播电视发射中心，继续推进“村村通”工程，到</w:t>
      </w:r>
      <w:r>
        <w:t>2035年实现全镇广播电视人口综合覆盖率100%。</w:t>
      </w:r>
    </w:p>
    <w:p>
      <w:pPr>
        <w:pStyle w:val="4"/>
        <w:spacing w:before="195" w:after="195"/>
      </w:pPr>
      <w:r>
        <w:rPr>
          <w:rFonts w:hint="eastAsia"/>
        </w:rPr>
        <w:t>燃气工程规划</w:t>
      </w:r>
    </w:p>
    <w:p>
      <w:pPr>
        <w:spacing w:before="65"/>
        <w:ind w:firstLine="640"/>
      </w:pPr>
      <w:r>
        <w:rPr>
          <w:rFonts w:hint="eastAsia"/>
        </w:rPr>
        <w:t>预测镇域天然气总量为</w:t>
      </w:r>
      <w:r>
        <w:t>97万立方米/年。</w:t>
      </w:r>
    </w:p>
    <w:p>
      <w:pPr>
        <w:spacing w:before="65"/>
        <w:ind w:firstLine="640"/>
      </w:pPr>
      <w:r>
        <w:rPr>
          <w:rFonts w:hint="eastAsia"/>
        </w:rPr>
        <w:t>规划气源接自西气东输三线。规划镇区敷设中压燃气管网，有条件的村庄引入天然气管道。</w:t>
      </w:r>
    </w:p>
    <w:p>
      <w:pPr>
        <w:pStyle w:val="4"/>
        <w:spacing w:before="195" w:after="195"/>
      </w:pPr>
      <w:r>
        <w:rPr>
          <w:rFonts w:hint="eastAsia"/>
        </w:rPr>
        <w:t>热力工程规划</w:t>
      </w:r>
    </w:p>
    <w:p>
      <w:pPr>
        <w:spacing w:before="65"/>
        <w:ind w:firstLine="640"/>
      </w:pPr>
      <w:r>
        <w:rPr>
          <w:rFonts w:hint="eastAsia"/>
        </w:rPr>
        <w:t>规划镇区采用分区域集中供热模式，热源为电能、风能、燃气等清洁能源；有条件的村庄可选用天然气等清洁能源分片区集中供热。</w:t>
      </w:r>
    </w:p>
    <w:p>
      <w:pPr>
        <w:pStyle w:val="4"/>
        <w:spacing w:before="195" w:after="195"/>
      </w:pPr>
      <w:r>
        <w:rPr>
          <w:rFonts w:hint="eastAsia"/>
        </w:rPr>
        <w:t>环卫工程规划</w:t>
      </w:r>
    </w:p>
    <w:p>
      <w:pPr>
        <w:spacing w:before="65"/>
        <w:ind w:firstLine="640"/>
      </w:pPr>
      <w:r>
        <w:rPr>
          <w:rFonts w:hint="eastAsia"/>
        </w:rPr>
        <w:t>规划至</w:t>
      </w:r>
      <w:r>
        <w:t>2035年，规划预测全镇产生生活垃圾最高日产量为</w:t>
      </w:r>
      <w:r>
        <w:rPr>
          <w:rFonts w:hint="eastAsia"/>
        </w:rPr>
        <w:t>14吨</w:t>
      </w:r>
      <w:r>
        <w:t>/</w:t>
      </w:r>
      <w:r>
        <w:rPr>
          <w:rFonts w:hint="eastAsia"/>
        </w:rPr>
        <w:t>天。</w:t>
      </w:r>
    </w:p>
    <w:p>
      <w:pPr>
        <w:spacing w:before="65"/>
        <w:ind w:firstLine="640"/>
      </w:pPr>
      <w:bookmarkStart w:id="64" w:name="_Hlk166859693"/>
      <w:bookmarkStart w:id="65" w:name="_Hlk206699969"/>
      <w:r>
        <w:rPr>
          <w:rFonts w:hint="eastAsia"/>
        </w:rPr>
        <w:t>建立由“垃圾收集点—生活垃圾转运站”构成的垃圾收集转运系统。在镇区规划设置一处垃圾转运站，各行政村规划一处垃圾收集站。全镇生活垃圾通过垃圾收集点收集，经过垃圾转运站最终送至垃圾填埋场进行统一处理</w:t>
      </w:r>
      <w:bookmarkEnd w:id="64"/>
      <w:r>
        <w:rPr>
          <w:rFonts w:hint="eastAsia"/>
        </w:rPr>
        <w:t>。</w:t>
      </w:r>
    </w:p>
    <w:bookmarkEnd w:id="65"/>
    <w:p>
      <w:pPr>
        <w:pStyle w:val="3"/>
      </w:pPr>
      <w:r>
        <w:rPr>
          <w:rFonts w:hint="eastAsia"/>
        </w:rPr>
        <w:t>公共服务设施规划</w:t>
      </w:r>
    </w:p>
    <w:p>
      <w:pPr>
        <w:pStyle w:val="4"/>
        <w:spacing w:before="195" w:after="195"/>
      </w:pPr>
      <w:bookmarkStart w:id="66" w:name="_Hlk200522761"/>
      <w:r>
        <w:t>教育设施</w:t>
      </w:r>
    </w:p>
    <w:p>
      <w:pPr>
        <w:spacing w:before="65"/>
        <w:ind w:firstLine="640"/>
      </w:pPr>
      <w:r>
        <w:rPr>
          <w:rFonts w:hint="eastAsia"/>
        </w:rPr>
        <w:t>规划保留现状1处桃溪镇初级中学；规划保留现状9处小学，引导农村小学逐步集中到镇</w:t>
      </w:r>
      <w:r>
        <w:t>；规划幼儿园按照1所</w:t>
      </w:r>
      <w:r>
        <w:rPr>
          <w:rFonts w:hint="eastAsia"/>
        </w:rPr>
        <w:t>每</w:t>
      </w:r>
      <w:r>
        <w:t>3000-6000人布局，尽量结合中心村设置</w:t>
      </w:r>
      <w:r>
        <w:rPr>
          <w:rFonts w:hint="eastAsia"/>
        </w:rPr>
        <w:t>。已停用的学校根据《河南省农村中小学闲置校园校舍处置工作指导意见》（豫教发规〔2015〕7号）文件要求进行处理。</w:t>
      </w:r>
    </w:p>
    <w:p>
      <w:pPr>
        <w:pStyle w:val="4"/>
        <w:spacing w:before="195" w:after="195"/>
      </w:pPr>
      <w:r>
        <w:t>文化体育设施</w:t>
      </w:r>
    </w:p>
    <w:p>
      <w:pPr>
        <w:spacing w:before="65"/>
        <w:ind w:firstLine="640"/>
        <w:rPr>
          <w:rFonts w:ascii="仿宋_GB2312" w:hAnsi="仿宋_GB2312" w:cs="仿宋_GB2312"/>
        </w:rPr>
      </w:pPr>
      <w:r>
        <w:t>规划各村庄设置文化活动室和农家书屋各1处，宜集合党群服务中心设置。规划各村庄设置健身广场各1处，宜结合文化活动室，村庄广场设置</w:t>
      </w:r>
      <w:r>
        <w:rPr>
          <w:rFonts w:hint="eastAsia"/>
        </w:rPr>
        <w:t>。鼓励桃庄河村等有红色、民俗文化特色的村庄设置</w:t>
      </w:r>
      <w:r>
        <w:rPr>
          <w:rFonts w:hint="eastAsia" w:ascii="仿宋_GB2312" w:hAnsi="仿宋_GB2312" w:cs="仿宋_GB2312"/>
        </w:rPr>
        <w:t>特色民俗活动点，有条件的村庄</w:t>
      </w:r>
      <w:r>
        <w:rPr>
          <w:rFonts w:hint="eastAsia"/>
        </w:rPr>
        <w:t>可设置</w:t>
      </w:r>
      <w:r>
        <w:rPr>
          <w:rFonts w:hint="eastAsia" w:ascii="仿宋_GB2312" w:hAnsi="仿宋_GB2312" w:cs="仿宋_GB2312"/>
        </w:rPr>
        <w:t>红白喜事厅。</w:t>
      </w:r>
    </w:p>
    <w:p>
      <w:pPr>
        <w:pStyle w:val="4"/>
        <w:spacing w:before="195" w:after="195"/>
      </w:pPr>
      <w:r>
        <w:t>医疗卫生设施</w:t>
      </w:r>
    </w:p>
    <w:p>
      <w:pPr>
        <w:spacing w:before="65"/>
        <w:ind w:firstLine="640"/>
      </w:pPr>
      <w:r>
        <w:rPr>
          <w:rFonts w:hint="eastAsia"/>
        </w:rPr>
        <w:t>提升乡镇基层医疗卫生设施服务水平，落实乡镇卫生院中医馆设置</w:t>
      </w:r>
      <w:r>
        <w:rPr>
          <w:rFonts w:hint="eastAsia" w:ascii="仿宋_GB2312" w:hAnsi="仿宋_GB2312" w:cs="仿宋_GB2312"/>
        </w:rPr>
        <w:t>，乡镇卫生院、村卫生室建设和服务能力全部达</w:t>
      </w:r>
      <w:r>
        <w:rPr>
          <w:rFonts w:hint="eastAsia"/>
        </w:rPr>
        <w:t>标等建设任务。完善乡镇基层医疗卫生设施配置。镇区保留</w:t>
      </w:r>
      <w:r>
        <w:t>1处现状卫生院，床位数控制在50-200床</w:t>
      </w:r>
      <w:r>
        <w:rPr>
          <w:rFonts w:hint="eastAsia"/>
        </w:rPr>
        <w:t>。规划按照一村一室进行配置村级卫生室</w:t>
      </w:r>
      <w:r>
        <w:t>。对现有村庄卫</w:t>
      </w:r>
      <w:r>
        <w:rPr>
          <w:rFonts w:hint="eastAsia"/>
        </w:rPr>
        <w:t>生室进行提升，强化基层医疗作用，做到小病不出村。</w:t>
      </w:r>
    </w:p>
    <w:p>
      <w:pPr>
        <w:pStyle w:val="4"/>
        <w:spacing w:before="195" w:after="195"/>
      </w:pPr>
      <w:r>
        <w:t>社会福利设施</w:t>
      </w:r>
    </w:p>
    <w:p>
      <w:pPr>
        <w:spacing w:before="65"/>
        <w:ind w:firstLine="640"/>
      </w:pPr>
      <w:r>
        <w:rPr>
          <w:rFonts w:hint="eastAsia"/>
        </w:rPr>
        <w:t>镇区保留现状</w:t>
      </w:r>
      <w:r>
        <w:t>1所敬老院、床位数控制在200床以内</w:t>
      </w:r>
      <w:r>
        <w:rPr>
          <w:rFonts w:hint="eastAsia"/>
        </w:rPr>
        <w:t>，东川村、桃庄河村、石碑营村等中心村各规划一处日间照料中心，提供老年人日托服务，包括餐饮、文娱、健身、医疗保健等。</w:t>
      </w:r>
      <w:bookmarkStart w:id="67" w:name="_Hlk200545963"/>
      <w:r>
        <w:rPr>
          <w:rFonts w:hint="eastAsia"/>
        </w:rPr>
        <w:t>其他村庄与村委会结合居家养老服务站，提供居家养老相关服务</w:t>
      </w:r>
      <w:bookmarkEnd w:id="67"/>
      <w:r>
        <w:rPr>
          <w:rFonts w:hint="eastAsia"/>
        </w:rPr>
        <w:t>。</w:t>
      </w:r>
    </w:p>
    <w:p>
      <w:pPr>
        <w:pStyle w:val="4"/>
        <w:spacing w:before="195" w:after="195"/>
      </w:pPr>
      <w:r>
        <w:t>商业服务设施</w:t>
      </w:r>
    </w:p>
    <w:p>
      <w:pPr>
        <w:spacing w:before="65"/>
        <w:ind w:firstLine="640"/>
      </w:pPr>
      <w:r>
        <w:rPr>
          <w:rFonts w:hint="eastAsia"/>
        </w:rPr>
        <w:t>保留镇区现状部分质量较好、商品丰富的商业服务设施。规划东川村、桃庄河村、吴沟村等中心村建设小型农贸市场及小型百货超市，服务于周边村庄。</w:t>
      </w:r>
    </w:p>
    <w:p>
      <w:pPr>
        <w:pStyle w:val="4"/>
        <w:spacing w:before="195" w:after="195"/>
      </w:pPr>
      <w:r>
        <w:t>殡葬设施</w:t>
      </w:r>
    </w:p>
    <w:p>
      <w:pPr>
        <w:spacing w:before="65"/>
        <w:ind w:firstLine="640"/>
      </w:pPr>
      <w:bookmarkStart w:id="68" w:name="_Hlk207462526"/>
      <w:r>
        <w:rPr>
          <w:rFonts w:hint="eastAsia"/>
        </w:rPr>
        <w:t>规划桃溪镇镇域建设</w:t>
      </w:r>
      <w:r>
        <w:t>占地不少于50亩的公益性公墓</w:t>
      </w:r>
      <w:r>
        <w:rPr>
          <w:rFonts w:hint="eastAsia"/>
        </w:rPr>
        <w:t>，满足居民基本丧葬需求。殡葬</w:t>
      </w:r>
      <w:r>
        <w:t>设施不得违规擅自兴建，不得在</w:t>
      </w:r>
      <w:r>
        <w:rPr>
          <w:rFonts w:hint="eastAsia" w:ascii="仿宋_GB2312"/>
        </w:rPr>
        <w:t>“三沿两区”</w:t>
      </w:r>
      <w:r>
        <w:t>（铁路沿线、公路沿线、河道沿线和水源保护区、居民居住区）建设，不得占用永久基本农田，公墓项目不得占用或变相占用耕地</w:t>
      </w:r>
      <w:bookmarkEnd w:id="68"/>
      <w:r>
        <w:t>。</w:t>
      </w:r>
    </w:p>
    <w:bookmarkEnd w:id="66"/>
    <w:p>
      <w:pPr>
        <w:pStyle w:val="3"/>
      </w:pPr>
      <w:r>
        <w:rPr>
          <w:rFonts w:hint="eastAsia"/>
        </w:rPr>
        <w:t>防灾减灾规划</w:t>
      </w:r>
    </w:p>
    <w:p>
      <w:pPr>
        <w:pStyle w:val="4"/>
        <w:spacing w:before="195" w:after="195"/>
      </w:pPr>
      <w:bookmarkStart w:id="69" w:name="_Hlk151384900"/>
      <w:r>
        <w:rPr>
          <w:rFonts w:hint="eastAsia"/>
        </w:rPr>
        <w:t>主要灾害防灾标准</w:t>
      </w:r>
    </w:p>
    <w:bookmarkEnd w:id="69"/>
    <w:p>
      <w:pPr>
        <w:pStyle w:val="5"/>
        <w:numPr>
          <w:ilvl w:val="3"/>
          <w:numId w:val="2"/>
        </w:numPr>
        <w:spacing w:before="97" w:after="97"/>
        <w:ind w:firstLine="640"/>
      </w:pPr>
      <w:r>
        <w:rPr>
          <w:rFonts w:hint="eastAsia"/>
        </w:rPr>
        <w:t>防洪标准</w:t>
      </w:r>
    </w:p>
    <w:p>
      <w:pPr>
        <w:spacing w:before="65"/>
        <w:ind w:firstLine="640"/>
        <w:rPr>
          <w:u w:val="single"/>
        </w:rPr>
      </w:pPr>
      <w:bookmarkStart w:id="70" w:name="_Hlk151385439"/>
      <w:r>
        <w:rPr>
          <w:rFonts w:hint="eastAsia"/>
          <w:u w:val="single"/>
        </w:rPr>
        <w:t>规划桃溪镇镇区水系设防标准为</w:t>
      </w:r>
      <w:r>
        <w:rPr>
          <w:u w:val="single"/>
        </w:rPr>
        <w:t>20年一遇</w:t>
      </w:r>
      <w:r>
        <w:rPr>
          <w:rFonts w:hint="eastAsia"/>
          <w:u w:val="single"/>
        </w:rPr>
        <w:t>，乡村防洪标准为10年一遇</w:t>
      </w:r>
      <w:r>
        <w:rPr>
          <w:u w:val="single"/>
        </w:rPr>
        <w:t>。</w:t>
      </w:r>
    </w:p>
    <w:bookmarkEnd w:id="70"/>
    <w:p>
      <w:pPr>
        <w:pStyle w:val="5"/>
        <w:numPr>
          <w:ilvl w:val="3"/>
          <w:numId w:val="2"/>
        </w:numPr>
        <w:spacing w:before="97" w:after="97"/>
        <w:ind w:firstLine="640"/>
      </w:pPr>
      <w:r>
        <w:rPr>
          <w:rFonts w:hint="eastAsia"/>
        </w:rPr>
        <w:t>排涝标准</w:t>
      </w:r>
    </w:p>
    <w:p>
      <w:pPr>
        <w:spacing w:before="65"/>
        <w:ind w:firstLine="640"/>
      </w:pPr>
      <w:bookmarkStart w:id="71" w:name="_Hlk206790706"/>
      <w:r>
        <w:rPr>
          <w:rFonts w:hint="eastAsia"/>
          <w:u w:val="single"/>
        </w:rPr>
        <w:t>规划桃溪镇镇区排涝标准为</w:t>
      </w:r>
      <w:r>
        <w:rPr>
          <w:u w:val="single"/>
        </w:rPr>
        <w:t>20年一遇。雨水管渠设计重现期为2-3年。</w:t>
      </w:r>
      <w:r>
        <w:t>对超过内涝防治设计重现期的降雨，按照应急预案要求采取应急措施。</w:t>
      </w:r>
    </w:p>
    <w:bookmarkEnd w:id="71"/>
    <w:p>
      <w:pPr>
        <w:pStyle w:val="5"/>
        <w:numPr>
          <w:ilvl w:val="3"/>
          <w:numId w:val="2"/>
        </w:numPr>
        <w:spacing w:before="97" w:after="97"/>
        <w:ind w:firstLine="640"/>
      </w:pPr>
      <w:r>
        <w:rPr>
          <w:rFonts w:hint="eastAsia"/>
        </w:rPr>
        <w:t>抗震规划</w:t>
      </w:r>
    </w:p>
    <w:p>
      <w:pPr>
        <w:spacing w:before="65"/>
        <w:ind w:firstLine="640"/>
      </w:pPr>
      <w:r>
        <w:rPr>
          <w:rFonts w:hint="eastAsia"/>
          <w:u w:val="single"/>
        </w:rPr>
        <w:t>桃溪镇镇区地震烈度为</w:t>
      </w:r>
      <w:r>
        <w:rPr>
          <w:u w:val="single"/>
        </w:rPr>
        <w:t>7度，新建、扩建、改建建设工程应按7度进行抗震设防，重要建筑和生命线工程应按8度标准加强抗震措施。</w:t>
      </w:r>
      <w:r>
        <w:t>重大建设工程、可能产生严重次生灾害的建设工程应当进行地震安全性评价，并根据安全性评价报告确定抗震设防措施。学校、医院等人员密集场所应当按照高于7度标准加强抗震措施。</w:t>
      </w:r>
    </w:p>
    <w:p>
      <w:pPr>
        <w:pStyle w:val="4"/>
        <w:spacing w:before="195" w:after="195"/>
      </w:pPr>
      <w:r>
        <w:rPr>
          <w:rFonts w:hint="eastAsia"/>
        </w:rPr>
        <w:t>构建防灾安全空间格局</w:t>
      </w:r>
    </w:p>
    <w:p>
      <w:pPr>
        <w:spacing w:before="65"/>
        <w:ind w:firstLine="640"/>
      </w:pPr>
      <w:r>
        <w:rPr>
          <w:rFonts w:hint="eastAsia"/>
        </w:rPr>
        <w:t>结合全镇主要交通干线，构建镇域救灾响应体系，与全县共同构建县-</w:t>
      </w:r>
      <w:r>
        <w:t>镇-村</w:t>
      </w:r>
      <w:r>
        <w:rPr>
          <w:rFonts w:hint="eastAsia"/>
        </w:rPr>
        <w:t>三</w:t>
      </w:r>
      <w:r>
        <w:t>级防灾设施体系。</w:t>
      </w:r>
      <w:r>
        <w:rPr>
          <w:rFonts w:hint="eastAsia"/>
        </w:rPr>
        <w:t>镇域境内，S329、S330为全镇的救灾干道，规划强化救灾干道防灾性能，</w:t>
      </w:r>
      <w:r>
        <w:t>加强疏散通道沿线地区地质灾害和山洪灾害的工程治理。</w:t>
      </w:r>
    </w:p>
    <w:p>
      <w:pPr>
        <w:pStyle w:val="4"/>
        <w:spacing w:before="195" w:after="195"/>
      </w:pPr>
      <w:r>
        <w:rPr>
          <w:rFonts w:hint="eastAsia"/>
        </w:rPr>
        <w:t>重大防灾设施配置</w:t>
      </w:r>
    </w:p>
    <w:p>
      <w:pPr>
        <w:pStyle w:val="5"/>
        <w:numPr>
          <w:ilvl w:val="3"/>
          <w:numId w:val="3"/>
        </w:numPr>
        <w:spacing w:before="97" w:after="97"/>
        <w:ind w:firstLine="640"/>
      </w:pPr>
      <w:r>
        <w:t>应急指挥设施体系</w:t>
      </w:r>
    </w:p>
    <w:p>
      <w:pPr>
        <w:spacing w:before="65"/>
        <w:ind w:firstLine="640"/>
      </w:pPr>
      <w:r>
        <w:rPr>
          <w:rFonts w:hint="eastAsia"/>
        </w:rPr>
        <w:t>设置</w:t>
      </w:r>
      <w:r>
        <w:t>镇-村</w:t>
      </w:r>
      <w:r>
        <w:rPr>
          <w:rFonts w:hint="eastAsia"/>
        </w:rPr>
        <w:t>两</w:t>
      </w:r>
      <w:r>
        <w:t>级防灾应急指挥系统，镇区设置应急指挥中心1处，位于</w:t>
      </w:r>
      <w:r>
        <w:rPr>
          <w:rFonts w:hint="eastAsia"/>
        </w:rPr>
        <w:t>桃溪</w:t>
      </w:r>
      <w:r>
        <w:t>镇人民政府，村综合防灾应急指挥中心设在各村村委会。</w:t>
      </w:r>
    </w:p>
    <w:p>
      <w:pPr>
        <w:pStyle w:val="5"/>
        <w:numPr>
          <w:ilvl w:val="3"/>
          <w:numId w:val="3"/>
        </w:numPr>
        <w:spacing w:before="97" w:after="97"/>
        <w:ind w:firstLine="640"/>
      </w:pPr>
      <w:r>
        <w:t>应急救灾物资储备设施</w:t>
      </w:r>
    </w:p>
    <w:p>
      <w:pPr>
        <w:spacing w:before="65"/>
        <w:ind w:firstLine="640"/>
      </w:pPr>
      <w:r>
        <w:rPr>
          <w:rFonts w:hint="eastAsia"/>
        </w:rPr>
        <w:t>结合乡镇政府设置救灾物资储备库，并配置装卸设备、技防设备、物资保管维护设备、交通工具（应急调度车、救灾物资转运车）与通讯调度设备等。</w:t>
      </w:r>
    </w:p>
    <w:p>
      <w:pPr>
        <w:pStyle w:val="5"/>
        <w:numPr>
          <w:ilvl w:val="3"/>
          <w:numId w:val="3"/>
        </w:numPr>
        <w:spacing w:before="97" w:after="97"/>
        <w:ind w:firstLine="640"/>
      </w:pPr>
      <w:r>
        <w:t>提升应急医疗服务能力</w:t>
      </w:r>
    </w:p>
    <w:p>
      <w:pPr>
        <w:spacing w:before="65"/>
        <w:ind w:firstLine="640"/>
      </w:pPr>
      <w:bookmarkStart w:id="72" w:name="_Hlk179985582"/>
      <w:r>
        <w:rPr>
          <w:rFonts w:hint="eastAsia"/>
        </w:rPr>
        <w:t>镇区依托卫生院设置乡镇级应急医疗设施，各村分别规划设置</w:t>
      </w:r>
      <w:r>
        <w:t>1处村级应急医疗设施。</w:t>
      </w:r>
      <w:bookmarkEnd w:id="72"/>
    </w:p>
    <w:p>
      <w:pPr>
        <w:pStyle w:val="5"/>
        <w:numPr>
          <w:ilvl w:val="3"/>
          <w:numId w:val="3"/>
        </w:numPr>
        <w:spacing w:before="97" w:after="97"/>
        <w:ind w:firstLine="640"/>
      </w:pPr>
      <w:r>
        <w:t>消防设施</w:t>
      </w:r>
    </w:p>
    <w:p>
      <w:pPr>
        <w:spacing w:before="65"/>
        <w:ind w:firstLine="640"/>
      </w:pPr>
      <w:bookmarkStart w:id="73" w:name="_Hlk206790742"/>
      <w:r>
        <w:rPr>
          <w:rFonts w:hint="eastAsia"/>
        </w:rPr>
        <w:t>在镇区设置1处一级乡镇政府专职</w:t>
      </w:r>
      <w:r>
        <w:t>消防</w:t>
      </w:r>
      <w:r>
        <w:rPr>
          <w:rFonts w:hint="eastAsia"/>
        </w:rPr>
        <w:t>队，服务镇域</w:t>
      </w:r>
      <w:r>
        <w:t>。</w:t>
      </w:r>
      <w:bookmarkEnd w:id="73"/>
      <w:r>
        <w:rPr>
          <w:rFonts w:hint="eastAsia"/>
        </w:rPr>
        <w:t>在乡村层面，积极推进行政村和较大自然村因地制宜建设志愿消防队。</w:t>
      </w:r>
    </w:p>
    <w:p>
      <w:pPr>
        <w:pStyle w:val="4"/>
        <w:spacing w:before="195" w:after="195"/>
      </w:pPr>
      <w:r>
        <w:rPr>
          <w:rFonts w:hint="eastAsia"/>
        </w:rPr>
        <w:t>防治措施</w:t>
      </w:r>
    </w:p>
    <w:p>
      <w:pPr>
        <w:pStyle w:val="5"/>
        <w:ind w:firstLine="640"/>
      </w:pPr>
      <w:r>
        <w:rPr>
          <w:rFonts w:hint="eastAsia"/>
        </w:rPr>
        <w:t>防洪排涝规划</w:t>
      </w:r>
    </w:p>
    <w:p>
      <w:pPr>
        <w:spacing w:before="65"/>
        <w:ind w:firstLine="640"/>
      </w:pPr>
      <w:r>
        <w:t>防洪措施</w:t>
      </w:r>
      <w:r>
        <w:rPr>
          <w:rFonts w:hint="eastAsia"/>
        </w:rPr>
        <w:t>：疏浚行洪河道，提高河道堤防标准，加强河道绿化防护带建设；沿山体设置截洪沟，截洪沟及冲沟应按规划有计划、有步骤地进行治理；建立洪水预警预报系统，防洪决策支持系统，制定超标洪水应急措施。</w:t>
      </w:r>
    </w:p>
    <w:p>
      <w:pPr>
        <w:spacing w:before="65"/>
        <w:ind w:firstLine="640"/>
      </w:pPr>
      <w:r>
        <w:t>防涝措施</w:t>
      </w:r>
      <w:r>
        <w:rPr>
          <w:rFonts w:hint="eastAsia"/>
        </w:rPr>
        <w:t>：完善镇区雨水管网及排涝设施建设，采取改造原排水河道、改造旧排水管网、增建新管网、实施雨污分流以及污水集中处理和回用等措施；利用公园绿地、低洼地区及周边农田建设调蓄空间。</w:t>
      </w:r>
    </w:p>
    <w:p>
      <w:pPr>
        <w:pStyle w:val="5"/>
        <w:ind w:firstLine="640"/>
      </w:pPr>
      <w:r>
        <w:t>抗震灾害防治</w:t>
      </w:r>
    </w:p>
    <w:p>
      <w:pPr>
        <w:spacing w:before="65"/>
        <w:ind w:firstLine="640"/>
      </w:pPr>
      <w:r>
        <w:rPr>
          <w:rFonts w:hint="eastAsia"/>
        </w:rPr>
        <w:t>（1）</w:t>
      </w:r>
      <w:r>
        <w:t>避震疏散场地</w:t>
      </w:r>
    </w:p>
    <w:p>
      <w:pPr>
        <w:spacing w:before="65"/>
        <w:ind w:firstLine="640"/>
      </w:pPr>
      <w:r>
        <w:rPr>
          <w:rFonts w:hint="eastAsia"/>
        </w:rPr>
        <w:t>利用公园、绿地、广场、体育场、停车场、学校操场等开敞空间设置人员避震疏散场地，固定避难场所人均有效避难面积不小于</w:t>
      </w:r>
      <w:r>
        <w:t>2.0平方米。</w:t>
      </w:r>
    </w:p>
    <w:p>
      <w:pPr>
        <w:spacing w:before="65"/>
        <w:ind w:firstLine="640"/>
      </w:pPr>
      <w:r>
        <w:rPr>
          <w:rFonts w:hint="eastAsia"/>
        </w:rPr>
        <w:t>（2）</w:t>
      </w:r>
      <w:r>
        <w:t>疏散救援通道</w:t>
      </w:r>
    </w:p>
    <w:p>
      <w:pPr>
        <w:spacing w:before="65"/>
        <w:ind w:firstLine="640"/>
      </w:pPr>
      <w:r>
        <w:rPr>
          <w:rFonts w:hint="eastAsia"/>
        </w:rPr>
        <w:t>以高速公路、国道、省道、县道作为一级疏散通道，保证震后有效宽度不小于</w:t>
      </w:r>
      <w:r>
        <w:t>15米；规划主干路作为二级疏散通道，保证震后有效宽度不小于7米；规划次干路作为三级疏散通道，保证震后有效宽度不小于4米。应严格控制抗震救灾疏散通道两侧的建筑高度及建筑后退红线距离。</w:t>
      </w:r>
    </w:p>
    <w:p>
      <w:pPr>
        <w:spacing w:before="65"/>
        <w:ind w:firstLine="640"/>
      </w:pPr>
      <w:r>
        <w:rPr>
          <w:rFonts w:hint="eastAsia"/>
        </w:rPr>
        <w:t>（3）</w:t>
      </w:r>
      <w:r>
        <w:t>抗震生命线系统</w:t>
      </w:r>
    </w:p>
    <w:p>
      <w:pPr>
        <w:spacing w:before="65"/>
        <w:ind w:firstLine="640"/>
      </w:pPr>
      <w:r>
        <w:rPr>
          <w:rFonts w:hint="eastAsia"/>
        </w:rPr>
        <w:t>城市生命线系统规划提高一度按</w:t>
      </w:r>
      <w:r>
        <w:t>8度标准设防，并采取设施地下化、对节点进行防灾处理及提高备用率等防灾措施，同时各生命线系统都要建立应急抢险队伍，提高生命线系统工程的防灾能力。</w:t>
      </w:r>
    </w:p>
    <w:p>
      <w:pPr>
        <w:pStyle w:val="5"/>
        <w:ind w:firstLine="640"/>
      </w:pPr>
      <w:r>
        <w:t>地质灾害防治规划</w:t>
      </w:r>
    </w:p>
    <w:p>
      <w:pPr>
        <w:spacing w:before="65"/>
        <w:ind w:firstLine="640"/>
      </w:pPr>
      <w:r>
        <w:rPr>
          <w:rFonts w:hint="eastAsia"/>
        </w:rPr>
        <w:t>（1）</w:t>
      </w:r>
      <w:r>
        <w:t>监测预警</w:t>
      </w:r>
    </w:p>
    <w:p>
      <w:pPr>
        <w:spacing w:before="65"/>
        <w:ind w:firstLine="640"/>
      </w:pPr>
      <w:r>
        <w:rPr>
          <w:rFonts w:hint="eastAsia"/>
        </w:rPr>
        <w:t>建设地质灾害监测预警体系，建立地质灾害群测群防预警网络及重点地区地质灾害隐患点的专业监测预报网络，建设全镇地质灾害空间数据库及信息系统。</w:t>
      </w:r>
    </w:p>
    <w:p>
      <w:pPr>
        <w:spacing w:before="65"/>
        <w:ind w:firstLine="640"/>
      </w:pPr>
      <w:r>
        <w:rPr>
          <w:rFonts w:hint="eastAsia"/>
        </w:rPr>
        <w:t>（2）</w:t>
      </w:r>
      <w:r>
        <w:t>工程治理</w:t>
      </w:r>
    </w:p>
    <w:p>
      <w:pPr>
        <w:spacing w:before="65"/>
        <w:ind w:firstLine="640"/>
      </w:pPr>
      <w:r>
        <w:rPr>
          <w:rFonts w:hint="eastAsia"/>
        </w:rPr>
        <w:t>对危害公共安全、可能造成人员群死群伤和较大财产损失的、避让搬迁选址困难但易于工程治理的地质灾害隐患点，依据轻重缓急，有计划地分期、分批实施地质灾害治理工程。对于山洪易发地区，加强水土流失治理，极大限度减少泥石流灾害的发生。</w:t>
      </w:r>
    </w:p>
    <w:p>
      <w:pPr>
        <w:spacing w:before="65"/>
        <w:ind w:firstLine="640"/>
      </w:pPr>
      <w:r>
        <w:rPr>
          <w:rFonts w:hint="eastAsia"/>
        </w:rPr>
        <w:t>（3）</w:t>
      </w:r>
      <w:r>
        <w:t>避让搬迁</w:t>
      </w:r>
    </w:p>
    <w:p>
      <w:pPr>
        <w:spacing w:before="65"/>
        <w:ind w:firstLine="640"/>
      </w:pPr>
      <w:r>
        <w:rPr>
          <w:rFonts w:hint="eastAsia"/>
        </w:rPr>
        <w:t>对突发地质灾害高风险区内的居民，主动采取搬迁措施，避让地质灾害。</w:t>
      </w:r>
    </w:p>
    <w:p>
      <w:pPr>
        <w:spacing w:before="65"/>
        <w:ind w:firstLine="640"/>
      </w:pPr>
      <w:r>
        <w:rPr>
          <w:rFonts w:hint="eastAsia"/>
        </w:rPr>
        <w:t>（4）</w:t>
      </w:r>
      <w:r>
        <w:t>宣传培训</w:t>
      </w:r>
    </w:p>
    <w:p>
      <w:pPr>
        <w:spacing w:before="65"/>
        <w:ind w:firstLine="640"/>
      </w:pPr>
      <w:r>
        <w:rPr>
          <w:rFonts w:hint="eastAsia"/>
        </w:rPr>
        <w:t>对各村组级开展群测群防知识培训；每年对全镇地质灾害管理及技术人员进行年度地质灾害防治知识培训。</w:t>
      </w:r>
    </w:p>
    <w:p>
      <w:pPr>
        <w:pStyle w:val="5"/>
        <w:ind w:firstLine="640"/>
      </w:pPr>
      <w:r>
        <w:t>突发公共卫生事件防御规划</w:t>
      </w:r>
    </w:p>
    <w:p>
      <w:pPr>
        <w:spacing w:before="65"/>
        <w:ind w:firstLine="640"/>
      </w:pPr>
      <w:r>
        <w:rPr>
          <w:rFonts w:hint="eastAsia"/>
        </w:rPr>
        <w:t>结合内乡县医疗卫生机构，构建突发公共卫生事件日常监测体系，以处理各类突发公共卫生事件信息分析。与内乡县共同构建县</w:t>
      </w:r>
      <w:r>
        <w:t>-镇-村三级公共卫生事件疫情预警与指挥体系，依托药店、车站、学校、社区、机关企事业单位等设施作为公共卫生事件的监测哨点，全面提升疫情监测预警能力。</w:t>
      </w:r>
    </w:p>
    <w:p>
      <w:pPr>
        <w:pStyle w:val="5"/>
        <w:ind w:firstLine="640"/>
      </w:pPr>
      <w:r>
        <w:t>气象灾害防御规划</w:t>
      </w:r>
    </w:p>
    <w:p>
      <w:pPr>
        <w:spacing w:before="65"/>
        <w:ind w:firstLine="640"/>
      </w:pPr>
      <w:r>
        <w:t>加强气象灾害预警应急体系建设。加快现场气象应急保障系统建设，提高应急处置的能力和效率。</w:t>
      </w:r>
    </w:p>
    <w:p>
      <w:pPr>
        <w:pStyle w:val="5"/>
        <w:ind w:firstLine="640"/>
      </w:pPr>
      <w:r>
        <w:t>消防规划</w:t>
      </w:r>
    </w:p>
    <w:p>
      <w:pPr>
        <w:spacing w:before="65"/>
        <w:ind w:firstLine="640"/>
      </w:pPr>
      <w:r>
        <w:rPr>
          <w:rFonts w:hint="eastAsia"/>
        </w:rPr>
        <w:t>提高消防站建筑物的抗灾能力；在重点保护目标内部或者附近设置消防水池或者取水平台；增强消防供水泵站、消防供水管道、消火栓等消防设施的抗震性能；设置应急疏散道路时应充分考虑消防救灾同行的需求。</w:t>
      </w:r>
    </w:p>
    <w:p>
      <w:pPr>
        <w:pStyle w:val="5"/>
        <w:ind w:firstLine="640"/>
      </w:pPr>
      <w:bookmarkStart w:id="74" w:name="_Hlk206766249"/>
      <w:r>
        <w:rPr>
          <w:rFonts w:hint="eastAsia"/>
        </w:rPr>
        <w:t>森林火灾防治</w:t>
      </w:r>
    </w:p>
    <w:p>
      <w:pPr>
        <w:ind w:firstLine="640"/>
      </w:pPr>
      <w:r>
        <w:rPr>
          <w:rFonts w:hint="eastAsia"/>
        </w:rPr>
        <w:t>桃溪镇森林火灾防治空间主要是存在森林火灾风险的地区，主要分布于镇域北部和南部等地区。</w:t>
      </w:r>
    </w:p>
    <w:p>
      <w:pPr>
        <w:ind w:firstLine="640"/>
      </w:pPr>
      <w:r>
        <w:rPr>
          <w:rFonts w:hint="eastAsia"/>
        </w:rPr>
        <w:t>在森林火灾防治空间内，应严格落实《中华人民共和国森林法》《森林防火条例》及其他相关法律法规和标准规范的管控要求。</w:t>
      </w:r>
    </w:p>
    <w:p>
      <w:pPr>
        <w:pStyle w:val="5"/>
        <w:ind w:firstLine="640"/>
      </w:pPr>
      <w:r>
        <w:t>危险品安全布局与防治</w:t>
      </w:r>
    </w:p>
    <w:p>
      <w:pPr>
        <w:spacing w:before="65"/>
        <w:ind w:firstLine="640"/>
      </w:pPr>
      <w:r>
        <w:rPr>
          <w:rFonts w:hint="eastAsia"/>
        </w:rPr>
        <w:t>桃溪镇危险源防治空间主要包括燃气长输管道的防护区和高后果区，以及燃气储配站、加油加气站、危险品生产和储存设施等一般危险源的防护区。</w:t>
      </w:r>
    </w:p>
    <w:p>
      <w:pPr>
        <w:spacing w:before="65"/>
        <w:ind w:firstLine="640"/>
      </w:pPr>
      <w:r>
        <w:rPr>
          <w:rFonts w:hint="eastAsia"/>
        </w:rPr>
        <w:t>在防护区范围内，应满足管线安全防护距离，在满足管线安全防护距离的前提下，可布局高压电力线、长输油气管道等区域性基础设施廊道，禁止其他类型的开发建设；在安全管控区范围内，禁止布局居住、商业、公共服务设施等人员密集场所、易燃易爆危化企业和仓储以及其他有安全防护要求的重要设施，确需进行建设的项目，须进行安全评估并征求输气管线主管部门的意见。同时，高压次高压输油输气管线防护区和安全管控区应严格落实《城镇燃气规划规范》（</w:t>
      </w:r>
      <w:r>
        <w:t>GB/T51098-2015）《城镇燃气设计规范》（GB50028-2006）《石油天然气工</w:t>
      </w:r>
      <w:r>
        <w:rPr>
          <w:rFonts w:hint="eastAsia"/>
        </w:rPr>
        <w:t>程设计防火规范》（</w:t>
      </w:r>
      <w:r>
        <w:t>GB50183-2004）《输气管道工程设计规范》GB50251-2015）《输油管道工程设计规范》（GB50253-2014）及其他相关法律法规和标准规范的管控要求。</w:t>
      </w:r>
    </w:p>
    <w:p>
      <w:pPr>
        <w:spacing w:before="65"/>
        <w:ind w:firstLine="640"/>
      </w:pPr>
      <w:r>
        <w:rPr>
          <w:rFonts w:hint="eastAsia"/>
        </w:rPr>
        <w:t>燃气储配站、液化气站、加油加气站、危险品生产和储存设施等一般危险源的防护区应根据相关法律法规和标准规范进行确定并严格落实其管控要求。</w:t>
      </w:r>
    </w:p>
    <w:bookmarkEnd w:id="74"/>
    <w:p>
      <w:pPr>
        <w:spacing w:before="65"/>
        <w:ind w:firstLine="640"/>
      </w:pPr>
      <w:r>
        <w:br w:type="page"/>
      </w:r>
    </w:p>
    <w:p>
      <w:pPr>
        <w:spacing w:before="65"/>
        <w:ind w:firstLine="640"/>
      </w:pPr>
    </w:p>
    <w:p>
      <w:pPr>
        <w:pStyle w:val="2"/>
        <w:spacing w:before="489" w:after="489"/>
      </w:pPr>
      <w:bookmarkStart w:id="75" w:name="_Toc206777520"/>
      <w:bookmarkStart w:id="76" w:name="_Hlk142923403"/>
      <w:r>
        <w:t>历史文化与景观风貌</w:t>
      </w:r>
      <w:bookmarkEnd w:id="75"/>
    </w:p>
    <w:bookmarkEnd w:id="76"/>
    <w:p>
      <w:pPr>
        <w:pStyle w:val="3"/>
      </w:pPr>
      <w:bookmarkStart w:id="77" w:name="_Hlk142923409"/>
      <w:r>
        <w:rPr>
          <w:rFonts w:hint="eastAsia"/>
        </w:rPr>
        <w:t>历史文化保护传承</w:t>
      </w:r>
    </w:p>
    <w:bookmarkEnd w:id="77"/>
    <w:p>
      <w:pPr>
        <w:pStyle w:val="4"/>
        <w:spacing w:before="195" w:after="195"/>
      </w:pPr>
      <w:bookmarkStart w:id="78" w:name="_Hlk142923435"/>
      <w:r>
        <w:rPr>
          <w:rFonts w:hint="eastAsia"/>
        </w:rPr>
        <w:t>镇域历史文化遗存</w:t>
      </w:r>
    </w:p>
    <w:bookmarkEnd w:id="78"/>
    <w:p>
      <w:pPr>
        <w:spacing w:before="65" w:after="120"/>
        <w:ind w:firstLine="640"/>
      </w:pPr>
      <w:r>
        <w:rPr>
          <w:rFonts w:hint="eastAsia"/>
          <w:u w:val="single"/>
        </w:rPr>
        <w:t>桃溪镇历史文化资源包括不可移动文物和非物质文化遗产；镇域内现存不可移动文物28</w:t>
      </w:r>
      <w:r>
        <w:rPr>
          <w:u w:val="single"/>
        </w:rPr>
        <w:t>处，</w:t>
      </w:r>
      <w:r>
        <w:rPr>
          <w:rFonts w:hint="eastAsia"/>
          <w:u w:val="single"/>
        </w:rPr>
        <w:t>其中县级文保单位4处</w:t>
      </w:r>
      <w:r>
        <w:rPr>
          <w:u w:val="single"/>
        </w:rPr>
        <w:t>。历史文化资源详见附表4</w:t>
      </w:r>
      <w:r>
        <w:rPr>
          <w:rFonts w:hint="eastAsia"/>
        </w:rPr>
        <w:t>。</w:t>
      </w:r>
    </w:p>
    <w:p>
      <w:pPr>
        <w:pStyle w:val="4"/>
        <w:spacing w:before="195" w:after="195"/>
      </w:pPr>
      <w:bookmarkStart w:id="79" w:name="_Hlk142923456"/>
      <w:r>
        <w:rPr>
          <w:rFonts w:hint="eastAsia"/>
        </w:rPr>
        <w:t>镇域历史文化保护规划</w:t>
      </w:r>
    </w:p>
    <w:bookmarkEnd w:id="79"/>
    <w:p>
      <w:pPr>
        <w:spacing w:before="65"/>
        <w:ind w:firstLine="640"/>
        <w:rPr>
          <w:rFonts w:hAnsi="Times New Roman"/>
          <w:u w:val="single"/>
          <w:lang w:bidi="ar"/>
        </w:rPr>
      </w:pPr>
      <w:r>
        <w:rPr>
          <w:rFonts w:hint="eastAsia" w:hAnsi="Times New Roman"/>
          <w:u w:val="single"/>
          <w:lang w:bidi="ar"/>
        </w:rPr>
        <w:t>文物保护单位的保护范围和建设控制地带应以县级以上人民政府公布的具体界线为基本依据。桃溪镇历史文化保护线结合镇域历史文化遗产保护范围和建设控制地带的划定情况，及时落实动态补划，纳入国土空间规划“一张图”进行管控。</w:t>
      </w:r>
    </w:p>
    <w:p>
      <w:pPr>
        <w:spacing w:before="65"/>
        <w:ind w:firstLine="640"/>
        <w:rPr>
          <w:rFonts w:hAnsi="Times New Roman"/>
          <w:u w:val="single"/>
          <w:lang w:bidi="ar"/>
        </w:rPr>
      </w:pPr>
      <w:r>
        <w:rPr>
          <w:rFonts w:hint="eastAsia" w:hAnsi="Times New Roman"/>
          <w:u w:val="single"/>
          <w:lang w:bidi="ar"/>
        </w:rPr>
        <w:t>在文物保护单位的保护范围和建设控制地带内，不得建设污染文物保护单位及其环境的设施，不得进行可能影响文物保护单位安全及其环境的活动。对已有的污染文物保护单位及其环境的设施，应当限期治理。</w:t>
      </w:r>
    </w:p>
    <w:p>
      <w:pPr>
        <w:spacing w:before="65"/>
        <w:ind w:firstLine="640"/>
      </w:pPr>
      <w:r>
        <w:rPr>
          <w:rFonts w:hint="eastAsia" w:hAnsi="Times New Roman"/>
          <w:u w:val="single"/>
          <w:lang w:bidi="ar"/>
        </w:rPr>
        <w:t>各级文物保护单位应严格按照《中华人民共和国文物保护法》的有关规定，以及文物主管部门公布的保护范围和建设控制地带严格保护</w:t>
      </w:r>
      <w:r>
        <w:rPr>
          <w:rFonts w:hint="eastAsia"/>
        </w:rPr>
        <w:t>。</w:t>
      </w:r>
    </w:p>
    <w:p>
      <w:pPr>
        <w:pStyle w:val="4"/>
        <w:spacing w:before="195" w:after="195"/>
      </w:pPr>
      <w:bookmarkStart w:id="80" w:name="_Hlk142923462"/>
      <w:r>
        <w:rPr>
          <w:rFonts w:hint="eastAsia"/>
        </w:rPr>
        <w:t>历史文化传承与活化利用</w:t>
      </w:r>
    </w:p>
    <w:bookmarkEnd w:id="80"/>
    <w:p>
      <w:pPr>
        <w:spacing w:before="65"/>
        <w:ind w:firstLine="640"/>
      </w:pPr>
      <w:r>
        <w:rPr>
          <w:rFonts w:hint="eastAsia"/>
        </w:rPr>
        <w:t>以桃庄河水利工程</w:t>
      </w:r>
      <w:r>
        <w:t>文化为核心，对现有文化资源进行深度整合，打造一批精品文化活动、文化节庆等。</w:t>
      </w:r>
      <w:r>
        <w:rPr>
          <w:rFonts w:hint="eastAsia"/>
        </w:rPr>
        <w:t>依托</w:t>
      </w:r>
      <w:r>
        <w:t>历史文化特色</w:t>
      </w:r>
      <w:r>
        <w:rPr>
          <w:rFonts w:hint="eastAsia"/>
        </w:rPr>
        <w:t>，</w:t>
      </w:r>
      <w:r>
        <w:t>深度挖掘历史文化资源，大力发展乡村旅游民宿、休闲、体验等特色产业，打造特色</w:t>
      </w:r>
      <w:r>
        <w:rPr>
          <w:rFonts w:hint="eastAsia"/>
        </w:rPr>
        <w:t>乡村</w:t>
      </w:r>
      <w:r>
        <w:t>旅游路线和品牌。</w:t>
      </w:r>
    </w:p>
    <w:p>
      <w:pPr>
        <w:spacing w:before="65"/>
        <w:ind w:firstLine="640"/>
      </w:pPr>
      <w:r>
        <w:rPr>
          <w:rFonts w:hint="eastAsia"/>
        </w:rPr>
        <w:t>加大历史文化资源的挖掘保护弘扬力度，保护桃庄河水利工程分布区域，保护不可移动文物本体及其所处的环境，根据文化旅游的需要，加强不可移动文物景观环境的塑造，提升历史文化及景观资源的综合价值。缝合文化资源碎片空间，建构文化展示体系，塑造富有魅力的文化空间节点</w:t>
      </w:r>
      <w:r>
        <w:t>。</w:t>
      </w:r>
    </w:p>
    <w:p>
      <w:pPr>
        <w:pStyle w:val="3"/>
      </w:pPr>
      <w:bookmarkStart w:id="81" w:name="_Hlk142923416"/>
      <w:r>
        <w:rPr>
          <w:rFonts w:hint="eastAsia"/>
        </w:rPr>
        <w:t>乡村景观风貌管控</w:t>
      </w:r>
    </w:p>
    <w:bookmarkEnd w:id="81"/>
    <w:p>
      <w:pPr>
        <w:pStyle w:val="4"/>
        <w:spacing w:before="195" w:after="195"/>
      </w:pPr>
      <w:bookmarkStart w:id="82" w:name="_Hlk142923561"/>
      <w:r>
        <w:rPr>
          <w:rFonts w:hint="eastAsia"/>
        </w:rPr>
        <w:t>乡村风貌总体定位</w:t>
      </w:r>
    </w:p>
    <w:bookmarkEnd w:id="82"/>
    <w:p>
      <w:pPr>
        <w:spacing w:before="65" w:after="120"/>
        <w:ind w:firstLine="640"/>
      </w:pPr>
      <w:r>
        <w:rPr>
          <w:rFonts w:hint="eastAsia"/>
        </w:rPr>
        <w:t>基于低山浅丘地形地貌、林田交织的自然山水格局风貌，面向新时代现代化的发展方向，突出山、水、林、田自然景观，打造具有丘陵缓坡特征的的现代田园小镇风貌。注重村庄布局和山水景观、农田景观的协调，避免破坏乡村原有的形态格局，充分体现乡村风光。</w:t>
      </w:r>
    </w:p>
    <w:p>
      <w:pPr>
        <w:pStyle w:val="4"/>
        <w:spacing w:before="195" w:after="195"/>
      </w:pPr>
      <w:bookmarkStart w:id="83" w:name="_Hlk142923566"/>
      <w:r>
        <w:rPr>
          <w:rFonts w:hint="eastAsia"/>
        </w:rPr>
        <w:t>乡村风貌总体框架</w:t>
      </w:r>
    </w:p>
    <w:bookmarkEnd w:id="83"/>
    <w:p>
      <w:pPr>
        <w:spacing w:before="65"/>
        <w:ind w:firstLine="640"/>
      </w:pPr>
      <w:r>
        <w:rPr>
          <w:rFonts w:hint="eastAsia"/>
        </w:rPr>
        <w:t>依托桃溪镇本底自然生态环境，结合文化景观资源，构建“一带两区多节点”的全域景观风貌系统。</w:t>
      </w:r>
    </w:p>
    <w:p>
      <w:pPr>
        <w:spacing w:before="65"/>
        <w:ind w:firstLine="640"/>
      </w:pPr>
      <w:r>
        <w:rPr>
          <w:rFonts w:hint="eastAsia"/>
        </w:rPr>
        <w:t>一带：沿S330形成的城镇风貌带；</w:t>
      </w:r>
    </w:p>
    <w:p>
      <w:pPr>
        <w:ind w:firstLine="640"/>
      </w:pPr>
      <w:r>
        <w:rPr>
          <w:rFonts w:hint="eastAsia"/>
        </w:rPr>
        <w:t>两区：中部缓坡田园景观风貌区、南、北部丘陵山地景观风貌区；中部缓坡田园景观风貌区以缓坡地形地貌为基础，采用生态性的材质、形态，保持与生态田园基底相协调的筑风格。南、北部丘陵山地景观风貌区以丘陵山地地形地貌为基础，采用生态性的材质、形态，保持与山地景观相吻合的建筑风格。</w:t>
      </w:r>
    </w:p>
    <w:p>
      <w:pPr>
        <w:ind w:firstLine="640"/>
      </w:pPr>
      <w:r>
        <w:rPr>
          <w:rFonts w:hint="eastAsia"/>
        </w:rPr>
        <w:t>多节点：由人文要素和自然要素组成的景观节点，如文化资源、寺河自然景观节点、城镇风貌节点等。</w:t>
      </w:r>
    </w:p>
    <w:p>
      <w:pPr>
        <w:pStyle w:val="4"/>
        <w:spacing w:before="195" w:after="195"/>
      </w:pPr>
      <w:bookmarkStart w:id="84" w:name="_Hlk142923571"/>
      <w:r>
        <w:rPr>
          <w:rFonts w:hint="eastAsia"/>
        </w:rPr>
        <w:t>乡村风貌分区引导</w:t>
      </w:r>
    </w:p>
    <w:p>
      <w:pPr>
        <w:spacing w:before="65"/>
        <w:ind w:firstLine="640"/>
      </w:pPr>
      <w:r>
        <w:rPr>
          <w:rFonts w:hint="eastAsia"/>
        </w:rPr>
        <w:t>结合人文要素和生态要素，划定南、北部山区和镇区为景观风貌重点管控区。</w:t>
      </w:r>
    </w:p>
    <w:p>
      <w:pPr>
        <w:spacing w:before="65"/>
        <w:ind w:firstLine="640"/>
      </w:pPr>
      <w:r>
        <w:rPr>
          <w:rFonts w:hint="eastAsia"/>
        </w:rPr>
        <w:t>南、北部山区建筑风格以保留现有当地民居风格为基础，选用当地石材，建筑高度以两层为主，保持村庄现有肌理和整体格局，保持山体、河流自然景观的和谐统一。</w:t>
      </w:r>
    </w:p>
    <w:p>
      <w:pPr>
        <w:spacing w:before="65"/>
        <w:ind w:firstLine="640"/>
      </w:pPr>
      <w:r>
        <w:rPr>
          <w:rFonts w:hint="eastAsia"/>
        </w:rPr>
        <w:t>镇区建筑风格以现代建筑风格为主，探索地方特色，形成现代活力的滨水宜居小城镇</w:t>
      </w:r>
      <w:r>
        <w:t>。</w:t>
      </w:r>
    </w:p>
    <w:bookmarkEnd w:id="84"/>
    <w:p>
      <w:pPr>
        <w:pStyle w:val="4"/>
        <w:spacing w:before="195" w:after="195"/>
      </w:pPr>
      <w:r>
        <w:rPr>
          <w:rFonts w:hint="eastAsia"/>
        </w:rPr>
        <w:t>乡村特色风貌引导</w:t>
      </w:r>
    </w:p>
    <w:p>
      <w:pPr>
        <w:pStyle w:val="5"/>
        <w:numPr>
          <w:ilvl w:val="3"/>
          <w:numId w:val="4"/>
        </w:numPr>
        <w:spacing w:before="97" w:after="97"/>
        <w:ind w:firstLine="640"/>
      </w:pPr>
      <w:r>
        <w:rPr>
          <w:rFonts w:hint="eastAsia"/>
        </w:rPr>
        <w:t>生态环境要素管控</w:t>
      </w:r>
    </w:p>
    <w:p>
      <w:pPr>
        <w:spacing w:before="65"/>
        <w:ind w:firstLine="640"/>
      </w:pPr>
      <w:r>
        <w:rPr>
          <w:rFonts w:hint="eastAsia"/>
        </w:rPr>
        <w:t>整体地域特征为低山浅丘，地形高低起伏，农田、林地景观资源丰富，有洹河流经，村庄居民点呈现“大分散小集聚”的布局形态，居民点建设与自然环境关系紧密。</w:t>
      </w:r>
    </w:p>
    <w:p>
      <w:pPr>
        <w:spacing w:before="65"/>
        <w:ind w:firstLine="640"/>
      </w:pPr>
      <w:r>
        <w:rPr>
          <w:rFonts w:hint="eastAsia"/>
        </w:rPr>
        <w:t>总体建设遵循“顺应肌理、协调自然、景村一体、和谐共融”方式。禁止在村庄建设中破坏山体、水体、肆意侵占永久基本农田等行为，居民点建设应顺应自然环境进行布局，采用“宜聚则聚、宜散则散”的方式进行建设。</w:t>
      </w:r>
    </w:p>
    <w:p>
      <w:pPr>
        <w:pStyle w:val="5"/>
        <w:numPr>
          <w:ilvl w:val="3"/>
          <w:numId w:val="4"/>
        </w:numPr>
        <w:spacing w:before="97" w:after="97"/>
        <w:ind w:firstLine="640"/>
      </w:pPr>
      <w:r>
        <w:rPr>
          <w:rFonts w:hint="eastAsia"/>
        </w:rPr>
        <w:t>村庄公共空间风貌引导</w:t>
      </w:r>
    </w:p>
    <w:p>
      <w:pPr>
        <w:spacing w:before="65"/>
        <w:ind w:firstLine="640"/>
      </w:pPr>
      <w:r>
        <w:rPr>
          <w:rFonts w:hint="eastAsia"/>
        </w:rPr>
        <w:t>采用增加村民健身设施、休息座椅、廊架、植物造景等方式，强化公共活动场地的功能复合性，并增加公共空间绿化。</w:t>
      </w:r>
    </w:p>
    <w:p>
      <w:pPr>
        <w:spacing w:before="65"/>
        <w:ind w:firstLine="640"/>
      </w:pPr>
      <w:r>
        <w:rPr>
          <w:rFonts w:hint="eastAsia"/>
        </w:rPr>
        <w:t>村庄广场可结合村庄空置地整理，增加公共活动空间，配备相应的休憩、娱乐设施，采用当地植物进行绿化美化。村庄道路两侧可采用灌木、乔木相结合的方式，种植本土树木花卉，形成乡土气息浓厚的路边绿化景观。</w:t>
      </w:r>
    </w:p>
    <w:p>
      <w:pPr>
        <w:pStyle w:val="5"/>
        <w:numPr>
          <w:ilvl w:val="3"/>
          <w:numId w:val="4"/>
        </w:numPr>
        <w:spacing w:before="97" w:after="97"/>
        <w:ind w:firstLine="640"/>
      </w:pPr>
      <w:r>
        <w:rPr>
          <w:rFonts w:hint="eastAsia"/>
        </w:rPr>
        <w:t>村庄公用设施风貌引导</w:t>
      </w:r>
    </w:p>
    <w:p>
      <w:pPr>
        <w:spacing w:before="65"/>
        <w:ind w:firstLine="640"/>
      </w:pPr>
      <w:r>
        <w:rPr>
          <w:rFonts w:hint="eastAsia"/>
        </w:rPr>
        <w:t>以“整洁有序、原生乡土、舒适适宜、经济实用”的方式进行建设，与当地建筑风貌相协调，尽可能实用当地建筑材料。</w:t>
      </w:r>
    </w:p>
    <w:p>
      <w:pPr>
        <w:spacing w:before="65"/>
        <w:ind w:firstLine="640"/>
      </w:pPr>
      <w:r>
        <w:rPr>
          <w:rFonts w:hint="eastAsia"/>
        </w:rPr>
        <w:t>推进垃圾分类和资源化利用。积极开展农村生活垃圾分类试点，推进垃圾减量化、收集分类化和处理资源。按照群众接受、经济适用、维护方便、不污染公共水体的要求，引导老村改建民宿配套建设无害化卫生厕所，人口规模较大村庄配套建设公共厕所。加强改厕与农村生活污水治理的有效衔接。创造层次分明的标识系统，提供明确的信息导向。</w:t>
      </w:r>
    </w:p>
    <w:p>
      <w:pPr>
        <w:pStyle w:val="5"/>
        <w:numPr>
          <w:ilvl w:val="3"/>
          <w:numId w:val="4"/>
        </w:numPr>
        <w:spacing w:before="97" w:after="97"/>
        <w:ind w:firstLine="640"/>
      </w:pPr>
      <w:r>
        <w:rPr>
          <w:rFonts w:hint="eastAsia"/>
        </w:rPr>
        <w:t>村庄民居建筑风貌引导</w:t>
      </w:r>
    </w:p>
    <w:p>
      <w:pPr>
        <w:spacing w:before="65"/>
        <w:ind w:firstLine="640"/>
      </w:pPr>
      <w:r>
        <w:rPr>
          <w:rFonts w:hint="eastAsia"/>
        </w:rPr>
        <w:t>结合村民房屋改造，拆除违章建筑，对沿路建筑立面进行修整，既保持统一协调的立面效果，又注重体现乡土特征、地域特色和传统风貌。</w:t>
      </w:r>
    </w:p>
    <w:p>
      <w:pPr>
        <w:spacing w:before="65"/>
        <w:ind w:firstLine="640"/>
      </w:pPr>
      <w:r>
        <w:rPr>
          <w:rFonts w:hint="eastAsia"/>
        </w:rPr>
        <w:t>建筑形式主要采用“悬山坡顶</w:t>
      </w:r>
      <w:r>
        <w:t>+合院”；建筑以背景色为主体色调，部分建筑构件可以选用少量点缀色，沿国道村庄建筑多采用红墙红瓦，其他村庄以白墙红瓦为主；建筑材质优选土、木、砖、瓦、石等传统乡土材料、废弃再利用材料；居住建筑立面风格延续传统建筑形式，适当融入现代建筑元素，塑造独具地域特色的建筑文化景观。建筑单体外立面及屋顶附加装饰物、构筑物，包括招牌、灯箱、建筑节能装备等的外形、尺度、色彩、位置应当与主体建筑的规划设计协调统一。通过对整体天际轮廓线的塑造，与山区山脊线遥相呼应</w:t>
      </w:r>
      <w:r>
        <w:rPr>
          <w:rFonts w:hint="eastAsia"/>
        </w:rPr>
        <w:t>。</w:t>
      </w:r>
    </w:p>
    <w:p>
      <w:pPr>
        <w:spacing w:before="65"/>
        <w:ind w:firstLine="640"/>
      </w:pPr>
      <w:r>
        <w:br w:type="page"/>
      </w:r>
    </w:p>
    <w:p>
      <w:pPr>
        <w:spacing w:before="65"/>
        <w:ind w:firstLine="640"/>
      </w:pPr>
      <w:bookmarkStart w:id="85" w:name="_Hlk150184672"/>
    </w:p>
    <w:bookmarkEnd w:id="60"/>
    <w:bookmarkEnd w:id="61"/>
    <w:bookmarkEnd w:id="85"/>
    <w:p>
      <w:pPr>
        <w:pStyle w:val="2"/>
        <w:spacing w:before="489" w:after="489"/>
      </w:pPr>
      <w:bookmarkStart w:id="86" w:name="_Toc23050"/>
      <w:bookmarkEnd w:id="86"/>
      <w:bookmarkStart w:id="87" w:name="_Toc122362359"/>
      <w:bookmarkEnd w:id="87"/>
      <w:bookmarkStart w:id="88" w:name="_Toc122364769"/>
      <w:bookmarkEnd w:id="88"/>
      <w:bookmarkStart w:id="89" w:name="_Toc206777521"/>
      <w:r>
        <w:rPr>
          <w:rFonts w:hint="eastAsia"/>
        </w:rPr>
        <w:t>乡镇政府驻地规划</w:t>
      </w:r>
      <w:bookmarkEnd w:id="89"/>
    </w:p>
    <w:p>
      <w:pPr>
        <w:pStyle w:val="3"/>
      </w:pPr>
      <w:r>
        <w:rPr>
          <w:rFonts w:hint="eastAsia"/>
        </w:rPr>
        <w:t>发展规模</w:t>
      </w:r>
    </w:p>
    <w:p>
      <w:pPr>
        <w:pStyle w:val="4"/>
        <w:spacing w:before="195" w:after="195"/>
      </w:pPr>
      <w:r>
        <w:rPr>
          <w:rFonts w:hint="eastAsia"/>
        </w:rPr>
        <w:t>发展规模</w:t>
      </w:r>
    </w:p>
    <w:p>
      <w:pPr>
        <w:pStyle w:val="5"/>
        <w:ind w:firstLine="640"/>
      </w:pPr>
      <w:r>
        <w:rPr>
          <w:rFonts w:hint="eastAsia"/>
        </w:rPr>
        <w:t>人口规模</w:t>
      </w:r>
    </w:p>
    <w:p>
      <w:pPr>
        <w:spacing w:before="65"/>
        <w:ind w:firstLine="640"/>
      </w:pPr>
      <w:r>
        <w:rPr>
          <w:rFonts w:hint="eastAsia"/>
        </w:rPr>
        <w:t>规划镇区人口规模为0.63万人。</w:t>
      </w:r>
    </w:p>
    <w:p>
      <w:pPr>
        <w:pStyle w:val="5"/>
        <w:ind w:firstLine="640"/>
      </w:pPr>
      <w:r>
        <w:rPr>
          <w:rFonts w:hint="eastAsia"/>
        </w:rPr>
        <w:t>城镇建设用地规模</w:t>
      </w:r>
    </w:p>
    <w:p>
      <w:pPr>
        <w:spacing w:before="65"/>
        <w:ind w:firstLine="640"/>
      </w:pPr>
      <w:r>
        <w:rPr>
          <w:rFonts w:hint="eastAsia"/>
        </w:rPr>
        <w:t>镇区城镇开发边界规模为59.99</w:t>
      </w:r>
      <w:r>
        <w:t>公顷。</w:t>
      </w:r>
    </w:p>
    <w:p>
      <w:pPr>
        <w:pStyle w:val="3"/>
      </w:pPr>
      <w:r>
        <w:rPr>
          <w:rFonts w:hint="eastAsia"/>
        </w:rPr>
        <w:t>用地布局</w:t>
      </w:r>
    </w:p>
    <w:p>
      <w:pPr>
        <w:pStyle w:val="4"/>
        <w:spacing w:before="195" w:after="195"/>
      </w:pPr>
      <w:r>
        <w:rPr>
          <w:rFonts w:hint="eastAsia"/>
        </w:rPr>
        <w:t>规划</w:t>
      </w:r>
      <w:bookmarkStart w:id="90" w:name="_Hlk167089361"/>
      <w:r>
        <w:rPr>
          <w:rFonts w:hint="eastAsia"/>
        </w:rPr>
        <w:t>空间结构</w:t>
      </w:r>
      <w:bookmarkEnd w:id="90"/>
    </w:p>
    <w:p>
      <w:pPr>
        <w:spacing w:before="65"/>
        <w:ind w:firstLine="640"/>
      </w:pPr>
      <w:r>
        <w:rPr>
          <w:rFonts w:hint="eastAsia"/>
        </w:rPr>
        <w:t>根据桃溪镇现状城镇布局特征和城镇发展方向，规划建设形成“一轴一心、三带五区”的空间结构。</w:t>
      </w:r>
    </w:p>
    <w:p>
      <w:pPr>
        <w:spacing w:before="65"/>
        <w:ind w:firstLine="640"/>
      </w:pPr>
      <w:r>
        <w:rPr>
          <w:rFonts w:hint="eastAsia"/>
        </w:rPr>
        <w:t>一轴：沿省道330东西向发展轴。</w:t>
      </w:r>
    </w:p>
    <w:p>
      <w:pPr>
        <w:spacing w:before="65"/>
        <w:ind w:firstLine="640"/>
      </w:pPr>
      <w:r>
        <w:rPr>
          <w:rFonts w:hint="eastAsia"/>
        </w:rPr>
        <w:t>一心：结合镇区公共服务设施形成公共服务中心。</w:t>
      </w:r>
    </w:p>
    <w:p>
      <w:pPr>
        <w:spacing w:before="65" w:after="120"/>
        <w:ind w:firstLine="640"/>
      </w:pPr>
      <w:r>
        <w:rPr>
          <w:rFonts w:hint="eastAsia"/>
        </w:rPr>
        <w:t>三带：主要围绕桃溪路、团结路、文化路三条道路形成城镇景观带，串联镇区各个片区。</w:t>
      </w:r>
    </w:p>
    <w:p>
      <w:pPr>
        <w:spacing w:before="65" w:after="120"/>
        <w:ind w:firstLine="640"/>
      </w:pPr>
      <w:r>
        <w:rPr>
          <w:rFonts w:hint="eastAsia"/>
        </w:rPr>
        <w:t>五区：分别为1个综合服务片区、3个宜居生活片区和1个产业片区。</w:t>
      </w:r>
    </w:p>
    <w:p>
      <w:pPr>
        <w:pStyle w:val="4"/>
        <w:spacing w:before="195" w:after="195"/>
      </w:pPr>
      <w:r>
        <w:rPr>
          <w:rFonts w:hint="eastAsia"/>
        </w:rPr>
        <w:t>用地布局</w:t>
      </w:r>
    </w:p>
    <w:p>
      <w:pPr>
        <w:spacing w:before="65"/>
        <w:ind w:firstLine="640"/>
      </w:pPr>
      <w:r>
        <w:rPr>
          <w:rFonts w:hint="eastAsia"/>
        </w:rPr>
        <w:t>优化镇区用地结构，完善用地功能布局。推进镇区空间高质量发展，科学配置公共资源，统筹安排镇区建设、产业发展、基础设施和公共服务，优化完善镇区功能。</w:t>
      </w:r>
    </w:p>
    <w:p>
      <w:pPr>
        <w:spacing w:before="65"/>
        <w:ind w:firstLine="640"/>
      </w:pPr>
      <w:r>
        <w:rPr>
          <w:rFonts w:hint="eastAsia"/>
        </w:rPr>
        <w:t>合理配置居住用地。统筹居住用地供给和人口发展，适度增加城镇居住用地供给。规划镇区居住用地规模为27.66公顷，占规划用地的46.11%</w:t>
      </w:r>
      <w:r>
        <w:t>。</w:t>
      </w:r>
    </w:p>
    <w:p>
      <w:pPr>
        <w:spacing w:before="65"/>
        <w:ind w:firstLine="640"/>
      </w:pPr>
      <w:r>
        <w:rPr>
          <w:rFonts w:hint="eastAsia"/>
        </w:rPr>
        <w:t>统筹公共管理与服务设施用地。提升公共服务能力，促进公共资源相对集中布局，补充完善镇区公共服务设施。规划镇区公共服务设施用地规模为</w:t>
      </w:r>
      <w:bookmarkStart w:id="91" w:name="_Hlk206748860"/>
      <w:r>
        <w:rPr>
          <w:rFonts w:hint="eastAsia"/>
        </w:rPr>
        <w:t>8.24公顷，占规划用地的13.73%</w:t>
      </w:r>
      <w:bookmarkEnd w:id="91"/>
      <w:r>
        <w:t>。</w:t>
      </w:r>
    </w:p>
    <w:p>
      <w:pPr>
        <w:spacing w:before="65"/>
        <w:ind w:firstLine="640"/>
      </w:pPr>
      <w:bookmarkStart w:id="92" w:name="_Hlk179988690"/>
      <w:r>
        <w:rPr>
          <w:rFonts w:hint="eastAsia"/>
        </w:rPr>
        <w:t>合理安排商业服务业用地。促进商业高品质发展，提升镇区活力。规划镇区商业服务业用地规模为2.66公顷，占规划用地的4.44%</w:t>
      </w:r>
      <w:r>
        <w:t>。</w:t>
      </w:r>
    </w:p>
    <w:bookmarkEnd w:id="92"/>
    <w:p>
      <w:pPr>
        <w:spacing w:before="65"/>
        <w:ind w:firstLine="640"/>
      </w:pPr>
      <w:r>
        <w:rPr>
          <w:rFonts w:hint="eastAsia"/>
        </w:rPr>
        <w:t>规划镇区工业用地规模为6.99公顷，占规划用地的11.66%。</w:t>
      </w:r>
    </w:p>
    <w:p>
      <w:pPr>
        <w:ind w:firstLine="640"/>
      </w:pPr>
      <w:r>
        <w:rPr>
          <w:rFonts w:hint="eastAsia"/>
        </w:rPr>
        <w:t>规划镇区物流仓储用地规模为0.45公顷，占规划用地的0.76%。</w:t>
      </w:r>
    </w:p>
    <w:p>
      <w:pPr>
        <w:ind w:firstLine="640"/>
      </w:pPr>
      <w:r>
        <w:rPr>
          <w:rFonts w:hint="eastAsia"/>
        </w:rPr>
        <w:t>规划交通运输用地规模为6.60公顷，占规划用地的11.01%。</w:t>
      </w:r>
    </w:p>
    <w:p>
      <w:pPr>
        <w:ind w:firstLine="640"/>
      </w:pPr>
      <w:r>
        <w:rPr>
          <w:rFonts w:hint="eastAsia"/>
        </w:rPr>
        <w:t>规划公用设施用地规模为0.34公顷，占规划用地的0.57%。</w:t>
      </w:r>
    </w:p>
    <w:p>
      <w:pPr>
        <w:ind w:firstLine="640"/>
      </w:pPr>
      <w:r>
        <w:rPr>
          <w:rFonts w:hint="eastAsia"/>
        </w:rPr>
        <w:t>规划绿地与开敞空间用地规模为5.84公顷</w:t>
      </w:r>
      <w:r>
        <w:t>，占规划用地的</w:t>
      </w:r>
      <w:r>
        <w:rPr>
          <w:rFonts w:hint="eastAsia"/>
        </w:rPr>
        <w:t>9.73%</w:t>
      </w:r>
      <w:r>
        <w:t>。</w:t>
      </w:r>
    </w:p>
    <w:p>
      <w:pPr>
        <w:ind w:firstLine="640"/>
      </w:pPr>
      <w:bookmarkStart w:id="93" w:name="_Hlk179988729"/>
      <w:r>
        <w:rPr>
          <w:rFonts w:hint="eastAsia"/>
        </w:rPr>
        <w:t>规划陆地水域规模为1.20</w:t>
      </w:r>
      <w:r>
        <w:t>公顷，占规划用地的</w:t>
      </w:r>
      <w:r>
        <w:rPr>
          <w:rFonts w:hint="eastAsia"/>
        </w:rPr>
        <w:t>1.99</w:t>
      </w:r>
      <w:r>
        <w:t>%</w:t>
      </w:r>
      <w:r>
        <w:rPr>
          <w:rFonts w:hint="eastAsia"/>
        </w:rPr>
        <w:t>。</w:t>
      </w:r>
    </w:p>
    <w:bookmarkEnd w:id="93"/>
    <w:p>
      <w:pPr>
        <w:pStyle w:val="3"/>
      </w:pPr>
      <w:r>
        <w:t>公共服务设施</w:t>
      </w:r>
      <w:r>
        <w:rPr>
          <w:rFonts w:hint="eastAsia"/>
        </w:rPr>
        <w:t>规划</w:t>
      </w:r>
    </w:p>
    <w:p>
      <w:pPr>
        <w:pStyle w:val="4"/>
        <w:spacing w:before="195" w:after="195"/>
      </w:pPr>
      <w:r>
        <w:t>公共管理与公共服务设施</w:t>
      </w:r>
    </w:p>
    <w:p>
      <w:pPr>
        <w:spacing w:before="65"/>
        <w:ind w:firstLine="640"/>
      </w:pPr>
      <w:r>
        <w:rPr>
          <w:rFonts w:hint="eastAsia"/>
          <w:lang w:bidi="ar"/>
        </w:rPr>
        <w:t>规划镇区公共服务设施用地规模为8.24</w:t>
      </w:r>
      <w:r>
        <w:rPr>
          <w:lang w:bidi="ar"/>
        </w:rPr>
        <w:t>公顷，占镇区建设用地面积的</w:t>
      </w:r>
      <w:r>
        <w:rPr>
          <w:rFonts w:hint="eastAsia"/>
          <w:lang w:bidi="ar"/>
        </w:rPr>
        <w:t>13.73</w:t>
      </w:r>
      <w:r>
        <w:rPr>
          <w:lang w:bidi="ar"/>
        </w:rPr>
        <w:t>%</w:t>
      </w:r>
      <w:r>
        <w:rPr>
          <w:rFonts w:hint="eastAsia"/>
        </w:rPr>
        <w:t>。</w:t>
      </w:r>
    </w:p>
    <w:p>
      <w:pPr>
        <w:pStyle w:val="5"/>
        <w:ind w:firstLine="640"/>
      </w:pPr>
      <w:r>
        <w:rPr>
          <w:rFonts w:hint="eastAsia"/>
        </w:rPr>
        <w:t>机关团体设施</w:t>
      </w:r>
    </w:p>
    <w:p>
      <w:pPr>
        <w:spacing w:before="48"/>
        <w:ind w:firstLine="640"/>
      </w:pPr>
      <w:r>
        <w:rPr>
          <w:rFonts w:hint="eastAsia"/>
          <w:lang w:bidi="ar"/>
        </w:rPr>
        <w:t>规划机关团体用地主要为镇政府、派出所、财政所等，用地面积为</w:t>
      </w:r>
      <w:r>
        <w:rPr>
          <w:lang w:bidi="ar"/>
        </w:rPr>
        <w:t>2.</w:t>
      </w:r>
      <w:r>
        <w:rPr>
          <w:rFonts w:hint="eastAsia"/>
          <w:lang w:bidi="ar"/>
        </w:rPr>
        <w:t>02</w:t>
      </w:r>
      <w:r>
        <w:rPr>
          <w:lang w:bidi="ar"/>
        </w:rPr>
        <w:t>公顷，占镇区建设用地面积的3.</w:t>
      </w:r>
      <w:r>
        <w:rPr>
          <w:rFonts w:hint="eastAsia"/>
          <w:lang w:bidi="ar"/>
        </w:rPr>
        <w:t>36</w:t>
      </w:r>
      <w:r>
        <w:rPr>
          <w:lang w:bidi="ar"/>
        </w:rPr>
        <w:t>%</w:t>
      </w:r>
      <w:r>
        <w:rPr>
          <w:rFonts w:hint="eastAsia"/>
        </w:rPr>
        <w:t>。</w:t>
      </w:r>
    </w:p>
    <w:p>
      <w:pPr>
        <w:pStyle w:val="5"/>
        <w:ind w:firstLine="640"/>
      </w:pPr>
      <w:r>
        <w:rPr>
          <w:rFonts w:hint="eastAsia"/>
        </w:rPr>
        <w:t>文化设施</w:t>
      </w:r>
    </w:p>
    <w:p>
      <w:pPr>
        <w:spacing w:before="48"/>
        <w:ind w:firstLine="640"/>
      </w:pPr>
      <w:r>
        <w:rPr>
          <w:rFonts w:hint="eastAsia"/>
          <w:lang w:bidi="ar"/>
        </w:rPr>
        <w:t>规划镇区文化中心，用地面积为</w:t>
      </w:r>
      <w:r>
        <w:rPr>
          <w:lang w:bidi="ar"/>
        </w:rPr>
        <w:t>0.</w:t>
      </w:r>
      <w:r>
        <w:rPr>
          <w:rFonts w:hint="eastAsia"/>
          <w:lang w:bidi="ar"/>
        </w:rPr>
        <w:t>35</w:t>
      </w:r>
      <w:r>
        <w:rPr>
          <w:lang w:bidi="ar"/>
        </w:rPr>
        <w:t>公顷，占镇区建设用地面积的0.</w:t>
      </w:r>
      <w:r>
        <w:rPr>
          <w:rFonts w:hint="eastAsia"/>
          <w:lang w:bidi="ar"/>
        </w:rPr>
        <w:t>59</w:t>
      </w:r>
      <w:r>
        <w:rPr>
          <w:lang w:bidi="ar"/>
        </w:rPr>
        <w:t>%；人均文化设施用地面积为0.</w:t>
      </w:r>
      <w:r>
        <w:rPr>
          <w:rFonts w:hint="eastAsia"/>
          <w:lang w:bidi="ar"/>
        </w:rPr>
        <w:t>56</w:t>
      </w:r>
      <w:r>
        <w:rPr>
          <w:lang w:bidi="ar"/>
        </w:rPr>
        <w:t>平方米</w:t>
      </w:r>
      <w:r>
        <w:rPr>
          <w:rFonts w:hint="eastAsia"/>
        </w:rPr>
        <w:t>。</w:t>
      </w:r>
    </w:p>
    <w:p>
      <w:pPr>
        <w:pStyle w:val="5"/>
        <w:ind w:firstLine="640"/>
      </w:pPr>
      <w:r>
        <w:t>体育</w:t>
      </w:r>
      <w:r>
        <w:rPr>
          <w:rFonts w:hint="eastAsia"/>
        </w:rPr>
        <w:t>设施</w:t>
      </w:r>
    </w:p>
    <w:p>
      <w:pPr>
        <w:spacing w:before="48"/>
        <w:ind w:firstLine="640"/>
      </w:pPr>
      <w:r>
        <w:rPr>
          <w:rFonts w:hint="eastAsia"/>
        </w:rPr>
        <w:t>在镇区西部新建一处体育用地，为全镇的体育中心，用地面积为</w:t>
      </w:r>
      <w:r>
        <w:t>0.</w:t>
      </w:r>
      <w:r>
        <w:rPr>
          <w:rFonts w:hint="eastAsia"/>
        </w:rPr>
        <w:t>49</w:t>
      </w:r>
      <w:r>
        <w:t>公顷，占镇区建设用地面积的0.</w:t>
      </w:r>
      <w:r>
        <w:rPr>
          <w:rFonts w:hint="eastAsia"/>
        </w:rPr>
        <w:t>82</w:t>
      </w:r>
      <w:r>
        <w:t>%，满足全镇大型体育活动需求，人均体育设施用地面积为</w:t>
      </w:r>
      <w:r>
        <w:rPr>
          <w:rFonts w:hint="eastAsia"/>
        </w:rPr>
        <w:t>0.79</w:t>
      </w:r>
      <w:r>
        <w:t>平方米。</w:t>
      </w:r>
    </w:p>
    <w:p>
      <w:pPr>
        <w:pStyle w:val="5"/>
        <w:ind w:firstLine="640"/>
      </w:pPr>
      <w:r>
        <w:rPr>
          <w:rFonts w:hint="eastAsia"/>
        </w:rPr>
        <w:t>教育设施</w:t>
      </w:r>
    </w:p>
    <w:p>
      <w:pPr>
        <w:spacing w:before="48"/>
        <w:ind w:firstLine="640"/>
        <w:rPr>
          <w:lang w:bidi="ar"/>
        </w:rPr>
      </w:pPr>
      <w:r>
        <w:rPr>
          <w:rFonts w:hint="eastAsia"/>
          <w:lang w:bidi="ar"/>
        </w:rPr>
        <w:t>规划教育用地主要为保留现状桃溪镇初中、中心小学，在老集镇区规划新增1处幼儿园，满足镇区需求；用地面积为4.51</w:t>
      </w:r>
      <w:r>
        <w:rPr>
          <w:lang w:bidi="ar"/>
        </w:rPr>
        <w:t>公顷，占镇区建设用地面积的</w:t>
      </w:r>
      <w:r>
        <w:rPr>
          <w:rFonts w:hint="eastAsia"/>
          <w:lang w:bidi="ar"/>
        </w:rPr>
        <w:t>7.51</w:t>
      </w:r>
      <w:r>
        <w:rPr>
          <w:lang w:bidi="ar"/>
        </w:rPr>
        <w:t>%，人均教育用地面积</w:t>
      </w:r>
      <w:r>
        <w:rPr>
          <w:rFonts w:hint="eastAsia"/>
          <w:lang w:bidi="ar"/>
        </w:rPr>
        <w:t>7.18</w:t>
      </w:r>
      <w:r>
        <w:rPr>
          <w:lang w:bidi="ar"/>
        </w:rPr>
        <w:t>平方米。</w:t>
      </w:r>
    </w:p>
    <w:p>
      <w:pPr>
        <w:pStyle w:val="5"/>
        <w:ind w:firstLine="640"/>
      </w:pPr>
      <w:r>
        <w:rPr>
          <w:rFonts w:hint="eastAsia"/>
        </w:rPr>
        <w:t>医疗卫生设施</w:t>
      </w:r>
    </w:p>
    <w:p>
      <w:pPr>
        <w:spacing w:before="48"/>
        <w:ind w:firstLine="640"/>
        <w:rPr>
          <w:lang w:bidi="ar"/>
        </w:rPr>
      </w:pPr>
      <w:r>
        <w:rPr>
          <w:rFonts w:hint="eastAsia"/>
          <w:lang w:bidi="ar"/>
        </w:rPr>
        <w:t>规划医疗卫生用地主要为镇区南侧的现状卫生院，用地面积为</w:t>
      </w:r>
      <w:r>
        <w:rPr>
          <w:lang w:bidi="ar"/>
        </w:rPr>
        <w:t>0.</w:t>
      </w:r>
      <w:r>
        <w:rPr>
          <w:rFonts w:hint="eastAsia"/>
          <w:lang w:bidi="ar"/>
        </w:rPr>
        <w:t>52</w:t>
      </w:r>
      <w:r>
        <w:rPr>
          <w:lang w:bidi="ar"/>
        </w:rPr>
        <w:t>公顷，占镇区建设用地面积的0.</w:t>
      </w:r>
      <w:r>
        <w:rPr>
          <w:rFonts w:hint="eastAsia"/>
          <w:lang w:bidi="ar"/>
        </w:rPr>
        <w:t>86</w:t>
      </w:r>
      <w:r>
        <w:rPr>
          <w:lang w:bidi="ar"/>
        </w:rPr>
        <w:t>%，人均医疗卫生用地面积0.</w:t>
      </w:r>
      <w:r>
        <w:rPr>
          <w:rFonts w:hint="eastAsia"/>
          <w:lang w:bidi="ar"/>
        </w:rPr>
        <w:t>83</w:t>
      </w:r>
      <w:r>
        <w:rPr>
          <w:lang w:bidi="ar"/>
        </w:rPr>
        <w:t>平方米。</w:t>
      </w:r>
    </w:p>
    <w:p>
      <w:pPr>
        <w:spacing w:before="48"/>
        <w:ind w:firstLine="640"/>
      </w:pPr>
      <w:r>
        <w:rPr>
          <w:rFonts w:hint="eastAsia"/>
          <w:lang w:bidi="ar"/>
        </w:rPr>
        <w:t>各社区按照相关标准配建社区医疗卫生服务站，按照相关标准配置社区卫生服务站等医疗卫生设施，方便社区居民的日常使用</w:t>
      </w:r>
      <w:r>
        <w:rPr>
          <w:lang w:bidi="ar"/>
        </w:rPr>
        <w:t>。</w:t>
      </w:r>
    </w:p>
    <w:p>
      <w:pPr>
        <w:pStyle w:val="5"/>
        <w:ind w:firstLine="640"/>
      </w:pPr>
      <w:r>
        <w:rPr>
          <w:rFonts w:hint="eastAsia"/>
        </w:rPr>
        <w:t>社会福利设施</w:t>
      </w:r>
    </w:p>
    <w:p>
      <w:pPr>
        <w:spacing w:before="48"/>
        <w:ind w:firstLine="640"/>
        <w:rPr>
          <w:lang w:bidi="ar"/>
        </w:rPr>
      </w:pPr>
      <w:r>
        <w:rPr>
          <w:rFonts w:hint="eastAsia"/>
          <w:lang w:bidi="ar"/>
        </w:rPr>
        <w:t>规划社会福利用地主要为镇区南侧的现状</w:t>
      </w:r>
      <w:r>
        <w:rPr>
          <w:lang w:bidi="ar"/>
        </w:rPr>
        <w:t>敬老院，用地面积为0.</w:t>
      </w:r>
      <w:r>
        <w:rPr>
          <w:rFonts w:hint="eastAsia"/>
          <w:lang w:bidi="ar"/>
        </w:rPr>
        <w:t>35</w:t>
      </w:r>
      <w:r>
        <w:rPr>
          <w:lang w:bidi="ar"/>
        </w:rPr>
        <w:t>公顷，占镇区建设用地面积的0.</w:t>
      </w:r>
      <w:r>
        <w:rPr>
          <w:rFonts w:hint="eastAsia"/>
          <w:lang w:bidi="ar"/>
        </w:rPr>
        <w:t>58</w:t>
      </w:r>
      <w:r>
        <w:rPr>
          <w:lang w:bidi="ar"/>
        </w:rPr>
        <w:t>%，人均社会福利用地面积0.</w:t>
      </w:r>
      <w:r>
        <w:rPr>
          <w:rFonts w:hint="eastAsia"/>
          <w:lang w:bidi="ar"/>
        </w:rPr>
        <w:t>5</w:t>
      </w:r>
      <w:r>
        <w:rPr>
          <w:lang w:bidi="ar"/>
        </w:rPr>
        <w:t>5平方米。</w:t>
      </w:r>
    </w:p>
    <w:p>
      <w:pPr>
        <w:spacing w:before="65"/>
        <w:ind w:firstLine="640"/>
        <w:rPr>
          <w:lang w:bidi="ar"/>
        </w:rPr>
      </w:pPr>
      <w:r>
        <w:rPr>
          <w:rFonts w:hint="eastAsia"/>
          <w:lang w:bidi="ar"/>
        </w:rPr>
        <w:t>结合社区建设适当建设专业化的养老护理机构，在有条件的基层社区建设托老所、老年活动室等老年活动设施。</w:t>
      </w:r>
    </w:p>
    <w:p>
      <w:pPr>
        <w:pStyle w:val="3"/>
      </w:pPr>
      <w:r>
        <w:rPr>
          <w:rFonts w:hint="eastAsia"/>
        </w:rPr>
        <w:t>住房建设与引导</w:t>
      </w:r>
    </w:p>
    <w:p>
      <w:pPr>
        <w:pStyle w:val="4"/>
        <w:spacing w:before="195" w:after="195"/>
      </w:pPr>
      <w:bookmarkStart w:id="94" w:name="_Hlk142925025"/>
      <w:r>
        <w:rPr>
          <w:rFonts w:hint="eastAsia"/>
        </w:rPr>
        <w:t>居住用地规划</w:t>
      </w:r>
    </w:p>
    <w:bookmarkEnd w:id="94"/>
    <w:p>
      <w:pPr>
        <w:spacing w:before="65"/>
        <w:ind w:firstLine="640"/>
      </w:pPr>
      <w:r>
        <w:rPr>
          <w:rFonts w:hint="eastAsia"/>
        </w:rPr>
        <w:t>规划居住用地面积为27.66</w:t>
      </w:r>
      <w:r>
        <w:t>公顷，占总用地的</w:t>
      </w:r>
      <w:r>
        <w:rPr>
          <w:rFonts w:hint="eastAsia"/>
        </w:rPr>
        <w:t>46.11</w:t>
      </w:r>
      <w:r>
        <w:t>%</w:t>
      </w:r>
      <w:r>
        <w:rPr>
          <w:rFonts w:hint="eastAsia"/>
        </w:rPr>
        <w:t>，</w:t>
      </w:r>
      <w:r>
        <w:t>人均</w:t>
      </w:r>
      <w:r>
        <w:rPr>
          <w:rFonts w:hint="eastAsia"/>
        </w:rPr>
        <w:t>44.08</w:t>
      </w:r>
      <w:r>
        <w:t>平方米。住宅建设规划宜采取保留、更新改造和新增建设等多种方式。</w:t>
      </w:r>
    </w:p>
    <w:p>
      <w:pPr>
        <w:pStyle w:val="4"/>
        <w:spacing w:before="195" w:after="195"/>
      </w:pPr>
      <w:bookmarkStart w:id="95" w:name="_Hlk142925032"/>
      <w:r>
        <w:rPr>
          <w:rFonts w:hint="eastAsia"/>
        </w:rPr>
        <w:t>住房保障规划</w:t>
      </w:r>
    </w:p>
    <w:bookmarkEnd w:id="95"/>
    <w:p>
      <w:pPr>
        <w:spacing w:before="65"/>
        <w:ind w:firstLine="640"/>
      </w:pPr>
      <w:r>
        <w:rPr>
          <w:rFonts w:hint="eastAsia"/>
        </w:rPr>
        <w:t>住宅建设规划宜采取保留、更新改造、拆迁置换和新区建设等多种方式。规划保留镇区内现有的建筑质量较高、居住环境较好、配套服务设施齐全、规划布局较为合理的居住用地；对镇区中村庄用地采取逐步更新改造方式；对部分建筑质量较差、配套设施缺乏、环境恶劣、且与其他用地混杂布局的住宅，可根据实际建设需要，拆迁置换为其他城镇用地，如可开发为公共绿地。</w:t>
      </w:r>
    </w:p>
    <w:p>
      <w:pPr>
        <w:pStyle w:val="3"/>
      </w:pPr>
      <w:r>
        <w:rPr>
          <w:rFonts w:hint="eastAsia"/>
        </w:rPr>
        <w:t>空间形态与风貌管控</w:t>
      </w:r>
    </w:p>
    <w:p>
      <w:pPr>
        <w:pStyle w:val="4"/>
        <w:spacing w:before="195" w:after="195"/>
      </w:pPr>
      <w:r>
        <w:t>空间风貌结构</w:t>
      </w:r>
    </w:p>
    <w:p>
      <w:pPr>
        <w:spacing w:before="65"/>
        <w:ind w:firstLine="640"/>
      </w:pPr>
      <w:r>
        <w:rPr>
          <w:rFonts w:hint="eastAsia"/>
        </w:rPr>
        <w:t>桃溪镇镇区空间形态框架为“</w:t>
      </w:r>
      <w:r>
        <w:rPr>
          <w:rFonts w:hint="eastAsia"/>
          <w:lang w:bidi="ar"/>
        </w:rPr>
        <w:t>一河两岸、一轴两面、四心三区</w:t>
      </w:r>
      <w:r>
        <w:rPr>
          <w:rFonts w:hint="eastAsia"/>
        </w:rPr>
        <w:t>”。</w:t>
      </w:r>
    </w:p>
    <w:p>
      <w:pPr>
        <w:ind w:firstLine="640"/>
        <w:rPr>
          <w:lang w:bidi="ar"/>
        </w:rPr>
      </w:pPr>
      <w:r>
        <w:rPr>
          <w:rFonts w:hint="eastAsia"/>
          <w:lang w:bidi="ar"/>
        </w:rPr>
        <w:t>“一河两岸”：寺河开敞开放空间是镇区的不可多得的“自然禀赋”，城市建设须依托“一河两岸”，加强寺河两岸的功能互动、空间渗透和界面控制，打造寺河两岸空间。</w:t>
      </w:r>
    </w:p>
    <w:p>
      <w:pPr>
        <w:ind w:firstLine="640"/>
        <w:rPr>
          <w:lang w:bidi="ar"/>
        </w:rPr>
      </w:pPr>
      <w:r>
        <w:rPr>
          <w:rFonts w:hint="eastAsia"/>
          <w:lang w:bidi="ar"/>
        </w:rPr>
        <w:t>“一轴两面”：一轴是指以沿省道S330开敞空间形成的东西向空间轴线；两面是指沿省道S330轴线两侧的临街界面。</w:t>
      </w:r>
    </w:p>
    <w:p>
      <w:pPr>
        <w:spacing w:before="65"/>
        <w:ind w:firstLine="640"/>
      </w:pPr>
      <w:r>
        <w:rPr>
          <w:rFonts w:hint="eastAsia"/>
          <w:lang w:bidi="ar"/>
        </w:rPr>
        <w:t>“四心三区”：四心是指以镇区文化广场和开敞空间为主的城镇特色中心；三区则是依据镇区特色划分的新城形象风貌区、文旅特色风貌区以及滨河生态风貌区</w:t>
      </w:r>
      <w:r>
        <w:rPr>
          <w:rFonts w:hint="eastAsia"/>
        </w:rPr>
        <w:t>。</w:t>
      </w:r>
    </w:p>
    <w:p>
      <w:pPr>
        <w:pStyle w:val="4"/>
        <w:spacing w:before="195" w:after="195"/>
      </w:pPr>
      <w:bookmarkStart w:id="96" w:name="_Hlk206702884"/>
      <w:r>
        <w:rPr>
          <w:rFonts w:hint="eastAsia"/>
        </w:rPr>
        <w:t>开发强度和高度分区</w:t>
      </w:r>
    </w:p>
    <w:bookmarkEnd w:id="96"/>
    <w:p>
      <w:pPr>
        <w:spacing w:before="65" w:after="120"/>
        <w:ind w:firstLine="640"/>
      </w:pPr>
      <w:r>
        <w:rPr>
          <w:rFonts w:hint="eastAsia"/>
        </w:rPr>
        <w:t>镇区建设用地开发强度按两级控制，实行差异化的土地开发强度管制。Ⅰ级强度区容积率控制为小于</w:t>
      </w:r>
      <w:r>
        <w:t>1.0，主要为公共服务片区；Ⅱ级强度区容积率控制为1.0-2.0，主要为商业区和居住生活区。</w:t>
      </w:r>
    </w:p>
    <w:p>
      <w:pPr>
        <w:spacing w:before="65" w:after="120"/>
        <w:ind w:firstLine="640"/>
      </w:pPr>
      <w:r>
        <w:rPr>
          <w:rFonts w:hint="eastAsia"/>
        </w:rPr>
        <w:t>Ⅰ级高度区建筑控制为不大于</w:t>
      </w:r>
      <w:r>
        <w:t>3层，高度不大于12米；Ⅱ级高度区建筑控制为不大于</w:t>
      </w:r>
      <w:r>
        <w:rPr>
          <w:rFonts w:hint="eastAsia"/>
        </w:rPr>
        <w:t>6</w:t>
      </w:r>
      <w:r>
        <w:t>层，高度不大于</w:t>
      </w:r>
      <w:r>
        <w:rPr>
          <w:rFonts w:hint="eastAsia"/>
        </w:rPr>
        <w:t>24</w:t>
      </w:r>
      <w:r>
        <w:t>米</w:t>
      </w:r>
      <w:r>
        <w:rPr>
          <w:rFonts w:hint="eastAsia"/>
        </w:rPr>
        <w:t>。</w:t>
      </w:r>
    </w:p>
    <w:p>
      <w:pPr>
        <w:pStyle w:val="4"/>
        <w:spacing w:before="195" w:after="195"/>
      </w:pPr>
      <w:r>
        <w:rPr>
          <w:rFonts w:hint="eastAsia"/>
        </w:rPr>
        <w:t>风貌管控</w:t>
      </w:r>
    </w:p>
    <w:p>
      <w:pPr>
        <w:spacing w:before="65" w:after="120"/>
        <w:ind w:firstLine="640"/>
      </w:pPr>
      <w:r>
        <w:rPr>
          <w:rFonts w:hint="eastAsia"/>
        </w:rPr>
        <w:t>1.北部形象风貌区</w:t>
      </w:r>
    </w:p>
    <w:p>
      <w:pPr>
        <w:spacing w:before="65" w:after="120"/>
        <w:ind w:firstLine="640"/>
      </w:pPr>
      <w:r>
        <w:rPr>
          <w:rFonts w:hint="eastAsia"/>
        </w:rPr>
        <w:t>规划对北部镇区的空间特色定义为清丽片区。寺河水面开阔清丽，清丽新城将寺河气韵、老城风韵在总体空间风貌上进一步丰富、统一。</w:t>
      </w:r>
    </w:p>
    <w:p>
      <w:pPr>
        <w:spacing w:before="65" w:after="120"/>
        <w:ind w:firstLine="640"/>
      </w:pPr>
      <w:r>
        <w:rPr>
          <w:rFonts w:hint="eastAsia"/>
        </w:rPr>
        <w:t>产城互动，紧凑布局：以产兴城、以城促产是城市发展的重要动力，因此产业互动对北部集镇区的发展及其重要。同时，由于寺河对集镇区在一定程度上的“空间割裂”，以及老集镇区建设强度相对较低，在北部集镇区应采取紧凑布局，精明发展的空间策略。</w:t>
      </w:r>
    </w:p>
    <w:p>
      <w:pPr>
        <w:spacing w:before="65" w:after="120"/>
        <w:ind w:firstLine="640"/>
      </w:pPr>
      <w:r>
        <w:rPr>
          <w:rFonts w:hint="eastAsia"/>
        </w:rPr>
        <w:t>界面退让，凝聚中心：结合寺河两岸空间界面的整体协调，北部集镇区对临寺河地带应进行适当的高度控制来营造寺河空间界面，并且风貌从寺河到工业物流园应进行过渡协调。北部集镇区的建设发展，应积极构筑公共文化核心，凝聚北部的中心形象，提升地区发展活力。</w:t>
      </w:r>
    </w:p>
    <w:p>
      <w:pPr>
        <w:spacing w:before="65" w:after="120"/>
        <w:ind w:firstLine="640"/>
      </w:pPr>
      <w:r>
        <w:rPr>
          <w:rFonts w:hint="eastAsia"/>
        </w:rPr>
        <w:t>2.文旅特色风貌区</w:t>
      </w:r>
    </w:p>
    <w:p>
      <w:pPr>
        <w:spacing w:before="65" w:after="120"/>
        <w:ind w:firstLine="640"/>
      </w:pPr>
      <w:r>
        <w:rPr>
          <w:rFonts w:hint="eastAsia"/>
        </w:rPr>
        <w:t>规划对老集镇区的空间特色定义为特色新貌，即保护并明确老集镇区的格局和特色，并积极植入文化旅游、休闲娱乐等功能。在提升老集镇区功能的同时，保持老镇区的风貌的总体协调。</w:t>
      </w:r>
    </w:p>
    <w:p>
      <w:pPr>
        <w:spacing w:before="65" w:after="120"/>
        <w:ind w:firstLine="640"/>
      </w:pPr>
      <w:r>
        <w:rPr>
          <w:rFonts w:hint="eastAsia"/>
        </w:rPr>
        <w:t>确立轴带，打开界面：结合公共设施、绿地广场等的布局强化“中心小学—镇政府”空间轴线对整个老镇区的“空间控制”，结合公共设施、绿地广场布局强化“综合商业街”休闲轴线，并通过桥梁与东部城区街道空间相联通。空间界面上，沿寺河规划特色商业街区，采用传统建筑风貌和小尺度空间组织，将历史城区核心区的空间风貌向寺河“打开”，强化历史风貌临寺界面，将传统建筑风貌与寺河整体空间风貌相互联系，提升整体空间风貌特色。</w:t>
      </w:r>
    </w:p>
    <w:p>
      <w:pPr>
        <w:spacing w:before="65" w:after="120"/>
        <w:ind w:firstLine="640"/>
      </w:pPr>
      <w:r>
        <w:rPr>
          <w:rFonts w:hint="eastAsia"/>
        </w:rPr>
        <w:t>风貌过渡，空间敞开：规划划定了特色核心区、老集镇区格局保护区和风貌协调区，共三条保护线，旨在促进镇区的空间层次和风貌融合。规划在相对密集的老集镇区内，增加城市绿地和公共设施，并积极利用街角空间，将城市边角料地区利用起来，提升老集镇区的空间环境质量，丰富老集镇区的空间层次。</w:t>
      </w:r>
    </w:p>
    <w:p>
      <w:pPr>
        <w:spacing w:before="65" w:after="120"/>
        <w:ind w:firstLine="640"/>
      </w:pPr>
      <w:r>
        <w:rPr>
          <w:rFonts w:hint="eastAsia"/>
        </w:rPr>
        <w:t>注入活力，完善设施：植入旅游、餐饮住宿、文化创意、休闲娱乐、等功能，完善公共服务和基础设施，积极探索合作开发、功能混合开发模式。</w:t>
      </w:r>
    </w:p>
    <w:p>
      <w:pPr>
        <w:spacing w:before="65" w:after="120"/>
        <w:ind w:firstLine="640"/>
      </w:pPr>
      <w:r>
        <w:rPr>
          <w:rFonts w:hint="eastAsia"/>
        </w:rPr>
        <w:t>3.滨河生态风貌区</w:t>
      </w:r>
    </w:p>
    <w:p>
      <w:pPr>
        <w:spacing w:before="65" w:after="120"/>
        <w:ind w:firstLine="640"/>
      </w:pPr>
      <w:r>
        <w:rPr>
          <w:rFonts w:hint="eastAsia"/>
        </w:rPr>
        <w:t>规划积极保护东南部较好的自然山水环境，积极发展科技研发创新。同时，形成宜人的空间尺度，积极发展居住和养老产业，将东南部片区打造为一个环境优秀、功能复合的宜居智城。</w:t>
      </w:r>
    </w:p>
    <w:p>
      <w:pPr>
        <w:spacing w:before="65" w:after="120"/>
        <w:ind w:firstLine="640"/>
      </w:pPr>
      <w:r>
        <w:rPr>
          <w:rFonts w:hint="eastAsia"/>
        </w:rPr>
        <w:t>滨水望山，环境优越：西涉寺水，北望丘陵，山水相依，环境优越。</w:t>
      </w:r>
    </w:p>
    <w:p>
      <w:pPr>
        <w:spacing w:before="65" w:after="120"/>
        <w:ind w:firstLine="640"/>
      </w:pPr>
      <w:r>
        <w:rPr>
          <w:rFonts w:hint="eastAsia"/>
        </w:rPr>
        <w:t>宜居宜养，职教新城：宜居宜养，宜学宜游、宜创新的功能复合的职教新城。</w:t>
      </w:r>
    </w:p>
    <w:p>
      <w:pPr>
        <w:pStyle w:val="3"/>
      </w:pPr>
      <w:r>
        <w:rPr>
          <w:rFonts w:hint="eastAsia"/>
        </w:rPr>
        <w:t>道路交通系统规划</w:t>
      </w:r>
    </w:p>
    <w:p>
      <w:pPr>
        <w:pStyle w:val="4"/>
        <w:spacing w:before="195" w:after="195"/>
      </w:pPr>
      <w:r>
        <w:rPr>
          <w:rFonts w:hint="eastAsia"/>
        </w:rPr>
        <w:t>规划目标</w:t>
      </w:r>
    </w:p>
    <w:p>
      <w:pPr>
        <w:spacing w:before="65"/>
        <w:ind w:firstLine="640"/>
      </w:pPr>
      <w:r>
        <w:rPr>
          <w:rFonts w:hint="eastAsia"/>
        </w:rPr>
        <w:t>形成高效通畅的交通网络体系；保障过境公路畅通，提高镇区道路网密度，注重与对外交通的联系和衔接。构建以慢行为主的绿色出行结构；构建尺度宜人、安全连续的慢行网络，至</w:t>
      </w:r>
      <w:r>
        <w:t>2035年，</w:t>
      </w:r>
      <w:r>
        <w:rPr>
          <w:rFonts w:hint="eastAsia"/>
        </w:rPr>
        <w:t>城镇道路网</w:t>
      </w:r>
      <w:r>
        <w:t>密度不小于8千米/平方千米</w:t>
      </w:r>
      <w:r>
        <w:rPr>
          <w:rFonts w:hint="eastAsia"/>
        </w:rPr>
        <w:t>。</w:t>
      </w:r>
    </w:p>
    <w:p>
      <w:pPr>
        <w:pStyle w:val="4"/>
        <w:spacing w:before="195" w:after="195"/>
      </w:pPr>
      <w:r>
        <w:rPr>
          <w:rFonts w:hint="eastAsia"/>
        </w:rPr>
        <w:t>对外交通系统</w:t>
      </w:r>
    </w:p>
    <w:p>
      <w:pPr>
        <w:spacing w:before="65" w:after="120"/>
        <w:ind w:firstLine="640"/>
      </w:pPr>
      <w:r>
        <w:rPr>
          <w:rFonts w:hint="eastAsia"/>
        </w:rPr>
        <w:t>省道：保留现状S330，</w:t>
      </w:r>
      <w:r>
        <w:rPr>
          <w:rFonts w:hint="eastAsia"/>
          <w:lang w:bidi="ar"/>
        </w:rPr>
        <w:t>规划两侧各15米的绿化防护带，规划双向4车道，红线宽度控制为16米</w:t>
      </w:r>
      <w:r>
        <w:rPr>
          <w:rFonts w:hint="eastAsia"/>
        </w:rPr>
        <w:t>。</w:t>
      </w:r>
    </w:p>
    <w:p>
      <w:pPr>
        <w:spacing w:before="65"/>
        <w:ind w:firstLine="640"/>
      </w:pPr>
      <w:r>
        <w:rPr>
          <w:rFonts w:hint="eastAsia"/>
        </w:rPr>
        <w:t>尽量减少城镇其他道路与过境道路的交叉口数量，以保证交通安全、美化道路景观，提高镇区的环境质量。</w:t>
      </w:r>
    </w:p>
    <w:p>
      <w:pPr>
        <w:pStyle w:val="4"/>
        <w:spacing w:before="195" w:after="195"/>
      </w:pPr>
      <w:r>
        <w:rPr>
          <w:rFonts w:hint="eastAsia"/>
        </w:rPr>
        <w:t>道路交通系统</w:t>
      </w:r>
    </w:p>
    <w:p>
      <w:pPr>
        <w:spacing w:before="65"/>
        <w:ind w:firstLine="640"/>
      </w:pPr>
      <w:r>
        <w:rPr>
          <w:rFonts w:hint="eastAsia"/>
        </w:rPr>
        <w:t>构建城镇主干路、次干路、支路三级路网体系，构建“三横三纵”的主要交通通道。</w:t>
      </w:r>
    </w:p>
    <w:p>
      <w:pPr>
        <w:spacing w:before="65" w:after="120"/>
        <w:ind w:firstLine="640"/>
      </w:pPr>
      <w:r>
        <w:rPr>
          <w:rFonts w:hint="eastAsia"/>
        </w:rPr>
        <w:t>主干路：红线宽度为16米。</w:t>
      </w:r>
    </w:p>
    <w:p>
      <w:pPr>
        <w:spacing w:before="65" w:after="120"/>
        <w:ind w:firstLine="640"/>
      </w:pPr>
      <w:r>
        <w:rPr>
          <w:rFonts w:hint="eastAsia"/>
        </w:rPr>
        <w:t>次干路：红线宽度为12米。</w:t>
      </w:r>
    </w:p>
    <w:p>
      <w:pPr>
        <w:spacing w:before="65" w:after="120"/>
        <w:ind w:firstLine="640"/>
      </w:pPr>
      <w:r>
        <w:rPr>
          <w:rFonts w:hint="eastAsia"/>
        </w:rPr>
        <w:t>支路：红线宽度为10米。</w:t>
      </w:r>
    </w:p>
    <w:p>
      <w:pPr>
        <w:pStyle w:val="4"/>
        <w:spacing w:before="195" w:after="195"/>
      </w:pPr>
      <w:r>
        <w:rPr>
          <w:rFonts w:hint="eastAsia"/>
        </w:rPr>
        <w:t>公共交通规划</w:t>
      </w:r>
    </w:p>
    <w:p>
      <w:pPr>
        <w:spacing w:before="65" w:after="120"/>
        <w:ind w:firstLine="640"/>
      </w:pPr>
      <w:bookmarkStart w:id="97" w:name="_Hlk149899462"/>
      <w:r>
        <w:rPr>
          <w:rFonts w:hint="eastAsia"/>
        </w:rPr>
        <w:t>1.公共交通场站</w:t>
      </w:r>
      <w:bookmarkEnd w:id="97"/>
    </w:p>
    <w:p>
      <w:pPr>
        <w:spacing w:before="65" w:after="120"/>
        <w:ind w:firstLine="640"/>
      </w:pPr>
      <w:bookmarkStart w:id="98" w:name="_Hlk149899475"/>
      <w:r>
        <w:rPr>
          <w:rFonts w:hint="eastAsia"/>
        </w:rPr>
        <w:t>在镇区西侧沿省道S330规划1处公共交通场站，用地面积为0.22公顷，为城乡公交客运站。</w:t>
      </w:r>
    </w:p>
    <w:bookmarkEnd w:id="98"/>
    <w:p>
      <w:pPr>
        <w:spacing w:before="65" w:after="120"/>
        <w:ind w:firstLine="640"/>
      </w:pPr>
      <w:bookmarkStart w:id="99" w:name="_Hlk149899482"/>
      <w:r>
        <w:rPr>
          <w:rFonts w:hint="eastAsia"/>
        </w:rPr>
        <w:t>2.加油加气站用地</w:t>
      </w:r>
      <w:bookmarkEnd w:id="99"/>
    </w:p>
    <w:p>
      <w:pPr>
        <w:spacing w:before="65" w:after="120"/>
        <w:ind w:firstLine="640"/>
      </w:pPr>
      <w:bookmarkStart w:id="100" w:name="_Hlk149899492"/>
      <w:r>
        <w:rPr>
          <w:rFonts w:hint="eastAsia"/>
        </w:rPr>
        <w:t>在镇区东侧沿省道S330规划1处加油加气站用地，用地面积为0.12公顷</w:t>
      </w:r>
      <w:bookmarkEnd w:id="100"/>
      <w:r>
        <w:rPr>
          <w:rFonts w:hint="eastAsia"/>
        </w:rPr>
        <w:t>。</w:t>
      </w:r>
    </w:p>
    <w:p>
      <w:pPr>
        <w:pStyle w:val="4"/>
        <w:spacing w:before="195" w:after="195"/>
      </w:pPr>
      <w:r>
        <w:rPr>
          <w:rFonts w:hint="eastAsia"/>
        </w:rPr>
        <w:t>停车设施规划</w:t>
      </w:r>
    </w:p>
    <w:p>
      <w:pPr>
        <w:spacing w:before="65"/>
        <w:ind w:firstLine="640"/>
      </w:pPr>
      <w:r>
        <w:rPr>
          <w:rFonts w:hint="eastAsia"/>
          <w:lang w:bidi="ar"/>
        </w:rPr>
        <w:t>在镇区中部结合公交首末站规划1处社会停车场，面积为0.11公顷</w:t>
      </w:r>
      <w:r>
        <w:rPr>
          <w:rFonts w:hint="eastAsia"/>
        </w:rPr>
        <w:t>。</w:t>
      </w:r>
    </w:p>
    <w:p>
      <w:pPr>
        <w:pStyle w:val="4"/>
        <w:spacing w:before="195" w:after="195"/>
      </w:pPr>
      <w:r>
        <w:rPr>
          <w:rFonts w:hint="eastAsia"/>
        </w:rPr>
        <w:t>慢行系统规划</w:t>
      </w:r>
    </w:p>
    <w:p>
      <w:pPr>
        <w:spacing w:before="65"/>
        <w:ind w:firstLine="640"/>
      </w:pPr>
      <w:bookmarkStart w:id="101" w:name="_Hlk207293540"/>
      <w:r>
        <w:rPr>
          <w:rFonts w:hint="eastAsia"/>
        </w:rPr>
        <w:t>推进绿道系统建设，打造以镇区次干路为骨架、支路为补充的两级慢行绿道系统，加强滨河绿地建设，构建安全连续的慢行系统。各次干路串联镇区休闲绿地，并沿次干路两侧打造休闲绿道；各支路深入至居住组团，便捷联通小游园、街头绿地；结合文化广场、滨河公园绿地等设置慢性游憩公园。</w:t>
      </w:r>
    </w:p>
    <w:p>
      <w:pPr>
        <w:spacing w:before="65"/>
        <w:ind w:firstLine="640"/>
      </w:pPr>
      <w:r>
        <w:rPr>
          <w:rFonts w:hint="eastAsia"/>
        </w:rPr>
        <w:t>城乡公交站点与慢行系统结合设置，建设便于居民使用的慢行体系</w:t>
      </w:r>
      <w:bookmarkEnd w:id="101"/>
      <w:r>
        <w:rPr>
          <w:rFonts w:hint="eastAsia"/>
        </w:rPr>
        <w:t>。</w:t>
      </w:r>
    </w:p>
    <w:p>
      <w:pPr>
        <w:pStyle w:val="3"/>
      </w:pPr>
      <w:bookmarkStart w:id="102" w:name="_Toc206704220"/>
      <w:r>
        <w:rPr>
          <w:rFonts w:hint="eastAsia"/>
        </w:rPr>
        <w:t>基础设施规划</w:t>
      </w:r>
      <w:bookmarkEnd w:id="102"/>
    </w:p>
    <w:p>
      <w:pPr>
        <w:pStyle w:val="4"/>
        <w:spacing w:before="195" w:after="195"/>
      </w:pPr>
      <w:r>
        <w:rPr>
          <w:rFonts w:hint="eastAsia"/>
        </w:rPr>
        <w:t>给水工程规划</w:t>
      </w:r>
    </w:p>
    <w:p>
      <w:pPr>
        <w:ind w:firstLine="640"/>
      </w:pPr>
      <w:r>
        <w:rPr>
          <w:rFonts w:hint="eastAsia"/>
        </w:rPr>
        <w:t>1.用水量预测</w:t>
      </w:r>
    </w:p>
    <w:p>
      <w:pPr>
        <w:ind w:firstLine="640"/>
      </w:pPr>
      <w:r>
        <w:t>规划</w:t>
      </w:r>
      <w:r>
        <w:rPr>
          <w:rFonts w:hint="eastAsia"/>
        </w:rPr>
        <w:t>镇区</w:t>
      </w:r>
      <w:r>
        <w:t>最高日用水量约为1395立方米/日</w:t>
      </w:r>
      <w:r>
        <w:rPr>
          <w:rFonts w:hint="eastAsia"/>
        </w:rPr>
        <w:t>。</w:t>
      </w:r>
    </w:p>
    <w:p>
      <w:pPr>
        <w:ind w:firstLine="640"/>
      </w:pPr>
      <w:r>
        <w:rPr>
          <w:rFonts w:hint="eastAsia"/>
        </w:rPr>
        <w:t>2.水厂规划</w:t>
      </w:r>
    </w:p>
    <w:p>
      <w:pPr>
        <w:ind w:firstLine="640"/>
      </w:pPr>
      <w:r>
        <w:rPr>
          <w:rFonts w:hint="eastAsia"/>
        </w:rPr>
        <w:t>规划将桃溪供水站升级为桃溪水厂，供水规模</w:t>
      </w:r>
      <w:r>
        <w:t>1400立方米/日，供水水源采用附近的中深层地下水。</w:t>
      </w:r>
    </w:p>
    <w:p>
      <w:pPr>
        <w:ind w:firstLine="640"/>
      </w:pPr>
      <w:r>
        <w:rPr>
          <w:rFonts w:hint="eastAsia"/>
        </w:rPr>
        <w:t>3.供水管网规划</w:t>
      </w:r>
    </w:p>
    <w:p>
      <w:pPr>
        <w:ind w:firstLine="640"/>
      </w:pPr>
      <w:r>
        <w:t>供水主干线沿主干路敷设并尽量靠近大用水量单位，综合考虑技术、经济以及可靠性等因素，采用环、支状网相结合的布置方式。</w:t>
      </w:r>
      <w:r>
        <w:rPr>
          <w:rFonts w:hint="eastAsia"/>
        </w:rPr>
        <w:t>规划沿</w:t>
      </w:r>
      <w:r>
        <w:t>S</w:t>
      </w:r>
      <w:r>
        <w:rPr>
          <w:rFonts w:hint="eastAsia"/>
        </w:rPr>
        <w:t>330</w:t>
      </w:r>
      <w:r>
        <w:t>、桃溪路、团结大道、文化路、X007敷设DN200给水管，沿</w:t>
      </w:r>
      <w:r>
        <w:rPr>
          <w:rFonts w:hint="eastAsia"/>
        </w:rPr>
        <w:t>其他</w:t>
      </w:r>
      <w:r>
        <w:t>道路敷设DN150给水管。规划给水管与相交道路给水管相接，形成安全可靠的环状供水系统</w:t>
      </w:r>
      <w:r>
        <w:rPr>
          <w:rFonts w:hint="eastAsia"/>
        </w:rPr>
        <w:t>。</w:t>
      </w:r>
    </w:p>
    <w:p>
      <w:pPr>
        <w:pStyle w:val="4"/>
        <w:spacing w:before="195" w:after="195"/>
      </w:pPr>
      <w:r>
        <w:rPr>
          <w:rFonts w:hint="eastAsia"/>
        </w:rPr>
        <w:t>排水工程规划</w:t>
      </w:r>
    </w:p>
    <w:p>
      <w:pPr>
        <w:ind w:firstLine="640"/>
      </w:pPr>
      <w:r>
        <w:rPr>
          <w:rFonts w:hint="eastAsia"/>
        </w:rPr>
        <w:t>1.污水工程</w:t>
      </w:r>
    </w:p>
    <w:p>
      <w:pPr>
        <w:ind w:firstLine="640"/>
      </w:pPr>
      <w:r>
        <w:rPr>
          <w:rFonts w:hint="eastAsia"/>
        </w:rPr>
        <w:t>规划镇区实行雨污分流制排水系统。</w:t>
      </w:r>
    </w:p>
    <w:p>
      <w:pPr>
        <w:ind w:firstLine="640"/>
      </w:pPr>
      <w:r>
        <w:rPr>
          <w:rFonts w:hint="eastAsia"/>
        </w:rPr>
        <w:t>预测镇区平均日污水量为</w:t>
      </w:r>
      <w:r>
        <w:t>697</w:t>
      </w:r>
      <w:r>
        <w:rPr>
          <w:rFonts w:hint="eastAsia"/>
        </w:rPr>
        <w:t>立方米/日。</w:t>
      </w:r>
    </w:p>
    <w:p>
      <w:pPr>
        <w:ind w:firstLine="640"/>
      </w:pPr>
      <w:r>
        <w:rPr>
          <w:rFonts w:hint="eastAsia"/>
        </w:rPr>
        <w:t>规划保留现状桃溪污水处理厂，规模为1000立方米/日。污水处理厂出水水质要求达到《城镇污水处理厂污染物排放标准》（GB 18918-2002）中规定的一级A标准，处理达标后排入寺河。</w:t>
      </w:r>
    </w:p>
    <w:p>
      <w:pPr>
        <w:ind w:firstLine="640"/>
      </w:pPr>
      <w:r>
        <w:rPr>
          <w:rFonts w:hint="eastAsia"/>
        </w:rPr>
        <w:t>规划沿S330、桃溪路、团结大道、文化路、X007等道路敷设d400-d600污水管，污水向西排入桃溪污水处理厂。</w:t>
      </w:r>
    </w:p>
    <w:p>
      <w:pPr>
        <w:ind w:firstLine="640"/>
      </w:pPr>
      <w:r>
        <w:rPr>
          <w:rFonts w:hint="eastAsia"/>
        </w:rPr>
        <w:t>2.雨水工程</w:t>
      </w:r>
    </w:p>
    <w:p>
      <w:pPr>
        <w:ind w:firstLine="640"/>
      </w:pPr>
      <w:r>
        <w:rPr>
          <w:rFonts w:hint="eastAsia"/>
        </w:rPr>
        <w:t>规划沿</w:t>
      </w:r>
      <w:r>
        <w:t>S</w:t>
      </w:r>
      <w:r>
        <w:rPr>
          <w:rFonts w:hint="eastAsia"/>
        </w:rPr>
        <w:t>330</w:t>
      </w:r>
      <w:r>
        <w:t>、桃溪路、团结大道、文化路、X007等道路敷设d500-d800雨水管，雨水就近排入寺河</w:t>
      </w:r>
      <w:r>
        <w:rPr>
          <w:rFonts w:hint="eastAsia"/>
        </w:rPr>
        <w:t>。</w:t>
      </w:r>
    </w:p>
    <w:p>
      <w:pPr>
        <w:pStyle w:val="4"/>
        <w:spacing w:before="195" w:after="195"/>
      </w:pPr>
      <w:r>
        <w:rPr>
          <w:rFonts w:hint="eastAsia"/>
        </w:rPr>
        <w:t>电力工程规划</w:t>
      </w:r>
    </w:p>
    <w:p>
      <w:pPr>
        <w:ind w:firstLine="640"/>
      </w:pPr>
      <w:r>
        <w:rPr>
          <w:rFonts w:hint="eastAsia"/>
        </w:rPr>
        <w:t>1.用电负荷预测</w:t>
      </w:r>
    </w:p>
    <w:p>
      <w:pPr>
        <w:ind w:firstLine="640"/>
      </w:pPr>
      <w:r>
        <w:t>预测规划</w:t>
      </w:r>
      <w:r>
        <w:rPr>
          <w:rFonts w:hint="eastAsia"/>
        </w:rPr>
        <w:t>镇区</w:t>
      </w:r>
      <w:r>
        <w:t>总用电负荷将达8177千</w:t>
      </w:r>
      <w:r>
        <w:rPr>
          <w:rFonts w:hint="eastAsia"/>
        </w:rPr>
        <w:t>瓦。</w:t>
      </w:r>
    </w:p>
    <w:p>
      <w:pPr>
        <w:ind w:firstLine="640"/>
      </w:pPr>
      <w:r>
        <w:rPr>
          <w:rFonts w:hint="eastAsia"/>
        </w:rPr>
        <w:t>2.变电设施规划</w:t>
      </w:r>
    </w:p>
    <w:p>
      <w:pPr>
        <w:ind w:firstLine="640"/>
      </w:pPr>
      <w:r>
        <w:rPr>
          <w:rFonts w:hint="eastAsia"/>
        </w:rPr>
        <w:t>规划镇区电源接自现状3</w:t>
      </w:r>
      <w:r>
        <w:t>5千伏</w:t>
      </w:r>
      <w:r>
        <w:rPr>
          <w:rFonts w:hint="eastAsia"/>
        </w:rPr>
        <w:t>桃溪</w:t>
      </w:r>
      <w:r>
        <w:t>变</w:t>
      </w:r>
      <w:r>
        <w:rPr>
          <w:rFonts w:hint="eastAsia" w:hAnsi="仿宋_GB2312" w:cs="仿宋_GB2312"/>
        </w:rPr>
        <w:t>。</w:t>
      </w:r>
    </w:p>
    <w:p>
      <w:pPr>
        <w:ind w:firstLine="640"/>
      </w:pPr>
      <w:r>
        <w:t>新建10</w:t>
      </w:r>
      <w:r>
        <w:rPr>
          <w:rFonts w:hint="eastAsia"/>
        </w:rPr>
        <w:t>千伏</w:t>
      </w:r>
      <w:r>
        <w:t>电力线沿干道采用地埋电缆沟的敷设方式，并在重点地段形成环路，以保证供电可靠安全性，同时确保每一个地块均能从临路一侧方便接入10</w:t>
      </w:r>
      <w:r>
        <w:rPr>
          <w:rFonts w:hint="eastAsia"/>
        </w:rPr>
        <w:t>千伏</w:t>
      </w:r>
      <w:r>
        <w:t>电源线。尽量避免架空铺设，不仅防止镇区景观的破坏，还能减少因人为原因造成的事故。为减少10</w:t>
      </w:r>
      <w:r>
        <w:rPr>
          <w:rFonts w:hint="eastAsia"/>
        </w:rPr>
        <w:t>千伏</w:t>
      </w:r>
      <w:r>
        <w:t>线路出线紧张问题，在镇区用电负荷中心相应位置设置市政公用开闭所</w:t>
      </w:r>
      <w:r>
        <w:rPr>
          <w:rFonts w:hint="eastAsia"/>
        </w:rPr>
        <w:t>。</w:t>
      </w:r>
    </w:p>
    <w:p>
      <w:pPr>
        <w:pStyle w:val="4"/>
      </w:pPr>
      <w:r>
        <w:rPr>
          <w:rFonts w:hint="eastAsia"/>
        </w:rPr>
        <w:t>通信工程规划</w:t>
      </w:r>
    </w:p>
    <w:p>
      <w:pPr>
        <w:ind w:firstLine="640"/>
      </w:pPr>
      <w:r>
        <w:rPr>
          <w:rFonts w:hint="eastAsia"/>
        </w:rPr>
        <w:t>1</w:t>
      </w:r>
      <w:r>
        <w:t>.容量预测</w:t>
      </w:r>
    </w:p>
    <w:p>
      <w:pPr>
        <w:ind w:firstLine="640"/>
      </w:pPr>
      <w:r>
        <w:rPr>
          <w:rFonts w:hint="eastAsia"/>
        </w:rPr>
        <w:t>预测镇区固定电话容量需求达到</w:t>
      </w:r>
      <w:r>
        <w:t>4144线，移动电话用户卡号数达到6901卡号，宽带用户数量达到2510户。</w:t>
      </w:r>
    </w:p>
    <w:p>
      <w:pPr>
        <w:ind w:firstLine="640"/>
      </w:pPr>
      <w:r>
        <w:t>2</w:t>
      </w:r>
      <w:r>
        <w:rPr>
          <w:rFonts w:hint="eastAsia"/>
        </w:rPr>
        <w:t>.邮政设施与电信设施规划</w:t>
      </w:r>
    </w:p>
    <w:p>
      <w:pPr>
        <w:ind w:firstLine="640"/>
      </w:pPr>
      <w:bookmarkStart w:id="103" w:name="_Hlk530908955"/>
      <w:r>
        <w:rPr>
          <w:rFonts w:hint="eastAsia"/>
        </w:rPr>
        <w:t>规划保留桃溪镇现状邮政支局1处，位于文化路南侧。</w:t>
      </w:r>
      <w:bookmarkEnd w:id="103"/>
      <w:r>
        <w:rPr>
          <w:rFonts w:hint="eastAsia"/>
        </w:rPr>
        <w:t>规划沿主干道每隔500米设信箱一个，住宅楼各单元入口处设报箱。</w:t>
      </w:r>
    </w:p>
    <w:p>
      <w:pPr>
        <w:ind w:firstLine="640"/>
      </w:pPr>
      <w:r>
        <w:t>3</w:t>
      </w:r>
      <w:r>
        <w:rPr>
          <w:rFonts w:hint="eastAsia"/>
        </w:rPr>
        <w:t>.广播电视设施规划</w:t>
      </w:r>
    </w:p>
    <w:p>
      <w:pPr>
        <w:ind w:firstLine="640"/>
      </w:pPr>
      <w:r>
        <w:t>规划广播电视综合交叉覆盖率达到98％以上，有线电视入</w:t>
      </w:r>
      <w:r>
        <w:rPr>
          <w:rFonts w:hint="eastAsia"/>
        </w:rPr>
        <w:t>户</w:t>
      </w:r>
      <w:r>
        <w:t>实现数字化、传输线路全部采用光缆，埋户率达100％。摄、播、编设备实现数字化，构筑信息平台和传输网络，开发广播电视现场直播、图文电视、电视购物、电视会议、自动播出、互联网等业务</w:t>
      </w:r>
      <w:r>
        <w:rPr>
          <w:rFonts w:hint="eastAsia"/>
        </w:rPr>
        <w:t>。</w:t>
      </w:r>
    </w:p>
    <w:p>
      <w:pPr>
        <w:pStyle w:val="4"/>
        <w:spacing w:before="195" w:after="195"/>
      </w:pPr>
      <w:r>
        <w:rPr>
          <w:rFonts w:hint="eastAsia"/>
        </w:rPr>
        <w:t>燃气工程规划</w:t>
      </w:r>
    </w:p>
    <w:p>
      <w:pPr>
        <w:ind w:firstLine="640"/>
      </w:pPr>
      <w:r>
        <w:rPr>
          <w:rFonts w:hint="eastAsia"/>
        </w:rPr>
        <w:t>1.用气量预测</w:t>
      </w:r>
    </w:p>
    <w:p>
      <w:pPr>
        <w:ind w:firstLine="640"/>
      </w:pPr>
      <w:r>
        <w:t>规划</w:t>
      </w:r>
      <w:r>
        <w:rPr>
          <w:rFonts w:hint="eastAsia"/>
        </w:rPr>
        <w:t>镇</w:t>
      </w:r>
      <w:r>
        <w:t>区用气</w:t>
      </w:r>
      <w:r>
        <w:rPr>
          <w:rFonts w:hint="eastAsia"/>
        </w:rPr>
        <w:t>量</w:t>
      </w:r>
      <w:r>
        <w:t>为3953立方米/日</w:t>
      </w:r>
      <w:r>
        <w:rPr>
          <w:rFonts w:hint="eastAsia"/>
        </w:rPr>
        <w:t>。</w:t>
      </w:r>
    </w:p>
    <w:p>
      <w:pPr>
        <w:ind w:firstLine="640"/>
      </w:pPr>
      <w:r>
        <w:rPr>
          <w:rFonts w:hint="eastAsia"/>
        </w:rPr>
        <w:t>2.燃气管网规划</w:t>
      </w:r>
    </w:p>
    <w:p>
      <w:pPr>
        <w:ind w:firstLine="640"/>
      </w:pPr>
      <w:r>
        <w:rPr>
          <w:rFonts w:hint="eastAsia"/>
        </w:rPr>
        <w:t>为提高供气可靠性，镇区燃气中压管网应尽量靠近负荷中心，避开主要交通性道路和不良地质地段。规划沿</w:t>
      </w:r>
      <w:r>
        <w:t>S</w:t>
      </w:r>
      <w:r>
        <w:rPr>
          <w:rFonts w:hint="eastAsia"/>
        </w:rPr>
        <w:t>330</w:t>
      </w:r>
      <w:r>
        <w:t>、团结大道、文化路等道路敷设de160燃气管线，沿桃溪路、X007等道路敷设de110燃气管线，燃气管线呈环状布置，局部为支状。</w:t>
      </w:r>
    </w:p>
    <w:p>
      <w:pPr>
        <w:ind w:firstLine="640"/>
      </w:pPr>
      <w:r>
        <w:t>为节省投资应力求管线线路最短，燃气管线敷设在道路的西侧或北侧</w:t>
      </w:r>
      <w:r>
        <w:rPr>
          <w:rFonts w:hint="eastAsia"/>
        </w:rPr>
        <w:t>。</w:t>
      </w:r>
    </w:p>
    <w:p>
      <w:pPr>
        <w:pStyle w:val="4"/>
        <w:spacing w:before="195" w:after="195"/>
      </w:pPr>
      <w:r>
        <w:rPr>
          <w:rFonts w:hint="eastAsia"/>
        </w:rPr>
        <w:t>环卫工程规划</w:t>
      </w:r>
    </w:p>
    <w:p>
      <w:pPr>
        <w:spacing w:before="65"/>
        <w:ind w:firstLine="640"/>
      </w:pPr>
      <w:r>
        <w:rPr>
          <w:rFonts w:hint="eastAsia"/>
        </w:rPr>
        <w:t>1.</w:t>
      </w:r>
      <w:r>
        <w:t>生活垃圾量预测</w:t>
      </w:r>
    </w:p>
    <w:p>
      <w:pPr>
        <w:spacing w:before="65"/>
        <w:ind w:firstLine="640"/>
      </w:pPr>
      <w:r>
        <w:t>2035年，镇区规划人口约</w:t>
      </w:r>
      <w:r>
        <w:rPr>
          <w:rFonts w:hint="eastAsia"/>
        </w:rPr>
        <w:t>0.63</w:t>
      </w:r>
      <w:r>
        <w:t>万，人均生活垃圾产生量1.0千克/人·日进行预测。规划至2035年，中心城区预测生活垃圾产量为</w:t>
      </w:r>
      <w:r>
        <w:rPr>
          <w:rFonts w:hint="eastAsia"/>
        </w:rPr>
        <w:t>6.3</w:t>
      </w:r>
      <w:r>
        <w:t>吨/日。</w:t>
      </w:r>
    </w:p>
    <w:p>
      <w:pPr>
        <w:spacing w:before="65"/>
        <w:ind w:firstLine="640"/>
      </w:pPr>
      <w:r>
        <w:rPr>
          <w:rFonts w:hint="eastAsia"/>
        </w:rPr>
        <w:t>2.</w:t>
      </w:r>
      <w:r>
        <w:t>垃圾收运与处置</w:t>
      </w:r>
    </w:p>
    <w:p>
      <w:pPr>
        <w:spacing w:before="65"/>
        <w:ind w:firstLine="640"/>
      </w:pPr>
      <w:r>
        <w:rPr>
          <w:rFonts w:hint="eastAsia"/>
        </w:rPr>
        <w:t>镇区建立二级转运系统，生活垃圾由垃圾收集点收集后运送至生活垃圾收集站，再运输至规划垃圾转运站进行压缩处理，直接送至垃圾处理场统一处理。</w:t>
      </w:r>
    </w:p>
    <w:p>
      <w:pPr>
        <w:spacing w:before="65"/>
        <w:ind w:firstLine="640"/>
      </w:pPr>
      <w:r>
        <w:rPr>
          <w:rFonts w:hint="eastAsia"/>
        </w:rPr>
        <w:t>建筑垃圾运至建筑垃圾处理厂进行处理；医疗垃圾应采用医疗卫生垃圾专用车运输，统一运输至医疗垃圾集中处理中心处理；工业一般垃圾以各厂区内部处置为主，资源化与最终处置相结合；危险废弃物纳入危废处置系统，运至危废处置中心安全处置。</w:t>
      </w:r>
    </w:p>
    <w:p>
      <w:pPr>
        <w:spacing w:before="65"/>
        <w:ind w:firstLine="640"/>
      </w:pPr>
      <w:r>
        <w:rPr>
          <w:rFonts w:hint="eastAsia"/>
        </w:rPr>
        <w:t>3.环卫设施布局</w:t>
      </w:r>
    </w:p>
    <w:p>
      <w:pPr>
        <w:spacing w:before="65"/>
        <w:ind w:firstLine="640"/>
      </w:pPr>
      <w:r>
        <w:rPr>
          <w:rFonts w:hint="eastAsia"/>
        </w:rPr>
        <w:t>规划在镇区新增一处小型垃圾转运站</w:t>
      </w:r>
      <w:r>
        <w:t>，占地面积</w:t>
      </w:r>
      <w:r>
        <w:rPr>
          <w:rFonts w:hint="eastAsia"/>
        </w:rPr>
        <w:t>0.03</w:t>
      </w:r>
      <w:r>
        <w:t>公顷。</w:t>
      </w:r>
    </w:p>
    <w:p>
      <w:pPr>
        <w:pStyle w:val="3"/>
      </w:pPr>
      <w:r>
        <w:rPr>
          <w:rFonts w:hint="eastAsia"/>
        </w:rPr>
        <w:t>四线管控</w:t>
      </w:r>
    </w:p>
    <w:p>
      <w:pPr>
        <w:pStyle w:val="4"/>
        <w:spacing w:before="195" w:after="195"/>
      </w:pPr>
      <w:bookmarkStart w:id="104" w:name="_Hlk142924641"/>
      <w:r>
        <w:rPr>
          <w:rFonts w:hint="eastAsia"/>
        </w:rPr>
        <w:t>城市黄</w:t>
      </w:r>
      <w:r>
        <w:t>线</w:t>
      </w:r>
    </w:p>
    <w:bookmarkEnd w:id="104"/>
    <w:p>
      <w:pPr>
        <w:spacing w:before="48"/>
        <w:ind w:firstLine="640"/>
        <w:rPr>
          <w:u w:val="single"/>
        </w:rPr>
      </w:pPr>
      <w:r>
        <w:rPr>
          <w:rFonts w:hint="eastAsia"/>
          <w:u w:val="single"/>
        </w:rPr>
        <w:t>包括给水用地、通信用地和环卫用地，面积分别为</w:t>
      </w:r>
      <w:r>
        <w:rPr>
          <w:u w:val="single"/>
        </w:rPr>
        <w:t>0.</w:t>
      </w:r>
      <w:r>
        <w:rPr>
          <w:rFonts w:hint="eastAsia"/>
          <w:u w:val="single"/>
        </w:rPr>
        <w:t>03</w:t>
      </w:r>
      <w:r>
        <w:rPr>
          <w:u w:val="single"/>
        </w:rPr>
        <w:t>公顷、0.</w:t>
      </w:r>
      <w:r>
        <w:rPr>
          <w:rFonts w:hint="eastAsia"/>
          <w:u w:val="single"/>
        </w:rPr>
        <w:t>28</w:t>
      </w:r>
      <w:r>
        <w:rPr>
          <w:u w:val="single"/>
        </w:rPr>
        <w:t>公顷</w:t>
      </w:r>
      <w:r>
        <w:rPr>
          <w:rFonts w:hint="eastAsia"/>
          <w:u w:val="single"/>
        </w:rPr>
        <w:t>和0.03公顷。</w:t>
      </w:r>
    </w:p>
    <w:p>
      <w:pPr>
        <w:spacing w:before="65"/>
        <w:ind w:firstLine="640"/>
        <w:rPr>
          <w:u w:val="single"/>
        </w:rPr>
      </w:pPr>
      <w:r>
        <w:rPr>
          <w:rFonts w:hint="eastAsia"/>
          <w:u w:val="single"/>
        </w:rPr>
        <w:t>城市黄线内不得改作他用，不得违反法律法规、强制性标准以及批准的规划进行开发建设。</w:t>
      </w:r>
      <w:r>
        <w:rPr>
          <w:u w:val="single"/>
        </w:rPr>
        <w:t>违反国家有关技术标准和规范进行建设；未经批准，改装、迁移或拆毁原有城市基础设施；其他损坏城市基础设施或影响城市基础设施安全和正常运转的行为。</w:t>
      </w:r>
    </w:p>
    <w:p>
      <w:pPr>
        <w:pStyle w:val="4"/>
        <w:spacing w:before="195" w:after="195"/>
      </w:pPr>
      <w:bookmarkStart w:id="105" w:name="_Hlk142924653"/>
      <w:bookmarkStart w:id="106" w:name="_Hlk142924647"/>
      <w:r>
        <w:rPr>
          <w:rFonts w:hint="eastAsia"/>
        </w:rPr>
        <w:t>城市绿线</w:t>
      </w:r>
    </w:p>
    <w:bookmarkEnd w:id="105"/>
    <w:p>
      <w:pPr>
        <w:spacing w:before="65"/>
        <w:ind w:firstLine="640"/>
        <w:rPr>
          <w:u w:val="single"/>
        </w:rPr>
      </w:pPr>
      <w:r>
        <w:rPr>
          <w:rFonts w:hint="eastAsia"/>
          <w:u w:val="single"/>
        </w:rPr>
        <w:t>控制范围共2.69</w:t>
      </w:r>
      <w:r>
        <w:rPr>
          <w:u w:val="single"/>
        </w:rPr>
        <w:t>公顷，为规划范围内的</w:t>
      </w:r>
      <w:r>
        <w:rPr>
          <w:rFonts w:hint="eastAsia"/>
          <w:u w:val="single"/>
        </w:rPr>
        <w:t>结构性</w:t>
      </w:r>
      <w:r>
        <w:rPr>
          <w:u w:val="single"/>
        </w:rPr>
        <w:t>公园绿地和广场用地</w:t>
      </w:r>
      <w:r>
        <w:rPr>
          <w:rFonts w:hint="eastAsia"/>
          <w:u w:val="single"/>
        </w:rPr>
        <w:t>。</w:t>
      </w:r>
    </w:p>
    <w:p>
      <w:pPr>
        <w:spacing w:before="65"/>
        <w:ind w:firstLine="640"/>
      </w:pPr>
      <w:r>
        <w:rPr>
          <w:rFonts w:hint="eastAsia"/>
          <w:u w:val="single"/>
        </w:rPr>
        <w:t>城市绿线内的用地，不得改作他用，不得违反法律法规、强制性标准以及批准的规划进行开发建设。控制线内的用地，不得改作他用，不得违反法律法规、强制性标准以及批准的规划进行开发建设。有关部门不得违反规定，批准在城市绿线范围内进行建设。因建设或者其他特殊情况，需要临时占用城市绿线内用地的，必须依法办理相关审批手续。在城市绿线范围内，不符合规划要求的建筑物、构筑物及其他设施应当限期迁出。任何单位和个人不得在绿地控制线范围内进行拦河截溪、取土采石、设置垃圾堆场、排放污水以及其他对生态环境构成破坏的活动。近期不进行绿化建设的规划绿地范围内的建设活动，应当进行生态环境影响分析，并按照《中华人民共和国城乡规划法》的规定，予以严格控制</w:t>
      </w:r>
      <w:r>
        <w:rPr>
          <w:rFonts w:hint="eastAsia"/>
        </w:rPr>
        <w:t>。</w:t>
      </w:r>
    </w:p>
    <w:bookmarkEnd w:id="106"/>
    <w:p>
      <w:pPr>
        <w:spacing w:before="65"/>
        <w:ind w:firstLine="640"/>
      </w:pPr>
      <w:r>
        <w:br w:type="page"/>
      </w:r>
    </w:p>
    <w:p>
      <w:pPr>
        <w:spacing w:before="65"/>
        <w:ind w:firstLine="640"/>
      </w:pPr>
    </w:p>
    <w:p>
      <w:pPr>
        <w:pStyle w:val="2"/>
        <w:spacing w:before="489" w:after="489"/>
      </w:pPr>
      <w:bookmarkStart w:id="107" w:name="_Toc206777522"/>
      <w:r>
        <w:rPr>
          <w:rFonts w:hint="eastAsia"/>
        </w:rPr>
        <w:t>土地综合整治与生态修复</w:t>
      </w:r>
      <w:bookmarkEnd w:id="107"/>
    </w:p>
    <w:p>
      <w:pPr>
        <w:pStyle w:val="3"/>
      </w:pPr>
      <w:bookmarkStart w:id="108" w:name="_Hlk142899891"/>
      <w:bookmarkStart w:id="109" w:name="_Toc11093"/>
      <w:bookmarkStart w:id="110" w:name="_Toc27152"/>
      <w:r>
        <w:rPr>
          <w:rFonts w:hint="eastAsia"/>
        </w:rPr>
        <w:t>土地综合整治</w:t>
      </w:r>
      <w:bookmarkEnd w:id="108"/>
      <w:bookmarkEnd w:id="109"/>
    </w:p>
    <w:p>
      <w:pPr>
        <w:pStyle w:val="4"/>
        <w:spacing w:before="195" w:after="195"/>
      </w:pPr>
      <w:r>
        <w:rPr>
          <w:rFonts w:hint="eastAsia"/>
        </w:rPr>
        <w:t>落实</w:t>
      </w:r>
      <w:r>
        <w:t>整治</w:t>
      </w:r>
      <w:r>
        <w:rPr>
          <w:rFonts w:hint="eastAsia"/>
        </w:rPr>
        <w:t>任务</w:t>
      </w:r>
    </w:p>
    <w:p>
      <w:pPr>
        <w:spacing w:before="65"/>
        <w:ind w:firstLine="640"/>
        <w:rPr>
          <w:rFonts w:ascii="Times New Roman" w:hAnsi="Times New Roman"/>
        </w:rPr>
      </w:pPr>
      <w:r>
        <w:rPr>
          <w:rFonts w:hint="eastAsia"/>
        </w:rPr>
        <w:t>规划期</w:t>
      </w:r>
      <w:r>
        <w:t>内，落实</w:t>
      </w:r>
      <w:r>
        <w:rPr>
          <w:rFonts w:ascii="Times New Roman" w:hAnsi="Times New Roman"/>
          <w:lang w:bidi="ar"/>
        </w:rPr>
        <w:t>土地整治补充耕地</w:t>
      </w:r>
      <w:r>
        <w:rPr>
          <w:rFonts w:hint="eastAsia" w:ascii="Times New Roman" w:hAnsi="Times New Roman"/>
          <w:lang w:bidi="ar"/>
        </w:rPr>
        <w:t>任务</w:t>
      </w:r>
      <w:r>
        <w:rPr>
          <w:rFonts w:ascii="Times New Roman" w:hAnsi="Times New Roman"/>
          <w:lang w:bidi="ar"/>
        </w:rPr>
        <w:t>不低于</w:t>
      </w:r>
      <w:r>
        <w:rPr>
          <w:rFonts w:hint="eastAsia" w:ascii="Times New Roman" w:hAnsi="Times New Roman"/>
          <w:lang w:bidi="ar"/>
        </w:rPr>
        <w:t>98.40</w:t>
      </w:r>
      <w:r>
        <w:rPr>
          <w:rFonts w:ascii="Times New Roman" w:hAnsi="Times New Roman"/>
          <w:lang w:bidi="ar"/>
        </w:rPr>
        <w:t>公顷，</w:t>
      </w:r>
      <w:r>
        <w:rPr>
          <w:rFonts w:hint="eastAsia" w:ascii="Times New Roman" w:hAnsi="Times New Roman" w:cs="宋体"/>
          <w:lang w:bidi="ar"/>
        </w:rPr>
        <w:t>其中农用地整理补充耕地</w:t>
      </w:r>
      <w:r>
        <w:rPr>
          <w:rFonts w:ascii="Times New Roman" w:hAnsi="Times New Roman" w:cs="宋体"/>
          <w:lang w:bidi="ar"/>
        </w:rPr>
        <w:t>规模</w:t>
      </w:r>
      <w:r>
        <w:rPr>
          <w:rFonts w:hint="eastAsia" w:ascii="Times New Roman" w:hAnsi="Times New Roman"/>
          <w:lang w:bidi="ar"/>
        </w:rPr>
        <w:t>54.06</w:t>
      </w:r>
      <w:r>
        <w:rPr>
          <w:rFonts w:hint="eastAsia" w:ascii="Times New Roman" w:hAnsi="Times New Roman" w:cs="宋体"/>
          <w:lang w:bidi="ar"/>
        </w:rPr>
        <w:t>公顷，农村建设用地整理补充耕地规模</w:t>
      </w:r>
      <w:r>
        <w:rPr>
          <w:rFonts w:hint="eastAsia" w:ascii="Times New Roman" w:hAnsi="Times New Roman"/>
          <w:lang w:bidi="ar"/>
        </w:rPr>
        <w:t>23.03</w:t>
      </w:r>
      <w:r>
        <w:rPr>
          <w:rFonts w:hint="eastAsia" w:ascii="Times New Roman" w:hAnsi="Times New Roman" w:cs="宋体"/>
          <w:lang w:bidi="ar"/>
        </w:rPr>
        <w:t>公顷，耕地后备</w:t>
      </w:r>
      <w:r>
        <w:rPr>
          <w:rFonts w:ascii="Times New Roman" w:hAnsi="Times New Roman" w:cs="宋体"/>
          <w:lang w:bidi="ar"/>
        </w:rPr>
        <w:t>资源</w:t>
      </w:r>
      <w:r>
        <w:rPr>
          <w:rFonts w:hint="eastAsia" w:ascii="Times New Roman" w:hAnsi="Times New Roman" w:cs="宋体"/>
          <w:lang w:bidi="ar"/>
        </w:rPr>
        <w:t>开发补充耕地规模</w:t>
      </w:r>
      <w:r>
        <w:rPr>
          <w:rFonts w:hint="eastAsia" w:ascii="Times New Roman" w:hAnsi="Times New Roman"/>
          <w:lang w:bidi="ar"/>
        </w:rPr>
        <w:t>21.34</w:t>
      </w:r>
      <w:r>
        <w:rPr>
          <w:rFonts w:hint="eastAsia" w:ascii="Times New Roman" w:hAnsi="Times New Roman" w:cs="宋体"/>
          <w:lang w:bidi="ar"/>
        </w:rPr>
        <w:t>公顷。</w:t>
      </w:r>
      <w:r>
        <w:rPr>
          <w:rFonts w:ascii="Times New Roman" w:hAnsi="Times New Roman"/>
          <w:lang w:bidi="ar"/>
        </w:rPr>
        <w:t>区域内永久基本农田全部建成为高标准农田</w:t>
      </w:r>
      <w:r>
        <w:rPr>
          <w:rFonts w:hint="eastAsia"/>
        </w:rPr>
        <w:t>。</w:t>
      </w:r>
    </w:p>
    <w:p>
      <w:pPr>
        <w:pStyle w:val="4"/>
        <w:spacing w:before="195" w:after="195"/>
      </w:pPr>
      <w:r>
        <w:rPr>
          <w:rFonts w:hint="eastAsia"/>
        </w:rPr>
        <w:t>整治</w:t>
      </w:r>
      <w:r>
        <w:t>重点工程</w:t>
      </w:r>
    </w:p>
    <w:p>
      <w:pPr>
        <w:spacing w:before="65"/>
        <w:ind w:firstLine="640"/>
      </w:pPr>
      <w:r>
        <w:rPr>
          <w:rFonts w:hint="eastAsia"/>
          <w:bCs/>
        </w:rPr>
        <w:t>全域</w:t>
      </w:r>
      <w:r>
        <w:rPr>
          <w:bCs/>
        </w:rPr>
        <w:t>土地综合整治项目。</w:t>
      </w:r>
      <w:r>
        <w:rPr>
          <w:rFonts w:hint="eastAsia"/>
          <w:bCs/>
        </w:rPr>
        <w:t>以</w:t>
      </w:r>
      <w:r>
        <w:rPr>
          <w:bCs/>
        </w:rPr>
        <w:t>全镇为单元</w:t>
      </w:r>
      <w:r>
        <w:rPr>
          <w:rFonts w:hint="eastAsia"/>
          <w:bCs/>
        </w:rPr>
        <w:t>整体</w:t>
      </w:r>
      <w:r>
        <w:rPr>
          <w:bCs/>
        </w:rPr>
        <w:t>推进土地综合整治</w:t>
      </w:r>
      <w:r>
        <w:rPr>
          <w:rFonts w:hint="eastAsia"/>
          <w:bCs/>
        </w:rPr>
        <w:t>，开展</w:t>
      </w:r>
      <w:r>
        <w:rPr>
          <w:bCs/>
        </w:rPr>
        <w:t>全域土地综合整治</w:t>
      </w:r>
      <w:r>
        <w:t>项目，</w:t>
      </w:r>
      <w:r>
        <w:rPr>
          <w:rFonts w:hint="eastAsia"/>
        </w:rPr>
        <w:t>包含农用地整治、建设用地整治、乡村生态保护修复、乡村振兴及人居环境提升等。综合</w:t>
      </w:r>
      <w:r>
        <w:t>整治过程中，</w:t>
      </w:r>
      <w:r>
        <w:rPr>
          <w:rFonts w:hint="eastAsia"/>
        </w:rPr>
        <w:t>以</w:t>
      </w:r>
      <w:r>
        <w:t>整治重点区域为引，分别侧重</w:t>
      </w:r>
      <w:r>
        <w:rPr>
          <w:rFonts w:hint="eastAsia"/>
        </w:rPr>
        <w:t>综合</w:t>
      </w:r>
      <w:r>
        <w:t>整治</w:t>
      </w:r>
      <w:r>
        <w:rPr>
          <w:rFonts w:hint="eastAsia"/>
        </w:rPr>
        <w:t>、</w:t>
      </w:r>
      <w:r>
        <w:t>农用地整理、农村建设用地整理、耕地后备资源开发等</w:t>
      </w:r>
      <w:r>
        <w:rPr>
          <w:rFonts w:hint="eastAsia"/>
        </w:rPr>
        <w:t>，分解</w:t>
      </w:r>
      <w:r>
        <w:t>补充耕地任务，完成耕地保护目标。</w:t>
      </w:r>
    </w:p>
    <w:p>
      <w:pPr>
        <w:spacing w:before="65"/>
        <w:ind w:firstLine="640"/>
      </w:pPr>
    </w:p>
    <w:p>
      <w:pPr>
        <w:pStyle w:val="3"/>
      </w:pPr>
      <w:r>
        <w:rPr>
          <w:rFonts w:hint="eastAsia"/>
        </w:rPr>
        <w:t>国土空间生态修复</w:t>
      </w:r>
      <w:bookmarkEnd w:id="110"/>
    </w:p>
    <w:p>
      <w:pPr>
        <w:pStyle w:val="4"/>
        <w:spacing w:before="195" w:after="195"/>
      </w:pPr>
      <w:r>
        <w:rPr>
          <w:rFonts w:hint="eastAsia"/>
        </w:rPr>
        <w:t>生态修复</w:t>
      </w:r>
    </w:p>
    <w:p>
      <w:pPr>
        <w:pStyle w:val="5"/>
        <w:ind w:firstLine="640"/>
      </w:pPr>
      <w:bookmarkStart w:id="111" w:name="_Hlk180140331"/>
      <w:r>
        <w:t>水生态修复</w:t>
      </w:r>
    </w:p>
    <w:p>
      <w:pPr>
        <w:spacing w:before="48"/>
        <w:ind w:firstLine="640"/>
        <w:rPr>
          <w:rFonts w:ascii="Times New Roman" w:hAnsi="Times New Roman"/>
          <w:lang w:bidi="ar"/>
        </w:rPr>
      </w:pPr>
      <w:r>
        <w:rPr>
          <w:rFonts w:hint="eastAsia" w:ascii="Times New Roman" w:hAnsi="Times New Roman"/>
          <w:lang w:bidi="ar"/>
        </w:rPr>
        <w:t>系统推进水体生态修复和污染防治，实现水环境质量全面改善。到</w:t>
      </w:r>
      <w:r>
        <w:rPr>
          <w:rFonts w:ascii="Times New Roman" w:hAnsi="Times New Roman"/>
          <w:lang w:bidi="ar"/>
        </w:rPr>
        <w:t>2025年，重要江河湖泊水功能区水质达标率达到100%，</w:t>
      </w:r>
      <w:r>
        <w:rPr>
          <w:rFonts w:hint="eastAsia" w:ascii="Times New Roman" w:hAnsi="Times New Roman"/>
          <w:lang w:bidi="ar"/>
        </w:rPr>
        <w:t>桃溪</w:t>
      </w:r>
      <w:r>
        <w:rPr>
          <w:rFonts w:ascii="Times New Roman" w:hAnsi="Times New Roman"/>
          <w:lang w:bidi="ar"/>
        </w:rPr>
        <w:t>镇地表水体政府责任目标断面水质达到或优于</w:t>
      </w:r>
      <w:r>
        <w:rPr>
          <w:rFonts w:hint="eastAsia" w:cs="宋体"/>
          <w:lang w:bidi="ar"/>
        </w:rPr>
        <w:t>Ⅳ</w:t>
      </w:r>
      <w:r>
        <w:rPr>
          <w:rFonts w:ascii="Times New Roman" w:hAnsi="Times New Roman"/>
          <w:lang w:bidi="ar"/>
        </w:rPr>
        <w:t>类水质；到2035年，重要江河湖泊水功能区水质达标率达到100%，</w:t>
      </w:r>
      <w:r>
        <w:rPr>
          <w:rFonts w:hint="eastAsia" w:ascii="Times New Roman" w:hAnsi="Times New Roman"/>
          <w:lang w:bidi="ar"/>
        </w:rPr>
        <w:t>桃溪</w:t>
      </w:r>
      <w:r>
        <w:rPr>
          <w:rFonts w:ascii="Times New Roman" w:hAnsi="Times New Roman"/>
          <w:lang w:bidi="ar"/>
        </w:rPr>
        <w:t>镇地表水体政府责任目标断面水质达到或优于</w:t>
      </w:r>
      <w:r>
        <w:rPr>
          <w:rFonts w:hint="eastAsia" w:cs="宋体"/>
          <w:lang w:bidi="ar"/>
        </w:rPr>
        <w:t>Ⅲ</w:t>
      </w:r>
      <w:r>
        <w:rPr>
          <w:rFonts w:ascii="Times New Roman" w:hAnsi="Times New Roman"/>
          <w:lang w:bidi="ar"/>
        </w:rPr>
        <w:t>类水质。</w:t>
      </w:r>
    </w:p>
    <w:p>
      <w:pPr>
        <w:spacing w:before="48"/>
        <w:ind w:firstLine="640"/>
        <w:rPr>
          <w:rFonts w:ascii="Times New Roman" w:hAnsi="Times New Roman"/>
          <w:lang w:bidi="ar"/>
        </w:rPr>
      </w:pPr>
      <w:r>
        <w:rPr>
          <w:rFonts w:hint="eastAsia" w:ascii="Times New Roman" w:hAnsi="Times New Roman"/>
          <w:lang w:bidi="ar"/>
        </w:rPr>
        <w:t>强化刁河、寺河重点区域修复。以河渠为骨架，在其两侧营造防护林带，河沟渠林相结合，打造桃溪水相连、林相接的生态廊道网络。重点推进刁河生态保育带建设，开展河道水生态修复和生物多样性保护；全面推进水源涵养和水质保护行动，围绕寺河、刁河，加快构建“水清岸绿”的城镇水系。</w:t>
      </w:r>
    </w:p>
    <w:p>
      <w:pPr>
        <w:spacing w:before="48"/>
        <w:ind w:firstLine="640"/>
        <w:rPr>
          <w:rFonts w:ascii="Times New Roman" w:hAnsi="Times New Roman"/>
          <w:lang w:bidi="ar"/>
        </w:rPr>
      </w:pPr>
      <w:r>
        <w:rPr>
          <w:rFonts w:hint="eastAsia" w:ascii="Times New Roman" w:hAnsi="Times New Roman"/>
          <w:lang w:bidi="ar"/>
        </w:rPr>
        <w:t>实施重点工程建设。重点整治刁河，加强刁河干流水环境综合治理</w:t>
      </w:r>
      <w:r>
        <w:rPr>
          <w:rFonts w:ascii="Times New Roman" w:hAnsi="Times New Roman"/>
          <w:lang w:bidi="ar"/>
        </w:rPr>
        <w:t>；加快污水处理设施及配套管网建设，积极推进海绵城市建设，改善城市综合生态环境；加强农村地区小型污水处理设施建设，全面整治农业面源污染，降低化学农药、化肥施用总量和强度；开展山地丘陵水土流失治理，系统推进小流域综合治理工程。</w:t>
      </w:r>
    </w:p>
    <w:p>
      <w:pPr>
        <w:pStyle w:val="5"/>
        <w:ind w:firstLine="640"/>
      </w:pPr>
      <w:r>
        <w:t>森林生态修复</w:t>
      </w:r>
    </w:p>
    <w:p>
      <w:pPr>
        <w:spacing w:before="48"/>
        <w:ind w:firstLine="640"/>
        <w:rPr>
          <w:rFonts w:ascii="Times New Roman" w:hAnsi="Times New Roman"/>
          <w:lang w:bidi="ar"/>
        </w:rPr>
      </w:pPr>
      <w:r>
        <w:rPr>
          <w:rFonts w:hint="eastAsia" w:ascii="Times New Roman" w:hAnsi="Times New Roman"/>
          <w:lang w:bidi="ar"/>
        </w:rPr>
        <w:t>统筹推进森林生态修复，森林质量明显提升，森林生态服务功能进一步完善。至</w:t>
      </w:r>
      <w:r>
        <w:rPr>
          <w:rFonts w:ascii="Times New Roman" w:hAnsi="Times New Roman"/>
          <w:lang w:bidi="ar"/>
        </w:rPr>
        <w:t>2035年，宜林荒山、荒地、荒滩绿化率达到90%以上，镇域省道全部绿化；县乡道路、旅游通道宜绿化里程95%以上；</w:t>
      </w:r>
      <w:r>
        <w:rPr>
          <w:rFonts w:hint="eastAsia" w:ascii="Times New Roman" w:hAnsi="Times New Roman"/>
          <w:lang w:bidi="ar"/>
        </w:rPr>
        <w:t>刁河、寺</w:t>
      </w:r>
      <w:r>
        <w:rPr>
          <w:rFonts w:ascii="Times New Roman" w:hAnsi="Times New Roman"/>
          <w:lang w:bidi="ar"/>
        </w:rPr>
        <w:t>河等河流宜绿化地段95%以上；</w:t>
      </w:r>
      <w:r>
        <w:rPr>
          <w:rFonts w:hint="eastAsia" w:ascii="Times New Roman" w:hAnsi="Times New Roman"/>
          <w:lang w:bidi="ar"/>
        </w:rPr>
        <w:t>桃溪</w:t>
      </w:r>
      <w:r>
        <w:rPr>
          <w:rFonts w:ascii="Times New Roman" w:hAnsi="Times New Roman"/>
          <w:lang w:bidi="ar"/>
        </w:rPr>
        <w:t>镇乡村绿化示范村达标率达到80%，村庄整体绿化率达到35%以上。</w:t>
      </w:r>
    </w:p>
    <w:p>
      <w:pPr>
        <w:spacing w:before="48"/>
        <w:ind w:firstLine="640"/>
        <w:rPr>
          <w:rFonts w:ascii="Times New Roman" w:hAnsi="Times New Roman"/>
          <w:lang w:bidi="ar"/>
        </w:rPr>
      </w:pPr>
      <w:r>
        <w:rPr>
          <w:rFonts w:hint="eastAsia" w:ascii="Times New Roman" w:hAnsi="Times New Roman"/>
          <w:lang w:bidi="ar"/>
        </w:rPr>
        <w:t>强化重点区域修复。重点推进桃溪镇域内省330、绿化带建设，加强淇淅河湿地植被保护与生态修复。在桃溪镇与北部、南部低山丘陵区的宜林荒山上进行植苗造林。</w:t>
      </w:r>
    </w:p>
    <w:p>
      <w:pPr>
        <w:spacing w:before="48"/>
        <w:ind w:firstLine="640"/>
        <w:rPr>
          <w:rFonts w:ascii="Times New Roman" w:hAnsi="Times New Roman"/>
          <w:lang w:bidi="ar"/>
        </w:rPr>
      </w:pPr>
      <w:r>
        <w:rPr>
          <w:rFonts w:hint="eastAsia" w:ascii="Times New Roman" w:hAnsi="Times New Roman"/>
          <w:lang w:bidi="ar"/>
        </w:rPr>
        <w:t>实施重点工程建设。以生态廊道绿化工程为依托，重点推进市域道路绿化子项目、河道绿化子项目；抓好桃溪镇等乡（镇）森林抚育项目；持续推进内乡国储林工程建设。</w:t>
      </w:r>
    </w:p>
    <w:p>
      <w:pPr>
        <w:pStyle w:val="5"/>
        <w:ind w:firstLine="640"/>
      </w:pPr>
      <w:r>
        <w:t>矿山生态修复</w:t>
      </w:r>
    </w:p>
    <w:p>
      <w:pPr>
        <w:spacing w:before="48"/>
        <w:ind w:firstLine="640"/>
        <w:rPr>
          <w:rFonts w:ascii="Times New Roman" w:hAnsi="Times New Roman"/>
          <w:lang w:bidi="ar"/>
        </w:rPr>
      </w:pPr>
      <w:r>
        <w:rPr>
          <w:rFonts w:hint="eastAsia" w:ascii="Times New Roman" w:hAnsi="Times New Roman"/>
          <w:lang w:bidi="ar"/>
        </w:rPr>
        <w:t>系统推进矿山地质环境恢复和综合治理，全面提升矿山生态环境质量。到</w:t>
      </w:r>
      <w:r>
        <w:rPr>
          <w:rFonts w:ascii="Times New Roman" w:hAnsi="Times New Roman"/>
          <w:lang w:bidi="ar"/>
        </w:rPr>
        <w:t>2025年，历史遗留矿山治理率不低于95%，生产矿山实行边开采边治理，矿山地质环境治理率达到95%；到2035年，全面完成历史遗留矿山生态修复，历史遗留矿山治理率达到100%。全面推进绿色矿山发展示范区建设，绿色矿山建成率达到100%。</w:t>
      </w:r>
    </w:p>
    <w:p>
      <w:pPr>
        <w:spacing w:before="48"/>
        <w:ind w:firstLine="640"/>
        <w:rPr>
          <w:rFonts w:ascii="Times New Roman" w:hAnsi="Times New Roman"/>
          <w:lang w:bidi="ar"/>
        </w:rPr>
      </w:pPr>
      <w:r>
        <w:rPr>
          <w:rFonts w:hint="eastAsia" w:ascii="Times New Roman" w:hAnsi="Times New Roman"/>
          <w:lang w:bidi="ar"/>
        </w:rPr>
        <w:t>强化重点区域修复。对县级以上公路、河道两侧可视范围内现存的废弃矿山进行治理，推进废弃矿地综合利用及土地复垦，全面改善矿山生态环境。重点加强桃溪镇露天矿山地质环境的恢复治理。</w:t>
      </w:r>
    </w:p>
    <w:p>
      <w:pPr>
        <w:spacing w:before="48"/>
        <w:ind w:firstLine="640"/>
        <w:rPr>
          <w:rFonts w:ascii="Times New Roman" w:hAnsi="Times New Roman"/>
          <w:lang w:bidi="ar"/>
        </w:rPr>
      </w:pPr>
      <w:r>
        <w:rPr>
          <w:rFonts w:hint="eastAsia" w:ascii="Times New Roman" w:hAnsi="Times New Roman"/>
          <w:lang w:bidi="ar"/>
        </w:rPr>
        <w:t>实施重点工程建设。重点推进历史遗留废弃矿山地质环境生态修复类重点工程，包括桃庄河村和彭沟村矿坑治理区；推进有责任主体露天矿山地质环境生态修复类重点工程。</w:t>
      </w:r>
    </w:p>
    <w:p>
      <w:pPr>
        <w:pStyle w:val="5"/>
        <w:ind w:firstLine="640"/>
      </w:pPr>
      <w:r>
        <w:t>地质灾害治理</w:t>
      </w:r>
    </w:p>
    <w:p>
      <w:pPr>
        <w:spacing w:before="48"/>
        <w:ind w:firstLine="640"/>
        <w:rPr>
          <w:rFonts w:ascii="Times New Roman" w:hAnsi="Times New Roman"/>
          <w:lang w:bidi="ar"/>
        </w:rPr>
      </w:pPr>
      <w:r>
        <w:rPr>
          <w:rFonts w:hint="eastAsia" w:ascii="Times New Roman" w:hAnsi="Times New Roman"/>
          <w:lang w:bidi="ar"/>
        </w:rPr>
        <w:t>明确地质灾害治理目标。地质灾害治理工程与生态措施结合，恢复地质灾害隐患点地质环境。规划目标年，全面建成桃溪镇地质灾害排查评价体系、监测预警体系、防治体系和应急体系。严格执行、落实地质灾害年度巡查、排查、核查制度，全面掌握地质灾害隐患的基本信息及变动情况，实施内乡县地质灾害防治规划，落实重要地质灾害隐患点专群结合监测预警措施，完成主要地质灾害隐患点的治理工作，使地质灾害得到及时监控和有效处置，最大程度地减少因地质灾害造成的人员伤亡和财产损失。</w:t>
      </w:r>
    </w:p>
    <w:p>
      <w:pPr>
        <w:spacing w:before="48"/>
        <w:ind w:firstLine="640"/>
        <w:rPr>
          <w:rFonts w:ascii="Times New Roman" w:hAnsi="Times New Roman"/>
          <w:lang w:bidi="ar"/>
        </w:rPr>
      </w:pPr>
      <w:r>
        <w:rPr>
          <w:rFonts w:hint="eastAsia" w:ascii="Times New Roman" w:hAnsi="Times New Roman"/>
          <w:lang w:bidi="ar"/>
        </w:rPr>
        <w:t>强化重点区域治理。重点对桃庄河滑坡高易发区的地质灾害隐患点进行治理。</w:t>
      </w:r>
    </w:p>
    <w:p>
      <w:pPr>
        <w:spacing w:before="48"/>
        <w:ind w:firstLine="640"/>
        <w:rPr>
          <w:rFonts w:ascii="Times New Roman" w:hAnsi="Times New Roman"/>
          <w:lang w:bidi="ar"/>
        </w:rPr>
      </w:pPr>
      <w:r>
        <w:rPr>
          <w:rFonts w:hint="eastAsia" w:ascii="Times New Roman" w:hAnsi="Times New Roman"/>
          <w:lang w:bidi="ar"/>
        </w:rPr>
        <w:t>实施重点工程建设。重点推进桃庄河村滑坡治理项目。</w:t>
      </w:r>
    </w:p>
    <w:p>
      <w:pPr>
        <w:spacing w:before="48"/>
        <w:ind w:firstLine="640"/>
        <w:rPr>
          <w:rFonts w:ascii="Times New Roman" w:hAnsi="Times New Roman"/>
          <w:lang w:bidi="ar"/>
        </w:rPr>
      </w:pPr>
    </w:p>
    <w:bookmarkEnd w:id="111"/>
    <w:p>
      <w:pPr>
        <w:pStyle w:val="4"/>
        <w:spacing w:before="195" w:after="195"/>
      </w:pPr>
      <w:r>
        <w:t>土壤污染防治与生态修复工程</w:t>
      </w:r>
    </w:p>
    <w:p>
      <w:pPr>
        <w:pStyle w:val="5"/>
        <w:spacing w:before="97" w:after="97"/>
        <w:ind w:firstLine="640"/>
      </w:pPr>
      <w:r>
        <w:rPr>
          <w:rFonts w:hint="eastAsia"/>
        </w:rPr>
        <w:t>重金属</w:t>
      </w:r>
      <w:r>
        <w:t>排放污染防治工程</w:t>
      </w:r>
    </w:p>
    <w:p>
      <w:pPr>
        <w:spacing w:before="65" w:after="120"/>
        <w:ind w:firstLine="640"/>
      </w:pPr>
      <w:r>
        <w:rPr>
          <w:rFonts w:hint="eastAsia"/>
        </w:rPr>
        <w:t>按照内乡县规划</w:t>
      </w:r>
      <w:r>
        <w:t>要求，严格执行涉</w:t>
      </w:r>
      <w:r>
        <w:rPr>
          <w:rFonts w:hint="eastAsia"/>
        </w:rPr>
        <w:t>重金属</w:t>
      </w:r>
      <w:r>
        <w:t>企业环境准入要求，持续实施</w:t>
      </w:r>
      <w:r>
        <w:rPr>
          <w:rFonts w:hint="eastAsia"/>
        </w:rPr>
        <w:t>排放</w:t>
      </w:r>
      <w:r>
        <w:t>“</w:t>
      </w:r>
      <w:r>
        <w:rPr>
          <w:rFonts w:hint="eastAsia"/>
        </w:rPr>
        <w:t>等量置换</w:t>
      </w:r>
      <w:r>
        <w:t>”</w:t>
      </w:r>
      <w:r>
        <w:rPr>
          <w:rFonts w:hint="eastAsia"/>
        </w:rPr>
        <w:t>或</w:t>
      </w:r>
      <w:r>
        <w:t>“</w:t>
      </w:r>
      <w:r>
        <w:rPr>
          <w:rFonts w:hint="eastAsia"/>
        </w:rPr>
        <w:t>减量</w:t>
      </w:r>
      <w:r>
        <w:t>置换”</w:t>
      </w:r>
      <w:r>
        <w:rPr>
          <w:rFonts w:hint="eastAsia"/>
        </w:rPr>
        <w:t>，</w:t>
      </w:r>
      <w:r>
        <w:t>实现全镇重点行业</w:t>
      </w:r>
      <w:r>
        <w:rPr>
          <w:rFonts w:hint="eastAsia"/>
        </w:rPr>
        <w:t>重金属</w:t>
      </w:r>
      <w:r>
        <w:t>污染排放</w:t>
      </w:r>
      <w:r>
        <w:rPr>
          <w:rFonts w:hint="eastAsia"/>
        </w:rPr>
        <w:t>总量</w:t>
      </w:r>
      <w:r>
        <w:t>零增长。对全镇耕地土壤、农产品有关区域和</w:t>
      </w:r>
      <w:r>
        <w:rPr>
          <w:rFonts w:hint="eastAsia"/>
        </w:rPr>
        <w:t>涉重金属</w:t>
      </w:r>
      <w:r>
        <w:t>污染加强筛查，加大违规</w:t>
      </w:r>
      <w:r>
        <w:rPr>
          <w:rFonts w:hint="eastAsia"/>
        </w:rPr>
        <w:t>处罚</w:t>
      </w:r>
      <w:r>
        <w:t>力度，</w:t>
      </w:r>
      <w:r>
        <w:rPr>
          <w:rFonts w:hint="eastAsia"/>
        </w:rPr>
        <w:t>全力</w:t>
      </w:r>
      <w:r>
        <w:t>开展农业耕地污染修复。</w:t>
      </w:r>
    </w:p>
    <w:p>
      <w:pPr>
        <w:pStyle w:val="5"/>
        <w:spacing w:before="97" w:after="97"/>
        <w:ind w:firstLine="640"/>
      </w:pPr>
      <w:r>
        <w:rPr>
          <w:rFonts w:hint="eastAsia"/>
        </w:rPr>
        <w:t>污染</w:t>
      </w:r>
      <w:r>
        <w:t>耕地修复工程</w:t>
      </w:r>
    </w:p>
    <w:p>
      <w:pPr>
        <w:spacing w:before="65" w:after="120"/>
        <w:ind w:firstLine="640"/>
      </w:pPr>
      <w:r>
        <w:rPr>
          <w:rFonts w:hint="eastAsia"/>
        </w:rPr>
        <w:t>合理</w:t>
      </w:r>
      <w:r>
        <w:t>使用</w:t>
      </w:r>
      <w:r>
        <w:rPr>
          <w:rFonts w:hint="eastAsia"/>
        </w:rPr>
        <w:t>化肥</w:t>
      </w:r>
      <w:r>
        <w:t>农药，鼓励增施</w:t>
      </w:r>
      <w:r>
        <w:rPr>
          <w:rFonts w:hint="eastAsia"/>
        </w:rPr>
        <w:t>有机肥</w:t>
      </w:r>
      <w:r>
        <w:t>，减少</w:t>
      </w:r>
      <w:r>
        <w:rPr>
          <w:rFonts w:hint="eastAsia"/>
        </w:rPr>
        <w:t>化肥施用量</w:t>
      </w:r>
      <w:r>
        <w:t>。推行</w:t>
      </w:r>
      <w:r>
        <w:rPr>
          <w:rFonts w:hint="eastAsia"/>
        </w:rPr>
        <w:t>秸秆还田</w:t>
      </w:r>
      <w:r>
        <w:t>、增加有机肥、少耕免耕、粮豆轮作、农膜减量与回收利用等措施，并加强</w:t>
      </w:r>
      <w:r>
        <w:rPr>
          <w:rFonts w:hint="eastAsia"/>
        </w:rPr>
        <w:t>灌溉</w:t>
      </w:r>
      <w:r>
        <w:t>水水质</w:t>
      </w:r>
      <w:r>
        <w:rPr>
          <w:rFonts w:hint="eastAsia"/>
        </w:rPr>
        <w:t>监测</w:t>
      </w:r>
      <w:r>
        <w:t>管理，降低耕地污染</w:t>
      </w:r>
      <w:r>
        <w:rPr>
          <w:rFonts w:hint="eastAsia"/>
        </w:rPr>
        <w:t>风险</w:t>
      </w:r>
      <w:r>
        <w:t>。</w:t>
      </w:r>
      <w:r>
        <w:rPr>
          <w:rFonts w:hint="eastAsia"/>
        </w:rPr>
        <w:t>同时</w:t>
      </w:r>
      <w:r>
        <w:t>结合当地主要</w:t>
      </w:r>
      <w:r>
        <w:rPr>
          <w:rFonts w:hint="eastAsia"/>
        </w:rPr>
        <w:t>作物</w:t>
      </w:r>
      <w:r>
        <w:t>品种和</w:t>
      </w:r>
      <w:r>
        <w:rPr>
          <w:rFonts w:hint="eastAsia"/>
        </w:rPr>
        <w:t>种植</w:t>
      </w:r>
      <w:r>
        <w:t>习惯，对受污染耕地采取土壤调酸、水分管控、喷施</w:t>
      </w:r>
      <w:r>
        <w:rPr>
          <w:rFonts w:hint="eastAsia"/>
        </w:rPr>
        <w:t>叶面</w:t>
      </w:r>
      <w:r>
        <w:t>阻</w:t>
      </w:r>
      <w:r>
        <w:rPr>
          <w:rFonts w:hint="eastAsia"/>
        </w:rPr>
        <w:t>控剂等</w:t>
      </w:r>
      <w:r>
        <w:t>农艺综合调控措施，撒施</w:t>
      </w:r>
      <w:r>
        <w:rPr>
          <w:rFonts w:hint="eastAsia"/>
        </w:rPr>
        <w:t>土壤</w:t>
      </w:r>
      <w:r>
        <w:t>调理剂等土壤改良措施，</w:t>
      </w:r>
      <w:r>
        <w:rPr>
          <w:rFonts w:hint="eastAsia"/>
        </w:rPr>
        <w:t>以及</w:t>
      </w:r>
      <w:r>
        <w:t>种植业结构调整、培</w:t>
      </w:r>
      <w:r>
        <w:rPr>
          <w:rFonts w:hint="eastAsia"/>
        </w:rPr>
        <w:t>肥</w:t>
      </w:r>
      <w:r>
        <w:t>式休耕等措施进行综合修复。</w:t>
      </w:r>
    </w:p>
    <w:p>
      <w:pPr>
        <w:spacing w:before="65"/>
        <w:ind w:firstLine="640"/>
      </w:pPr>
      <w:r>
        <w:br w:type="page"/>
      </w:r>
    </w:p>
    <w:p>
      <w:pPr>
        <w:spacing w:before="65"/>
        <w:ind w:firstLine="640"/>
      </w:pPr>
    </w:p>
    <w:p>
      <w:pPr>
        <w:pStyle w:val="2"/>
        <w:spacing w:before="489" w:after="489"/>
      </w:pPr>
      <w:bookmarkStart w:id="112" w:name="_Toc206777523"/>
      <w:r>
        <w:rPr>
          <w:rFonts w:hint="eastAsia"/>
        </w:rPr>
        <w:t>规划传导</w:t>
      </w:r>
      <w:bookmarkEnd w:id="112"/>
    </w:p>
    <w:p>
      <w:pPr>
        <w:pStyle w:val="3"/>
      </w:pPr>
      <w:r>
        <w:rPr>
          <w:rFonts w:hint="eastAsia"/>
        </w:rPr>
        <w:t>镇区详细规划单元与指引</w:t>
      </w:r>
    </w:p>
    <w:p>
      <w:pPr>
        <w:pStyle w:val="4"/>
        <w:spacing w:before="195" w:after="195"/>
      </w:pPr>
      <w:r>
        <w:rPr>
          <w:rFonts w:hint="eastAsia"/>
        </w:rPr>
        <w:t>划分镇区详规单元</w:t>
      </w:r>
    </w:p>
    <w:p>
      <w:pPr>
        <w:spacing w:before="65"/>
        <w:ind w:firstLine="640"/>
      </w:pPr>
      <w:r>
        <w:rPr>
          <w:rFonts w:hint="eastAsia"/>
        </w:rPr>
        <w:t>根据用地功能、镇区更新和发展需求，以城市道路等为界，划分为若干详细规划管理单元；镇区共划定1</w:t>
      </w:r>
      <w:r>
        <w:t>个详细规划单元。</w:t>
      </w:r>
    </w:p>
    <w:p>
      <w:pPr>
        <w:pStyle w:val="4"/>
        <w:spacing w:before="195" w:after="195"/>
      </w:pPr>
      <w:r>
        <w:rPr>
          <w:rFonts w:hint="eastAsia"/>
        </w:rPr>
        <w:t>单元规划指引</w:t>
      </w:r>
    </w:p>
    <w:p>
      <w:pPr>
        <w:spacing w:before="163" w:beforeLines="50"/>
        <w:ind w:firstLine="640"/>
      </w:pPr>
      <w:bookmarkStart w:id="113" w:name="_Hlk167091619"/>
      <w:bookmarkStart w:id="114" w:name="_Hlk149900601"/>
      <w:r>
        <w:rPr>
          <w:rFonts w:hint="eastAsia"/>
        </w:rPr>
        <w:t>桃溪镇镇区编制单元：以提供住宅建筑、居住配套设施、商业商务、市民服务、文体中心、医疗卫生等为主要功能导向的区域，传导乡镇国土空间总体规划功能分区中商业商务区和综合服务区的功能，在统筹考虑主导功能、服务能级、服务人口、市政承载力、功能特色的基础上，坚持核心带动、集约高效、功能复合、绿色低碳的原则，打造开放复合、尺度宜人、富有活力的功能片区。</w:t>
      </w:r>
    </w:p>
    <w:bookmarkEnd w:id="113"/>
    <w:p>
      <w:pPr>
        <w:spacing w:before="163" w:beforeLines="50"/>
        <w:ind w:firstLine="640"/>
      </w:pPr>
    </w:p>
    <w:bookmarkEnd w:id="114"/>
    <w:p>
      <w:pPr>
        <w:pStyle w:val="3"/>
      </w:pPr>
      <w:r>
        <w:rPr>
          <w:rFonts w:hint="eastAsia"/>
        </w:rPr>
        <w:t>详细规划编制单元与指引</w:t>
      </w:r>
    </w:p>
    <w:p>
      <w:pPr>
        <w:pStyle w:val="4"/>
        <w:spacing w:before="195" w:after="195"/>
      </w:pPr>
      <w:r>
        <w:rPr>
          <w:rFonts w:hint="eastAsia"/>
        </w:rPr>
        <w:t>划定镇域详细规划编制单元</w:t>
      </w:r>
    </w:p>
    <w:p>
      <w:pPr>
        <w:spacing w:before="65"/>
        <w:ind w:firstLine="640"/>
      </w:pPr>
      <w:bookmarkStart w:id="115" w:name="_Hlk167092511"/>
      <w:bookmarkStart w:id="116" w:name="_Hlk206700869"/>
      <w:r>
        <w:rPr>
          <w:rFonts w:hint="eastAsia"/>
        </w:rPr>
        <w:t>全镇共划定10个详细规划编制单元，包括镇区1个编制单元。以桃溪镇镇区城镇开发边界为依据，确定为桃溪镇镇区编制单元TX01</w:t>
      </w:r>
      <w:bookmarkEnd w:id="115"/>
      <w:bookmarkEnd w:id="116"/>
      <w:r>
        <w:rPr>
          <w:rFonts w:hint="eastAsia"/>
        </w:rPr>
        <w:t>。</w:t>
      </w:r>
      <w:r>
        <w:rPr>
          <w:rFonts w:hint="eastAsia" w:ascii="仿宋_GB2312"/>
        </w:rPr>
        <w:t>其余为以行政村界限为边界的详规单元，分别为东川村编制单元TX02、黑山村编制单元TX03、大路村编制单元TX04、桃庄河村编制单元TX05、寺河村编制单元TX06、桃溪村编制单元TX07、彭沟村编制单元TX08、石碑营村编制单元TX09、吴沟村编制单元TX10。</w:t>
      </w:r>
    </w:p>
    <w:p>
      <w:pPr>
        <w:pStyle w:val="4"/>
        <w:spacing w:before="195" w:after="195"/>
      </w:pPr>
      <w:r>
        <w:rPr>
          <w:rFonts w:hint="eastAsia"/>
        </w:rPr>
        <w:t>详细规划编制指引</w:t>
      </w:r>
    </w:p>
    <w:p>
      <w:pPr>
        <w:spacing w:before="48"/>
        <w:ind w:firstLine="640"/>
        <w:rPr>
          <w:rFonts w:ascii="仿宋_GB2312"/>
          <w:lang w:bidi="ar"/>
        </w:rPr>
      </w:pPr>
      <w:bookmarkStart w:id="117" w:name="_Hlk167092528"/>
      <w:r>
        <w:rPr>
          <w:rFonts w:hint="eastAsia" w:ascii="仿宋_GB2312"/>
          <w:lang w:bidi="ar"/>
        </w:rPr>
        <w:t>全镇镇区范围外，城镇开发边界外共涉及9个详细规划编制单元，根据村庄类型和发展需求选择编制“实用性”村庄规划、“通则式”村庄规划、“通则式村庄规划管理规定”和“单元”村庄规划。</w:t>
      </w:r>
    </w:p>
    <w:p>
      <w:pPr>
        <w:spacing w:before="65"/>
        <w:ind w:firstLine="640"/>
        <w:rPr>
          <w:lang w:bidi="ar"/>
        </w:rPr>
      </w:pPr>
      <w:r>
        <w:rPr>
          <w:rFonts w:hint="eastAsia" w:ascii="仿宋_GB2312"/>
          <w:lang w:bidi="ar"/>
        </w:rPr>
        <w:t>“实用性”村庄规划编制深度最深，集“策划、规划、设计、管控”四位一体，成果应符合《河南省实用性村庄规划编制导则（第二次修订）》的要求。“通则式”村庄规划内容相对简单，深度介于实用性村庄规划、“通则式村庄规划管理规定”之间，成果应符合《河南省通则式村庄规划管理规定（修订）》的要求。“通则式村庄规划管理规定”的内容最为简单，成果应符合《河南省“通则式村庄规划管理规定”编制导则（试行）》的要求。“单元”村庄规划重点是对规划范围内的村庄建设边界做优化、建设项目做安排、建筑风貌做引导，可参照《河南省实用性村庄规划编制导则（第二次修订）》要求编制涉及的规划内容，无需面面俱到</w:t>
      </w:r>
      <w:r>
        <w:rPr>
          <w:rFonts w:hint="eastAsia"/>
          <w:lang w:bidi="ar"/>
        </w:rPr>
        <w:t>。</w:t>
      </w:r>
    </w:p>
    <w:bookmarkEnd w:id="117"/>
    <w:p>
      <w:pPr>
        <w:pStyle w:val="3"/>
      </w:pPr>
      <w:r>
        <w:t>“</w:t>
      </w:r>
      <w:r>
        <w:rPr>
          <w:rFonts w:hint="eastAsia"/>
        </w:rPr>
        <w:t>通则式</w:t>
      </w:r>
      <w:r>
        <w:t>”</w:t>
      </w:r>
      <w:r>
        <w:rPr>
          <w:rFonts w:hint="eastAsia"/>
        </w:rPr>
        <w:t>村庄规划管理规定</w:t>
      </w:r>
    </w:p>
    <w:p>
      <w:pPr>
        <w:pStyle w:val="4"/>
      </w:pPr>
      <w:r>
        <w:rPr>
          <w:rFonts w:hint="eastAsia"/>
        </w:rPr>
        <w:t>适用范围</w:t>
      </w:r>
    </w:p>
    <w:p>
      <w:pPr>
        <w:ind w:firstLine="640"/>
      </w:pPr>
      <w:r>
        <w:rPr>
          <w:rFonts w:hint="eastAsia"/>
        </w:rPr>
        <w:t>本管理规定适用于桃溪镇城镇开发边界和集镇区外，村庄规划未覆盖的乡村地区。符合条件的农民建房（新建、改建、扩建）、乡村公共服务设施、公用设施和产业项目的建设，可依据通则式村庄规划管理规定，按相关规定办理规划许可手续。已单独编制村庄规划的，可参照执行。</w:t>
      </w:r>
    </w:p>
    <w:p>
      <w:pPr>
        <w:pStyle w:val="4"/>
      </w:pPr>
      <w:r>
        <w:rPr>
          <w:rFonts w:hint="eastAsia"/>
        </w:rPr>
        <w:t>农业空间管控</w:t>
      </w:r>
    </w:p>
    <w:p>
      <w:pPr>
        <w:ind w:firstLine="640"/>
      </w:pPr>
      <w:r>
        <w:rPr>
          <w:rFonts w:hint="eastAsia"/>
        </w:rPr>
        <w:t>1</w:t>
      </w:r>
      <w:r>
        <w:t>.</w:t>
      </w:r>
      <w:r>
        <w:rPr>
          <w:rFonts w:hint="eastAsia"/>
        </w:rPr>
        <w:t>耕地保护</w:t>
      </w:r>
    </w:p>
    <w:p>
      <w:pPr>
        <w:ind w:firstLine="640"/>
      </w:pPr>
      <w:r>
        <w:rPr>
          <w:rFonts w:hint="eastAsia"/>
        </w:rPr>
        <w:t>耕地主要用于粮食和棉、油、糖、蔬菜等农产品及饲草饲料生产；在不破坏耕地耕作层且不造成耕地地类改变的前提下,可以适度种植其他农作物。耕地管控“八不准”、“六严禁、五不得”。</w:t>
      </w:r>
    </w:p>
    <w:p>
      <w:pPr>
        <w:ind w:firstLine="640"/>
      </w:pPr>
      <w:r>
        <w:rPr>
          <w:rFonts w:hint="eastAsia"/>
        </w:rPr>
        <w:t>2</w:t>
      </w:r>
      <w:r>
        <w:t>.</w:t>
      </w:r>
      <w:r>
        <w:rPr>
          <w:rFonts w:hint="eastAsia"/>
        </w:rPr>
        <w:t>永久基本农田保护</w:t>
      </w:r>
    </w:p>
    <w:p>
      <w:pPr>
        <w:ind w:firstLine="640"/>
      </w:pPr>
      <w:r>
        <w:rPr>
          <w:rFonts w:hint="eastAsia"/>
        </w:rPr>
        <w:t>永久基本农田主要用于种植粮食作物，对现状种植棉、油、糖、蔬菜等非粮食作物的,可以维持不变。</w:t>
      </w:r>
    </w:p>
    <w:p>
      <w:pPr>
        <w:ind w:firstLine="640"/>
      </w:pPr>
      <w:r>
        <w:rPr>
          <w:rFonts w:hint="eastAsia"/>
        </w:rPr>
        <w:t>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w:t>
      </w:r>
    </w:p>
    <w:p>
      <w:pPr>
        <w:ind w:firstLine="640"/>
      </w:pPr>
      <w:r>
        <w:rPr>
          <w:rFonts w:hint="eastAsia"/>
        </w:rPr>
        <w:t>3</w:t>
      </w:r>
      <w:r>
        <w:t>.</w:t>
      </w:r>
      <w:r>
        <w:rPr>
          <w:rFonts w:hint="eastAsia"/>
        </w:rPr>
        <w:t>设施农用地</w:t>
      </w:r>
    </w:p>
    <w:p>
      <w:pPr>
        <w:ind w:firstLine="640"/>
      </w:pPr>
      <w:r>
        <w:rPr>
          <w:rFonts w:hint="eastAsia"/>
        </w:rPr>
        <w:t>设施农业用地包括农业生产中直接用于作物（含食用菌、中药材、茶叶、水果、花木等）种植和畜禽水产养殖的设施用地。其中，作物种植设施用地包括作物生产、育种、制种、初加工和为生产服务的生产场地、化验室、看护房、农资农机具存放场所等，以及与生产农产品直接关联的烘干晾晒、分拣包装、炒制、保鲜存储等设施用地，工厂化农作物（食用菌）栽培烘干、食用菌集中制棒等设施用地；畜禽水产养殖设施用地包括养殖生产及直接关联的粪污处置（含散养密集区建设的非经营性畜禽粪污集中处置站点）、检验检疫等设施用地，不包括屠宰、肉类加工、商业化畜禽粪污集中处理中心等场所用地。</w:t>
      </w:r>
    </w:p>
    <w:p>
      <w:pPr>
        <w:ind w:firstLine="640"/>
      </w:pPr>
      <w:r>
        <w:rPr>
          <w:rFonts w:hint="eastAsia"/>
        </w:rPr>
        <w:t>种植</w:t>
      </w:r>
      <w:r>
        <w:t>设施农业建设尽量利用未利用地、低效闲置的土地以及工矿废弃地等土地，不占或少占耕地，避让永久基本农田。生产设施用地按照种植规模核定用地面积。作物生产的服务和直接关联设施用地，原则上不超过用地规模的10%，确因生产需要可适当增加，但不得超过15%，其中规模化粮食种植的直接关联设施用地，由</w:t>
      </w:r>
      <w:r>
        <w:rPr>
          <w:rFonts w:hint="eastAsia"/>
        </w:rPr>
        <w:t>内乡县</w:t>
      </w:r>
      <w:r>
        <w:t>自然资源主管部门会同农业农村主管部门根据农业生产需要合理确定。看护房应为单层，用地规模控制在22.5平方米以内。</w:t>
      </w:r>
    </w:p>
    <w:p>
      <w:pPr>
        <w:ind w:firstLine="640"/>
      </w:pPr>
      <w:r>
        <w:t>畜禽水产养殖生产设施用地按照养殖规模核定用地面积。畜禽养殖的直接关联用地原则上不超过用地规模的20%，确因生产需要可适当增加，但不得超过50%；露天水产养殖池的直接关联用地原则上不超过用地规模的15%，确因生产需要可适当增加，但不得超过20%；工厂化水产养殖场的直接关联用地原则上不超过用地规模的20%，确因生产需要可适当增加，但不得超过25%。</w:t>
      </w:r>
    </w:p>
    <w:p>
      <w:pPr>
        <w:ind w:firstLine="640"/>
      </w:pPr>
      <w:r>
        <w:t>设施农业用地不再使用的，由经营者负责恢复原用途。对擅自或变相将设施农用地用于非农建设、违规占用永久基本农田、擅自扩大设施用地规模等行为，按违法用地进行查处，确保农地农用。设施农用地用于非农建设或破坏耕作层的，按建设用地有关规定办理相关手续。</w:t>
      </w:r>
    </w:p>
    <w:p>
      <w:pPr>
        <w:pStyle w:val="4"/>
      </w:pPr>
      <w:r>
        <w:rPr>
          <w:rFonts w:hint="eastAsia"/>
        </w:rPr>
        <w:t>生态空间管控</w:t>
      </w:r>
    </w:p>
    <w:p>
      <w:pPr>
        <w:ind w:firstLine="640"/>
      </w:pPr>
      <w:r>
        <w:rPr>
          <w:rFonts w:hint="eastAsia"/>
        </w:rPr>
        <w:t>严守自然生态安全边界。</w:t>
      </w:r>
    </w:p>
    <w:p>
      <w:pPr>
        <w:ind w:firstLine="640"/>
      </w:pPr>
      <w:r>
        <w:rPr>
          <w:rFonts w:hint="eastAsia"/>
        </w:rPr>
        <w:t>水域、林地、草地等生态空间，原则上不允许进行开发性、生产性建设，已有的、不符合资源环境保护要求的建设项目，应限期搬迁。</w:t>
      </w:r>
    </w:p>
    <w:p>
      <w:pPr>
        <w:ind w:firstLine="640"/>
      </w:pPr>
      <w:r>
        <w:rPr>
          <w:rFonts w:hint="eastAsia"/>
        </w:rPr>
        <w:t>禁止任何单位和个人危害、破坏林地，不得擅自毁林开垦和毁林采矿、采石、采砂、取士、造墓、修筑工程设施及其他造成毁坏林地的行为。涉及建设占用林地等生态空间的，须办理林地等相关手续。鼓励利用宜林荒山、荒地、荒滩、废弃地造林。</w:t>
      </w:r>
    </w:p>
    <w:p>
      <w:pPr>
        <w:pStyle w:val="4"/>
      </w:pPr>
      <w:r>
        <w:t>建设空间管控</w:t>
      </w:r>
    </w:p>
    <w:p>
      <w:pPr>
        <w:ind w:firstLine="640"/>
      </w:pPr>
      <w:r>
        <w:rPr>
          <w:rFonts w:hint="eastAsia"/>
        </w:rPr>
        <w:t>1</w:t>
      </w:r>
      <w:r>
        <w:t>.</w:t>
      </w:r>
      <w:r>
        <w:rPr>
          <w:rFonts w:hint="eastAsia"/>
        </w:rPr>
        <w:t>村庄建设用地管控</w:t>
      </w:r>
    </w:p>
    <w:p>
      <w:pPr>
        <w:ind w:firstLine="640"/>
      </w:pPr>
      <w:r>
        <w:rPr>
          <w:rFonts w:hint="eastAsia"/>
        </w:rPr>
        <w:t>村庄建设项目应当位于村庄建设边界内，符合镇国土空间规划明确的国土空间用途管制规则和建设管控要求。</w:t>
      </w:r>
    </w:p>
    <w:p>
      <w:pPr>
        <w:ind w:firstLine="640"/>
      </w:pPr>
      <w:r>
        <w:rPr>
          <w:rFonts w:hint="eastAsia"/>
        </w:rPr>
        <w:t>位于村庄建设边界外拟撤并搬迁村庄部分，不得进行翻建、扩建、改建。</w:t>
      </w:r>
    </w:p>
    <w:p>
      <w:pPr>
        <w:ind w:firstLine="640"/>
      </w:pPr>
      <w:r>
        <w:rPr>
          <w:rFonts w:hint="eastAsia"/>
        </w:rPr>
        <w:t>位于村庄建设边界内但属于撤并搬迁类村庄部分，可以进行加固、维修，但不能进行翻建、扩建、改建。</w:t>
      </w:r>
    </w:p>
    <w:p>
      <w:pPr>
        <w:ind w:firstLine="640"/>
      </w:pPr>
      <w:r>
        <w:t>村庄建设项目位于自然保护地、风景名胜区、文物保护范围和建设控制地带、历史文化名村、传统村落等区域的,还须符合相关专项规划。</w:t>
      </w:r>
    </w:p>
    <w:p>
      <w:pPr>
        <w:ind w:firstLine="640"/>
      </w:pPr>
      <w:r>
        <w:t>村庄建设项目选址位置应当遵循的一般原则：</w:t>
      </w:r>
      <w:r>
        <w:rPr>
          <w:rFonts w:hint="eastAsia"/>
        </w:rPr>
        <w:t>应选址在地质条件较好、环境适宜、交通方便的地段。坚持节约集约用地，充分利用村内空闲地、废弃地，满足消防、抗震、防洪要求，不得阻碍交通、侵占公共用地和邻里通道，妥善处理给水、排水、日照、采光、通风等方面的相邻关系。严格控制切坡建房，确因用地因难需要切坡的，应当在乡镇政府指导下，按照有关技术规范做好坡体防护工作，确保安全。</w:t>
      </w:r>
    </w:p>
    <w:p>
      <w:pPr>
        <w:ind w:firstLine="640"/>
      </w:pPr>
      <w:r>
        <w:t>村庄建设项目不得在下列地点或地段选址：</w:t>
      </w:r>
      <w:r>
        <w:rPr>
          <w:rFonts w:hint="eastAsia"/>
        </w:rPr>
        <w:t>山体滑坡、泥石流、危岩、塌陷等地质灾害易发区或次生灾害隐患易发地段。洪涝灾害危险地段。文物保护区。生态保护红线、永久基本农田保护区、永久基本农田储备区、生态资源保护区、饮用水源一级保护区、风景名胜区核心保护区、自然保护区核心区和缓冲区、历史文化核心保护范围内。输油、输气管道上、高压供电走廊下。危险化学品生产企业、危险化学品储存仓库或危房旁边。河道管理范围和水库、渠道的控制区范围内。法律、法规禁止建设建（构）筑物的其他区域。</w:t>
      </w:r>
    </w:p>
    <w:p>
      <w:pPr>
        <w:ind w:firstLine="640"/>
        <w:rPr>
          <w:lang w:bidi="ar"/>
        </w:rPr>
      </w:pPr>
      <w:r>
        <w:rPr>
          <w:lang w:bidi="ar"/>
        </w:rPr>
        <w:t>在高铁、国道、省道等交通干线两侧新建农村建筑，必须满足以下铁路、公路</w:t>
      </w:r>
      <w:r>
        <w:rPr>
          <w:rFonts w:hint="eastAsia"/>
          <w:lang w:bidi="ar"/>
        </w:rPr>
        <w:t>控制距离</w:t>
      </w:r>
      <w:r>
        <w:rPr>
          <w:lang w:bidi="ar"/>
        </w:rPr>
        <w:t>要求：</w:t>
      </w:r>
    </w:p>
    <w:p>
      <w:pPr>
        <w:ind w:firstLine="640"/>
      </w:pPr>
      <w:r>
        <w:t>乡村范围内各类建筑退河道（水库）管护范围线不得小于5米，且应结合防洪、生态、水系及其他专项规划进行合理控制。</w:t>
      </w:r>
    </w:p>
    <w:p>
      <w:pPr>
        <w:ind w:firstLine="640"/>
      </w:pPr>
      <w:r>
        <w:t>2.农村村民自建住房管控</w:t>
      </w:r>
    </w:p>
    <w:p>
      <w:pPr>
        <w:ind w:firstLine="640"/>
      </w:pPr>
      <w:r>
        <w:t>村庄建设边界内建设用地优先保障村民自建住房用地，住宅用地不足的不得安排其他产业用地。</w:t>
      </w:r>
      <w:r>
        <w:rPr>
          <w:rFonts w:hint="eastAsia"/>
        </w:rPr>
        <w:t>村庄用地规划按住宅用地、村庄公共设施、公益事业、产业用地顺序保障。</w:t>
      </w:r>
    </w:p>
    <w:p>
      <w:pPr>
        <w:ind w:firstLine="640"/>
      </w:pPr>
      <w:r>
        <w:t>农村村民自建住房建设主体应符合农村宅基地申请条件。</w:t>
      </w:r>
      <w:r>
        <w:rPr>
          <w:rFonts w:hint="eastAsia"/>
        </w:rPr>
        <w:t>农村村民一户只能拥有一处宅基地。新建宅基地</w:t>
      </w:r>
      <w:r>
        <w:t>每户宅基地面积不得超过167平方米。</w:t>
      </w:r>
    </w:p>
    <w:p>
      <w:pPr>
        <w:ind w:firstLine="640"/>
      </w:pPr>
      <w:r>
        <w:rPr>
          <w:rFonts w:hint="eastAsia"/>
        </w:rPr>
        <w:t>利用村内原宅基地改造、翻建的，应符合村规民约，与周边住宅建筑对齐，不得扩大用地规模。涉及妨碍村庄道路等公共空间的，须按村规民约退出。</w:t>
      </w:r>
    </w:p>
    <w:p>
      <w:pPr>
        <w:ind w:firstLine="640"/>
      </w:pPr>
      <w:r>
        <w:rPr>
          <w:rFonts w:hint="eastAsia"/>
        </w:rPr>
        <w:t>村民按照规划另选址建房的，无偿退回原有宅基地。</w:t>
      </w:r>
    </w:p>
    <w:p>
      <w:pPr>
        <w:ind w:firstLine="640"/>
      </w:pPr>
      <w:r>
        <w:t>村村民自建住房建筑一般以两层为主，最高不超过三层，建筑限高12米。</w:t>
      </w:r>
    </w:p>
    <w:p>
      <w:pPr>
        <w:ind w:firstLine="640"/>
      </w:pPr>
      <w:r>
        <w:rPr>
          <w:rFonts w:hint="eastAsia"/>
        </w:rPr>
        <w:t>各村村民自建住房在不超建筑限高</w:t>
      </w:r>
      <w:r>
        <w:t>12米的前提下，可根据本村规民约、风土人情、地理环境特点等因素合理确定各村住宅层高及限高，并体现在本村村庄规划或村规民约中。</w:t>
      </w:r>
    </w:p>
    <w:p>
      <w:pPr>
        <w:ind w:firstLine="640"/>
      </w:pPr>
      <w:r>
        <w:rPr>
          <w:rFonts w:hint="eastAsia"/>
        </w:rPr>
        <w:t>对于机场、风景名胜区、文物保护区、传统村落保护区等特殊地段的村民自建住宅，建筑限高还须符合其他相关部门的专项规定。</w:t>
      </w:r>
    </w:p>
    <w:p>
      <w:pPr>
        <w:ind w:firstLine="640"/>
      </w:pPr>
      <w:r>
        <w:rPr>
          <w:rFonts w:hint="eastAsia"/>
        </w:rPr>
        <w:t>平原地区室内外高差不宜大于</w:t>
      </w:r>
      <w:r>
        <w:t>0.45米、院落和街巷高差不宜大于0.3米</w:t>
      </w:r>
      <w:r>
        <w:rPr>
          <w:rFonts w:hint="eastAsia" w:ascii="仿宋_GB2312" w:hAnsi="仿宋_GB2312" w:cs="仿宋_GB2312"/>
        </w:rPr>
        <w:t>。</w:t>
      </w:r>
    </w:p>
    <w:p>
      <w:pPr>
        <w:ind w:firstLine="640"/>
      </w:pPr>
      <w:r>
        <w:t>农村村民自建住宅建筑临距应符合村规民约，不妨害相邻权、地役权，应保证相邻利益方房屋的正常采光和通行要求，并符合《农村防火规范（GB50039-2010）》规定。</w:t>
      </w:r>
      <w:r>
        <w:rPr>
          <w:rFonts w:hint="eastAsia"/>
        </w:rPr>
        <w:t>村民联排自建住房（并山）可不考虑山墙建筑间距。</w:t>
      </w:r>
    </w:p>
    <w:p>
      <w:pPr>
        <w:ind w:firstLine="640"/>
      </w:pPr>
      <w:r>
        <w:t>农村村民自建住宅临村内道路进行住宅建设，宜按下列原则退让道路。</w:t>
      </w:r>
      <w:r>
        <w:rPr>
          <w:rFonts w:hint="eastAsia"/>
        </w:rPr>
        <w:t>新建村民自建住房临路方向应与同侧相邻建筑外墙面边界齐平，保证沿路建筑的整齐美观。临路方向退缩距离如有村规民约的，按照村规民约约定退让距离执行。村规民约没有约定的，按照正向临路方向退缩不宜小于</w:t>
      </w:r>
      <w:r>
        <w:t>2米(以道路边线为基准)，侧向临路方向退缩不宜小于1米(以道路中边线为基准)规定执行。</w:t>
      </w:r>
      <w:r>
        <w:rPr>
          <w:rFonts w:hint="eastAsia"/>
        </w:rPr>
        <w:t>村民自建住房与其他公共建筑、企业、仓储等建筑间距离，须符合建筑防火规范。</w:t>
      </w:r>
    </w:p>
    <w:p>
      <w:pPr>
        <w:ind w:firstLine="640"/>
      </w:pPr>
      <w:r>
        <w:t>农村村民自建住房可按照</w:t>
      </w:r>
      <w:r>
        <w:rPr>
          <w:rFonts w:hint="eastAsia"/>
        </w:rPr>
        <w:t>村庄规划推荐</w:t>
      </w:r>
      <w:r>
        <w:t>的</w:t>
      </w:r>
      <w:bookmarkStart w:id="118" w:name="OLE_LINK1"/>
      <w:bookmarkStart w:id="119" w:name="OLE_LINK2"/>
      <w:r>
        <w:t>农村住房设计图集</w:t>
      </w:r>
      <w:bookmarkEnd w:id="118"/>
      <w:bookmarkEnd w:id="119"/>
      <w:r>
        <w:t>建设或自行聘请设计单位进行。自行设计的，建筑风貌应与本村建筑风貌一致，符合村规民约，尊重本村居民居住习惯。村民自建低层经营性建筑或三层（含）以上住宅的，必须由有资质建筑设计单位进行设计，并按有关建筑规范要求施工。</w:t>
      </w:r>
    </w:p>
    <w:p>
      <w:pPr>
        <w:ind w:firstLine="640"/>
      </w:pPr>
      <w:r>
        <w:t>鼓励开展“空心村”、闲置用地整治，集约节约用地。为节约集约用地，对宅基地特别紧张的村庄，集体经济组织可通过综合整治，本着村民自愿的原则，统筹建设多层村民集中住宅楼，实现户有所居。</w:t>
      </w:r>
      <w:r>
        <w:rPr>
          <w:rFonts w:hint="eastAsia"/>
        </w:rPr>
        <w:t>村民集中住宅楼只限本村村民，不得对外销售、租赁。</w:t>
      </w:r>
    </w:p>
    <w:p>
      <w:pPr>
        <w:ind w:firstLine="640"/>
      </w:pPr>
      <w:r>
        <w:t>村民集中住宅楼、保障性租赁住房可按下列指标控制：</w:t>
      </w:r>
    </w:p>
    <w:p>
      <w:pPr>
        <w:ind w:firstLine="640"/>
      </w:pPr>
      <w:r>
        <w:t>村民集中住宅楼、保障性租赁住房建筑间距、建筑退让及其他配套设施设置可参照城市居住区有关标准执行。</w:t>
      </w:r>
    </w:p>
    <w:p>
      <w:pPr>
        <w:ind w:firstLine="640"/>
      </w:pPr>
      <w:r>
        <w:rPr>
          <w:rFonts w:hint="eastAsia"/>
        </w:rPr>
        <w:t>3</w:t>
      </w:r>
      <w:r>
        <w:t>.</w:t>
      </w:r>
      <w:r>
        <w:rPr>
          <w:rFonts w:hint="eastAsia"/>
        </w:rPr>
        <w:t>村庄基础设施</w:t>
      </w:r>
    </w:p>
    <w:p>
      <w:pPr>
        <w:ind w:firstLine="640"/>
      </w:pPr>
      <w:r>
        <w:t>落实镇国土空间规划规划确定的区域性基础设施，在梳理村庄现状设施的基础上，结合实际需求，明确道路、给排水、环卫等设施的设置要求。</w:t>
      </w:r>
    </w:p>
    <w:p>
      <w:pPr>
        <w:ind w:firstLine="560"/>
        <w:rPr>
          <w:rFonts w:ascii="仿宋" w:hAnsi="仿宋" w:eastAsia="仿宋" w:cs="仿宋"/>
          <w:kern w:val="0"/>
          <w:sz w:val="28"/>
          <w:szCs w:val="28"/>
          <w:lang w:bidi="ar"/>
        </w:rPr>
      </w:pPr>
      <w:r>
        <w:rPr>
          <w:rFonts w:hint="eastAsia" w:ascii="仿宋" w:hAnsi="仿宋" w:eastAsia="仿宋" w:cs="仿宋"/>
          <w:kern w:val="0"/>
          <w:sz w:val="28"/>
          <w:szCs w:val="28"/>
          <w:lang w:bidi="ar"/>
        </w:rPr>
        <w:t>4</w:t>
      </w:r>
      <w:r>
        <w:rPr>
          <w:rFonts w:ascii="仿宋" w:hAnsi="仿宋" w:eastAsia="仿宋" w:cs="仿宋"/>
          <w:kern w:val="0"/>
          <w:sz w:val="28"/>
          <w:szCs w:val="28"/>
          <w:lang w:bidi="ar"/>
        </w:rPr>
        <w:t>.</w:t>
      </w:r>
      <w:r>
        <w:rPr>
          <w:rFonts w:hint="eastAsia" w:ascii="仿宋" w:hAnsi="仿宋" w:eastAsia="仿宋" w:cs="仿宋"/>
          <w:kern w:val="0"/>
          <w:sz w:val="28"/>
          <w:szCs w:val="28"/>
          <w:lang w:bidi="ar"/>
        </w:rPr>
        <w:t>村庄公共服务设施</w:t>
      </w:r>
    </w:p>
    <w:p>
      <w:pPr>
        <w:ind w:firstLine="640"/>
        <w:rPr>
          <w:lang w:bidi="ar"/>
        </w:rPr>
      </w:pPr>
      <w:r>
        <w:rPr>
          <w:rFonts w:hint="eastAsia"/>
          <w:lang w:bidi="ar"/>
        </w:rPr>
        <w:t>公共服务设施应根据村庄分类、当地村民的生产生活习惯和地域乡土风貌特色设置。</w:t>
      </w:r>
    </w:p>
    <w:p>
      <w:pPr>
        <w:ind w:firstLine="640"/>
        <w:rPr>
          <w:lang w:bidi="ar"/>
        </w:rPr>
      </w:pPr>
      <w:r>
        <w:rPr>
          <w:rFonts w:hint="eastAsia"/>
          <w:lang w:bidi="ar"/>
        </w:rPr>
        <w:t>配置标准应根据村庄类别配置村庄公共设施，村庄主要公共设施的单项设施用地面积参考相关标准执行。</w:t>
      </w:r>
      <w:r>
        <w:rPr>
          <w:rFonts w:hint="eastAsia"/>
        </w:rPr>
        <w:t>村庄公共服务建筑建设强度控制指标可参照城镇公服要求执行。</w:t>
      </w:r>
    </w:p>
    <w:p>
      <w:pPr>
        <w:ind w:firstLine="640"/>
      </w:pPr>
      <w:r>
        <w:rPr>
          <w:rFonts w:hint="eastAsia"/>
        </w:rPr>
        <w:t>公共服务建筑</w:t>
      </w:r>
      <w:r>
        <w:rPr>
          <w:rFonts w:hint="eastAsia"/>
          <w:kern w:val="0"/>
          <w:lang w:bidi="ar"/>
        </w:rPr>
        <w:t>间距、道路退让、边界退让须符合建筑防火消防安全和日照标准。</w:t>
      </w:r>
      <w:r>
        <w:rPr>
          <w:rFonts w:hint="eastAsia"/>
        </w:rPr>
        <w:t>公共服务建筑原址翻建、改造的，建筑面积不作限制，但须符合地块建设强度控制指标要求。</w:t>
      </w:r>
    </w:p>
    <w:p>
      <w:pPr>
        <w:ind w:firstLine="640"/>
      </w:pPr>
      <w:r>
        <w:rPr>
          <w:rFonts w:hint="eastAsia"/>
        </w:rPr>
        <w:t>鼓励利用村内空闲地、边角地，因地制宜，建设点式分散的小型绿地游园、活动</w:t>
      </w:r>
      <w:r>
        <w:t>广场</w:t>
      </w:r>
      <w:r>
        <w:rPr>
          <w:rFonts w:hint="eastAsia"/>
        </w:rPr>
        <w:t>、停车场等。游园、</w:t>
      </w:r>
      <w:r>
        <w:t>广场</w:t>
      </w:r>
      <w:r>
        <w:rPr>
          <w:rFonts w:hint="eastAsia"/>
        </w:rPr>
        <w:t>应</w:t>
      </w:r>
      <w:r>
        <w:t>当配备健身活动器材、儿童娱乐设施、休闲座椅等</w:t>
      </w:r>
      <w:r>
        <w:rPr>
          <w:rFonts w:hint="eastAsia"/>
        </w:rPr>
        <w:t>活动设施，</w:t>
      </w:r>
      <w:r>
        <w:t>提升村庄环境品质，增加村民休闲场所。</w:t>
      </w:r>
      <w:r>
        <w:rPr>
          <w:rFonts w:hint="eastAsia"/>
        </w:rPr>
        <w:t>村内游园、广场、停车场最大面积一般不超过2000平方米；位于旅游景区或特色保护类游客较多的村庄，面积可适当增加。</w:t>
      </w:r>
    </w:p>
    <w:p>
      <w:pPr>
        <w:ind w:firstLine="640"/>
      </w:pPr>
      <w:r>
        <w:rPr>
          <w:rFonts w:hint="eastAsia"/>
        </w:rPr>
        <w:t>5</w:t>
      </w:r>
      <w:r>
        <w:t>.</w:t>
      </w:r>
      <w:r>
        <w:rPr>
          <w:rFonts w:hint="eastAsia"/>
        </w:rPr>
        <w:t>乡村产业管控</w:t>
      </w:r>
    </w:p>
    <w:p>
      <w:pPr>
        <w:ind w:firstLine="640"/>
      </w:pPr>
      <w:r>
        <w:rPr>
          <w:rFonts w:hint="eastAsia"/>
        </w:rPr>
        <w:t>乡村产业主要包括农业产业融合相关类项目和其他产业项目。</w:t>
      </w:r>
    </w:p>
    <w:p>
      <w:pPr>
        <w:ind w:firstLine="640"/>
      </w:pPr>
      <w:r>
        <w:rPr>
          <w:rFonts w:hint="eastAsia"/>
        </w:rPr>
        <w:t>农业产业融合相关类项目主要以农业农村资源为依托，拓展农业农村功能，延伸产业链条，涵盖农产品生产、加工、流通、就地消费等环节，用于农产品加工流通、农村休闲观光旅游、电子商务等混合融合的农村产业融合发展用地，土地用途可确定为工业用地、商业用地、物流仓储用地等。主要包括：农产品加工产业用地（包括农产品烘干、贮藏、保鲜、畜禽屠宰、冷链、净化、分捡、包装等产业）、生产性服务产业用地（包括农资配送、病虫害防治、农机作业服务、畜禽无害化处理与收集转运、畜禽粪污资源化利用、农产品流通、农产品仓储保鲜冷链物流设施、农业废弃物处理等产业）、生活性服务产业用地（包括乡村综合性服务网点、电商、快递、物流、商贸批发和零售等产业）、新产业新业态用地（包括“互联网+”现代农业、农产品电子商务、休闲农业和乡村旅游、民族风情旅游、红色文化与民俗文化、非遗传承、传统手工业、文化创意等新型业态用地；依托乡村资源优势，培育的农业特色小镇、地方特色产业用地）。</w:t>
      </w:r>
    </w:p>
    <w:p>
      <w:pPr>
        <w:ind w:firstLine="640"/>
      </w:pPr>
      <w:r>
        <w:rPr>
          <w:rFonts w:hint="eastAsia"/>
        </w:rPr>
        <w:t>农村产业融合相关类发展用地不得用于商品住宅、别墅、酒店、公寓等房地产开发，不得擅自改变用途或分割转让转租。</w:t>
      </w:r>
    </w:p>
    <w:p>
      <w:pPr>
        <w:ind w:firstLine="640"/>
      </w:pPr>
      <w:r>
        <w:rPr>
          <w:rFonts w:hint="eastAsia"/>
        </w:rPr>
        <w:t>农村产业融合类项目布局要求。项目规模较大、工业化程度高、分散布局配套设施成本高的产业项目要进产业园区。具有一定规模的农产品加工要向市区或有条件的乡镇城镇开发边界内集聚。直接服务种植养殖业的农产品加工、电子商务、仓储保鲜冷链、产地低温直销配送等产业，原则上应集中在行政村村庄建设边界内。利用农村本地资源开展农产品初加工、发展休闲观光旅游而必须的配套设施建设，可在不占用永久基本农田和生态保护红线、不突破国土空间规划建设用地指标等约束条件、不破坏生态环境和乡村风貌的前提下，在村庄建设边界外安排少量建设用地，实行比例和面积控制。符合环保政策的其他产业类项目，在不新建、扩建的条件下，可暂予以保留。集体经营性建设用地可以用于工业、商业、仓储、保障性租赁住房等经营性项目，不得用于房（地）产类开发、别墅类、私人会所等项目建设。</w:t>
      </w:r>
    </w:p>
    <w:p>
      <w:pPr>
        <w:ind w:firstLine="640"/>
      </w:pPr>
      <w:r>
        <w:rPr>
          <w:rFonts w:hint="eastAsia"/>
        </w:rPr>
        <w:t>本着节约集约用地的原则，乡村产业用地类项目建设强度一般符合以下规定：</w:t>
      </w:r>
    </w:p>
    <w:p>
      <w:pPr>
        <w:ind w:firstLine="640"/>
      </w:pPr>
      <w:r>
        <w:rPr>
          <w:rFonts w:hint="eastAsia"/>
        </w:rPr>
        <w:t>对于远离村庄居民点的产业类项目，在符合国家相关规定且不影响周边相邻方相关权益的情况下，建筑限高可适当提高，最高不超过24（不包括）米。畜牧养殖类产业须符合环保有关政策规定。</w:t>
      </w:r>
    </w:p>
    <w:p>
      <w:pPr>
        <w:ind w:firstLine="640"/>
      </w:pPr>
      <w:r>
        <w:rPr>
          <w:rFonts w:hint="eastAsia"/>
        </w:rPr>
        <w:t>产业类项目建筑间距、建筑退界须满消防规范规定，不影响周边相邻权益的日照采光要求。</w:t>
      </w:r>
    </w:p>
    <w:p>
      <w:pPr>
        <w:ind w:firstLine="640"/>
      </w:pPr>
      <w:r>
        <w:rPr>
          <w:rFonts w:hint="eastAsia"/>
        </w:rPr>
        <w:t>鼓励产业空间用地实行复合利用。他产业用地在符合环保、安全条件下，用地性质可兼容。</w:t>
      </w:r>
    </w:p>
    <w:p>
      <w:pPr>
        <w:ind w:firstLine="640"/>
      </w:pPr>
      <w:r>
        <w:rPr>
          <w:rFonts w:hint="eastAsia"/>
        </w:rPr>
        <w:t>镇国土空间规划或村庄规划中的“预留机动指标”，可用于保障暂时无法确定位置的村民居住、农村公共公益设施以及零星公散的农（矿）产品初加工、乡村文旅设施、农村新产业新业态等一二三产业融合发展用地需求。机动指标不得超过本镇预留机动指标。</w:t>
      </w:r>
    </w:p>
    <w:p>
      <w:pPr>
        <w:ind w:firstLine="640"/>
      </w:pPr>
      <w:r>
        <w:rPr>
          <w:rFonts w:hint="eastAsia"/>
        </w:rPr>
        <w:t>村庄规划确定的“留白”用地，经村民委会员讨论、镇乡村规划委员会审议通过，报规划主管部门同意后，可按程序报建相应项目。</w:t>
      </w:r>
    </w:p>
    <w:p>
      <w:pPr>
        <w:ind w:firstLine="640"/>
      </w:pPr>
      <w:r>
        <w:rPr>
          <w:rFonts w:hint="eastAsia"/>
        </w:rPr>
        <w:t>使用预留机动指标或留白用地的，除符合国土产业相关政策外，经县规划委员会审议。</w:t>
      </w:r>
    </w:p>
    <w:p>
      <w:pPr>
        <w:ind w:firstLine="640"/>
      </w:pPr>
      <w:r>
        <w:rPr>
          <w:rFonts w:hint="eastAsia"/>
        </w:rPr>
        <w:t>在产业类项目实施过程中，在不突破镇国土空间规划或村庄规划强制性指标情况下，为实现更好管控，可独立编制地块管控图则，报县规划委员会审议同意后实施。</w:t>
      </w:r>
    </w:p>
    <w:p>
      <w:pPr>
        <w:ind w:firstLine="640"/>
      </w:pPr>
      <w:r>
        <w:rPr>
          <w:rFonts w:hint="eastAsia"/>
        </w:rPr>
        <w:t>使用按程序使用“留白”或“预留机动指标”的，待用地手续批准后，更新国土空间“一张图”。</w:t>
      </w:r>
    </w:p>
    <w:p>
      <w:pPr>
        <w:pStyle w:val="4"/>
      </w:pPr>
      <w:r>
        <w:rPr>
          <w:rFonts w:hint="eastAsia"/>
        </w:rPr>
        <w:t>历史文化保护</w:t>
      </w:r>
    </w:p>
    <w:p>
      <w:pPr>
        <w:ind w:firstLine="640"/>
        <w:rPr>
          <w:kern w:val="0"/>
          <w:lang w:bidi="ar"/>
        </w:rPr>
      </w:pPr>
      <w:r>
        <w:rPr>
          <w:rFonts w:hint="eastAsia"/>
        </w:rPr>
        <w:t>落实市、乡镇规划确定的历史文化保护控制线，加强</w:t>
      </w:r>
      <w:r>
        <w:rPr>
          <w:rFonts w:hint="eastAsia"/>
          <w:kern w:val="0"/>
          <w:lang w:bidi="ar"/>
        </w:rPr>
        <w:t>历史文化要素管控。</w:t>
      </w:r>
    </w:p>
    <w:p>
      <w:pPr>
        <w:ind w:firstLine="640"/>
      </w:pPr>
      <w:r>
        <w:rPr>
          <w:rFonts w:hint="eastAsia"/>
        </w:rPr>
        <w:t>切实加强保护。保护范围内禁止新建其他无关建（构）筑物；不得损害历史文化街区、历史建筑、传统村落的原真性和完整性；不得破坏历史文化街区的历史肌理、历史街巷、空间尺度和景观环境 ,以及古井、古桥、古树等环境要素。</w:t>
      </w:r>
    </w:p>
    <w:p>
      <w:pPr>
        <w:ind w:firstLine="640"/>
      </w:pPr>
      <w:r>
        <w:rPr>
          <w:rFonts w:hint="eastAsia"/>
        </w:rPr>
        <w:t>全面修缮维护。采用“绣花”“织补”等微改造方式，充分利用修缮技艺传承人和传统工匠,结合建筑原有形制、结构、材料，运用传统工艺和现代技术，进行修缮加固，保护、延续传统建筑组群的传统格局特征和风貌特色，让不同时代的建筑完整保留城乡发展变迁的脉络，体现价值特色。</w:t>
      </w:r>
    </w:p>
    <w:p>
      <w:pPr>
        <w:ind w:firstLine="640"/>
      </w:pPr>
      <w:r>
        <w:rPr>
          <w:rFonts w:hint="eastAsia"/>
        </w:rPr>
        <w:t>合理开发利用。在风貌协调区，积极引进新业态，利用市场营销的手段，将新兴产业和传统商业引入历史文化街区和历史建筑中，把历史文化街区开发成为保存城乡记忆、延续历史文脉、滋养地域风格的重要载体和平台。坚持“留、改、拆”并举，以“保护、利用、提升”为主的原则,严防大拆大建、拆真建假。在保持历史建筑原有外观风貌、典型构件的基础上，改善内部空间品质，合理增设厨卫设施、适老化设施、消防安全设施等，通过加建、改建和添加设施等方式使之适应现代生产生活需要。保护开发传统村落,建设文化活动场地、老年活动场所、中小学社会实践教育基地、文创基地等公共服务设施，促进生态农业、乡村旅游发展，推动乡村振兴。系统梳理文物资源，深入挖掘其历史价值和旅游资源禀赋，将文物保护与乡村建设统筹结合。鼓励历史文化名城名镇博物馆建设，有条件的名村设立村史馆，通过专项陈列展览和各类教育活动，强化基本公共文化服务功能。</w:t>
      </w:r>
    </w:p>
    <w:p>
      <w:pPr>
        <w:pStyle w:val="4"/>
      </w:pPr>
      <w:r>
        <w:t>防灾减灾管控</w:t>
      </w:r>
    </w:p>
    <w:p>
      <w:pPr>
        <w:ind w:firstLine="640"/>
      </w:pPr>
      <w:r>
        <w:t>加强村庄消防设施建设。根据村庄规模、区域条件、经济发展状况等因素设置消防点。消防点应满足如下要求：</w:t>
      </w:r>
      <w:r>
        <w:rPr>
          <w:rFonts w:hint="eastAsia"/>
        </w:rPr>
        <w:t>有固定的地点和房屋建筑，并有明显标识。配备消防车、手抬机动泵、水枪、水带、灭火器、破拆工具等全部或部分消防设备。设置火警电话和消防值班人员。有专职、义务或志愿消防队员。</w:t>
      </w:r>
    </w:p>
    <w:p>
      <w:pPr>
        <w:ind w:firstLine="640"/>
      </w:pPr>
      <w:r>
        <w:t>村庄应配备消防水源、消防设备。消防水源可结合村庄实际环境条件，充分利用给水管网、水池、坑塘天然水源和消防水池等作为消防水源。充分利用满足一定灭火要求的农用车、洒水车、灌溉机动泵等农用设施作为消防装备的补充。</w:t>
      </w:r>
    </w:p>
    <w:p>
      <w:pPr>
        <w:ind w:firstLine="640"/>
      </w:pPr>
      <w:r>
        <w:t>各行政村应建立相应的消防安全组织，确定消防安全人员，制定防火安全制度，进行消防安全检查，开展消防安全教育，落实消防安全责任，配备必要的消防力量和消防器材装备。</w:t>
      </w:r>
    </w:p>
    <w:p>
      <w:pPr>
        <w:ind w:firstLine="640"/>
      </w:pPr>
      <w:r>
        <w:t>村庄范围内的建筑一般按照7度抗震烈度设防；供水供电等生命线工程按照8度抗震烈度设防，确保震时供水、供电、通讯、医务室等生命线工程设施的有效供给。</w:t>
      </w:r>
    </w:p>
    <w:p>
      <w:pPr>
        <w:ind w:firstLine="640"/>
      </w:pPr>
      <w:r>
        <w:t>村庄防洪及排涝标准按10年一遇设防。</w:t>
      </w:r>
    </w:p>
    <w:p>
      <w:pPr>
        <w:ind w:firstLine="640"/>
      </w:pPr>
      <w:r>
        <w:t>农村建设项目不得在地质灾害危险区、洪涝灾害频发区、河道管理范围内、地下采空区和地展断裂带等危险区域建设，应当避让蓄滞洪区等低洼地区。</w:t>
      </w:r>
    </w:p>
    <w:p>
      <w:pPr>
        <w:pStyle w:val="4"/>
      </w:pPr>
      <w:r>
        <w:t>环境综合整治管控</w:t>
      </w:r>
    </w:p>
    <w:p>
      <w:pPr>
        <w:ind w:firstLine="640"/>
      </w:pPr>
      <w:r>
        <w:t>加大村庄交通、供水、绿化、公共照明、医疗、垃圾处理、厕所、污水处理等基础设施和公共服务设施建设与整治，持续改善农村人居环境。</w:t>
      </w:r>
    </w:p>
    <w:p>
      <w:pPr>
        <w:ind w:firstLine="640"/>
      </w:pPr>
      <w:r>
        <w:t>围绕村庄道路、建筑风貌、村庄院落、坑塘水面、残垣断壁、环境卫生等重点，开展村庄环境综合整治，构建干净、整洁、有序的乡村空间，提升村庄整体品位。</w:t>
      </w:r>
    </w:p>
    <w:p>
      <w:pPr>
        <w:ind w:firstLine="640"/>
      </w:pPr>
      <w:r>
        <w:t>遵循村庄现有道路网格局，尊重原有道路肌理，避免大拆大建，对村庄道路进行改造、整治和提升。对破损的路面进行修整，对未硬化道路进行硬化，对未亮化的道路进行亮化，对空中凌乱线路进行整治整合提升，敷设各类管线，同步建设燃气、给、排水设施，营造良好的村庄交通环境，方便村民生活与出行。</w:t>
      </w:r>
    </w:p>
    <w:p>
      <w:pPr>
        <w:ind w:firstLine="640"/>
      </w:pPr>
      <w:r>
        <w:t>持续开展农村4G网络优化，加快推进农村5G网络建设，加强农村广电和移动基站建设与维护，提升农村网络覆盖质量，打造数字乡村、智慧乡村。</w:t>
      </w:r>
    </w:p>
    <w:p>
      <w:pPr>
        <w:ind w:firstLine="640"/>
      </w:pPr>
      <w:r>
        <w:t>重点清理侵街占道、私搭乱建等违章建筑和残垣断壁，街巷两侧禁止随意堆放物品，柴草、杂物、建筑材料等。有效利用村内空闲地、边角地等闲置建设用地，开展水旁、路旁、宅旁、村旁绿化，沿村庄主要道路种植乔木、灌木、地被等乡土植物，对重要节点进行整治绿化，建设小微游园、小微广场，提升村庄“颜值”。</w:t>
      </w:r>
    </w:p>
    <w:p>
      <w:pPr>
        <w:ind w:firstLine="640"/>
      </w:pPr>
      <w:r>
        <w:t>加大农村环卫设施建设，每村70-100米规划设置一个垃圾筒，集中设置一个垃圾收集点，建立一支专业环卫保洁队全，实现农村垃圾“村收、镇运、市处”。</w:t>
      </w:r>
    </w:p>
    <w:p>
      <w:pPr>
        <w:ind w:firstLine="640"/>
      </w:pPr>
      <w:r>
        <w:t>加快农村污水管网建设，因村制宜，整治废旧坑塘、河道、黑臭水体。推动生活污水治理、厕所粪污与绿色农业发展有机结合，提升农村治污水平。</w:t>
      </w:r>
    </w:p>
    <w:p>
      <w:pPr>
        <w:ind w:firstLine="640"/>
      </w:pPr>
      <w:r>
        <w:t>农村生活污水不得直接外排，宜经过化粪池或沼气池等污水处理设施处理达标后排放。</w:t>
      </w:r>
    </w:p>
    <w:p>
      <w:pPr>
        <w:ind w:firstLine="640"/>
      </w:pPr>
      <w:r>
        <w:t>围绕“去危房、整旧房、治违房、提风貌”的目的，重点开展房前屋后整治提升。对与村庄整体风貌不完全一致的建筑外观加以整修；对影响环境的危旧房和乱搭乱建的附房进行整治和拆除，消除安全隐患，提升村容村貌。</w:t>
      </w:r>
    </w:p>
    <w:p>
      <w:pPr>
        <w:ind w:firstLine="640"/>
      </w:pPr>
      <w:r>
        <w:br w:type="page"/>
      </w:r>
    </w:p>
    <w:p>
      <w:pPr>
        <w:ind w:firstLine="640"/>
      </w:pPr>
    </w:p>
    <w:p>
      <w:pPr>
        <w:pStyle w:val="2"/>
        <w:spacing w:before="489" w:after="489"/>
      </w:pPr>
      <w:bookmarkStart w:id="120" w:name="_Toc206777524"/>
      <w:r>
        <w:rPr>
          <w:rFonts w:hint="eastAsia"/>
        </w:rPr>
        <w:t>规划实施</w:t>
      </w:r>
      <w:bookmarkEnd w:id="120"/>
    </w:p>
    <w:p>
      <w:pPr>
        <w:pStyle w:val="3"/>
      </w:pPr>
      <w:r>
        <w:rPr>
          <w:rFonts w:hint="eastAsia"/>
        </w:rPr>
        <w:t>行动计划制定</w:t>
      </w:r>
    </w:p>
    <w:p>
      <w:pPr>
        <w:pStyle w:val="4"/>
        <w:spacing w:before="195" w:after="195"/>
      </w:pPr>
      <w:bookmarkStart w:id="121" w:name="_Hlk142927673"/>
      <w:bookmarkStart w:id="122" w:name="_Toc126054148"/>
      <w:bookmarkStart w:id="123" w:name="_Toc122362506"/>
      <w:bookmarkStart w:id="124" w:name="_Toc122364916"/>
      <w:r>
        <w:rPr>
          <w:rFonts w:hint="eastAsia"/>
        </w:rPr>
        <w:t>近期实施重点任务</w:t>
      </w:r>
    </w:p>
    <w:bookmarkEnd w:id="121"/>
    <w:p>
      <w:pPr>
        <w:spacing w:before="65"/>
        <w:ind w:firstLine="640"/>
      </w:pPr>
      <w:r>
        <w:rPr>
          <w:rFonts w:hint="eastAsia"/>
        </w:rPr>
        <w:t>编制国土空间五年行动规划和年度实施计划。衔接十四五规划，加强对于国土空间规划目标任务的分解落实和实施推动，统筹各类专项行动，落实重大项目推进要求，滚动编制近期行动以及年度实施计划。</w:t>
      </w:r>
    </w:p>
    <w:bookmarkEnd w:id="122"/>
    <w:bookmarkEnd w:id="123"/>
    <w:bookmarkEnd w:id="124"/>
    <w:p>
      <w:pPr>
        <w:pStyle w:val="4"/>
        <w:spacing w:before="195" w:after="195"/>
      </w:pPr>
      <w:bookmarkStart w:id="125" w:name="_Hlk142927680"/>
      <w:r>
        <w:rPr>
          <w:rFonts w:hint="eastAsia"/>
        </w:rPr>
        <w:t>重点项目</w:t>
      </w:r>
    </w:p>
    <w:bookmarkEnd w:id="125"/>
    <w:p>
      <w:pPr>
        <w:pStyle w:val="5"/>
        <w:ind w:firstLine="640"/>
      </w:pPr>
      <w:bookmarkStart w:id="126" w:name="_Hlk167092865"/>
      <w:r>
        <w:rPr>
          <w:rFonts w:hint="eastAsia"/>
        </w:rPr>
        <w:t>交通类项目</w:t>
      </w:r>
    </w:p>
    <w:p>
      <w:pPr>
        <w:spacing w:before="65"/>
        <w:ind w:firstLine="640"/>
      </w:pPr>
      <w:r>
        <w:rPr>
          <w:rFonts w:hint="eastAsia"/>
        </w:rPr>
        <w:t>重点</w:t>
      </w:r>
      <w:r>
        <w:t>推进</w:t>
      </w:r>
      <w:r>
        <w:rPr>
          <w:rFonts w:hint="eastAsia"/>
        </w:rPr>
        <w:t>丹水至县城高速公路、S330内乡清凉庙至淅川城区段改建工程、S329线西峡内乡界至丹江桥南头段公路改建工程、内乡县X005桃庄河至东川农村公路改建项目、内乡县农村道路提档提质工程等5个交通类项目。</w:t>
      </w:r>
    </w:p>
    <w:p>
      <w:pPr>
        <w:pStyle w:val="5"/>
        <w:ind w:firstLine="640"/>
      </w:pPr>
      <w:r>
        <w:rPr>
          <w:rFonts w:hint="eastAsia"/>
        </w:rPr>
        <w:t>水利类项目</w:t>
      </w:r>
    </w:p>
    <w:p>
      <w:pPr>
        <w:spacing w:before="65"/>
        <w:ind w:firstLine="640"/>
      </w:pPr>
      <w:r>
        <w:rPr>
          <w:rFonts w:hint="eastAsia"/>
        </w:rPr>
        <w:t>重点推进内乡县刁河干流水环境综合治理工程等1个水利类项目。</w:t>
      </w:r>
    </w:p>
    <w:p>
      <w:pPr>
        <w:pStyle w:val="5"/>
        <w:ind w:firstLine="640"/>
      </w:pPr>
      <w:r>
        <w:rPr>
          <w:rFonts w:hint="eastAsia"/>
        </w:rPr>
        <w:t>电力类项目</w:t>
      </w:r>
    </w:p>
    <w:p>
      <w:pPr>
        <w:spacing w:before="65"/>
        <w:ind w:firstLine="640"/>
      </w:pPr>
      <w:r>
        <w:rPr>
          <w:rFonts w:hint="eastAsia"/>
        </w:rPr>
        <w:t>重点推进南阳内乡群英500千伏变电站第四台主变扩建工程等</w:t>
      </w:r>
      <w:r>
        <w:t>1</w:t>
      </w:r>
      <w:r>
        <w:rPr>
          <w:rFonts w:hint="eastAsia"/>
        </w:rPr>
        <w:t>个电力类项目。</w:t>
      </w:r>
    </w:p>
    <w:p>
      <w:pPr>
        <w:pStyle w:val="5"/>
        <w:ind w:firstLine="640"/>
      </w:pPr>
      <w:r>
        <w:rPr>
          <w:rFonts w:hint="eastAsia"/>
        </w:rPr>
        <w:t>民生类项目</w:t>
      </w:r>
    </w:p>
    <w:p>
      <w:pPr>
        <w:spacing w:before="65"/>
        <w:ind w:firstLine="640"/>
      </w:pPr>
      <w:r>
        <w:rPr>
          <w:rFonts w:hint="eastAsia"/>
        </w:rPr>
        <w:t>重点推进桃溪镇公墓、桃溪福苑、桃溪镇污水处理厂、桃溪镇给水厂等4个民生类项目。</w:t>
      </w:r>
    </w:p>
    <w:p>
      <w:pPr>
        <w:pStyle w:val="5"/>
        <w:ind w:firstLine="640"/>
      </w:pPr>
      <w:r>
        <w:rPr>
          <w:rFonts w:hint="eastAsia"/>
        </w:rPr>
        <w:t>产业类项目</w:t>
      </w:r>
    </w:p>
    <w:p>
      <w:pPr>
        <w:spacing w:before="65"/>
        <w:ind w:firstLine="640"/>
      </w:pPr>
      <w:r>
        <w:rPr>
          <w:rFonts w:hint="eastAsia"/>
        </w:rPr>
        <w:t>重点推进东川村番薯小镇文旅项目等1个产业类项目。</w:t>
      </w:r>
    </w:p>
    <w:p>
      <w:pPr>
        <w:pStyle w:val="5"/>
        <w:ind w:firstLine="640"/>
      </w:pPr>
      <w:r>
        <w:rPr>
          <w:rFonts w:hint="eastAsia"/>
        </w:rPr>
        <w:t>生态类项目</w:t>
      </w:r>
    </w:p>
    <w:p>
      <w:pPr>
        <w:spacing w:before="65"/>
        <w:ind w:firstLine="640"/>
      </w:pPr>
      <w:r>
        <w:rPr>
          <w:rFonts w:hint="eastAsia"/>
        </w:rPr>
        <w:t>重点推进南阳市南水北调中线工程水源区生态林建设试点示范项目、南水北调中线工程水源地（南阳片区）历史遗留废弃矿山生态修复示范工程项目（内乡县）、内乡县石漠化治理工程、河南省南阳市内乡县桃溪镇桃庄河村等4个村全域土地综合整治试点、内乡县2020年第一批补充耕地储备项目等5个生态类项目。</w:t>
      </w:r>
    </w:p>
    <w:bookmarkEnd w:id="126"/>
    <w:p>
      <w:pPr>
        <w:pStyle w:val="3"/>
      </w:pPr>
      <w:r>
        <w:rPr>
          <w:rFonts w:hint="eastAsia"/>
        </w:rPr>
        <w:t>规划全周期实施监督管理</w:t>
      </w:r>
    </w:p>
    <w:p>
      <w:pPr>
        <w:pStyle w:val="4"/>
        <w:spacing w:before="195" w:after="195"/>
      </w:pPr>
      <w:bookmarkStart w:id="127" w:name="_Hlk142927625"/>
      <w:r>
        <w:rPr>
          <w:rFonts w:hint="eastAsia"/>
        </w:rPr>
        <w:t>提升规划信息化水平</w:t>
      </w:r>
    </w:p>
    <w:bookmarkEnd w:id="127"/>
    <w:p>
      <w:pPr>
        <w:spacing w:before="65"/>
        <w:ind w:firstLine="640"/>
        <w:rPr>
          <w:lang w:bidi="ar"/>
        </w:rPr>
      </w:pPr>
      <w:r>
        <w:rPr>
          <w:rFonts w:hint="eastAsia"/>
          <w:lang w:bidi="ar"/>
        </w:rPr>
        <w:t>形成国土空间规划数据库，数据成果应同步上报，纳入国土空间规划“一张图”实施监督信息系统。</w:t>
      </w:r>
    </w:p>
    <w:p>
      <w:pPr>
        <w:pStyle w:val="4"/>
        <w:spacing w:before="195" w:after="195"/>
      </w:pPr>
      <w:bookmarkStart w:id="128" w:name="_Hlk142927630"/>
      <w:r>
        <w:rPr>
          <w:rFonts w:hint="eastAsia"/>
        </w:rPr>
        <w:t>落实国土空间用途管制制度</w:t>
      </w:r>
    </w:p>
    <w:bookmarkEnd w:id="128"/>
    <w:p>
      <w:pPr>
        <w:spacing w:before="65"/>
        <w:ind w:firstLine="640"/>
        <w:rPr>
          <w:lang w:bidi="ar"/>
        </w:rPr>
      </w:pPr>
      <w:r>
        <w:rPr>
          <w:rFonts w:hint="eastAsia"/>
          <w:lang w:bidi="ar"/>
        </w:rPr>
        <w:t>对所有国土空间分区分类实施用途管制，落实分区准入、用途转换等管制规则。城镇开发边界内实行“详细规划+规划许可”；城镇开发边界外按照主导用途分区，实行“详细规划+规划许可”和“约束指标+分区准入”。严格耕地、自然保护地、生态保护红线、生态敏感脆弱区等特殊区域的用途管制。</w:t>
      </w:r>
    </w:p>
    <w:p>
      <w:pPr>
        <w:pStyle w:val="4"/>
        <w:spacing w:before="195" w:after="195"/>
      </w:pPr>
      <w:bookmarkStart w:id="129" w:name="_Hlk142927634"/>
      <w:r>
        <w:rPr>
          <w:rFonts w:hint="eastAsia"/>
        </w:rPr>
        <w:t>加强规划实施监测评估</w:t>
      </w:r>
    </w:p>
    <w:bookmarkEnd w:id="129"/>
    <w:p>
      <w:pPr>
        <w:spacing w:before="65"/>
        <w:ind w:firstLine="640"/>
        <w:rPr>
          <w:lang w:bidi="ar"/>
        </w:rPr>
      </w:pPr>
      <w:r>
        <w:rPr>
          <w:rFonts w:hint="eastAsia"/>
          <w:lang w:bidi="ar"/>
        </w:rPr>
        <w:t>建立规划实施评估指标体系和“体检评估”机制，落实国土空间规划监测评估预警系统，为市、县开展城市体检和规划全周期管理提供支撑。</w:t>
      </w:r>
    </w:p>
    <w:p>
      <w:pPr>
        <w:spacing w:before="65" w:line="240" w:lineRule="auto"/>
        <w:ind w:firstLine="0" w:firstLineChars="0"/>
        <w:rPr>
          <w:rFonts w:hint="default"/>
          <w:lang w:val="en" w:bidi="ar"/>
        </w:rPr>
      </w:pPr>
      <w:r>
        <w:rPr>
          <w:rFonts w:hint="default"/>
          <w:lang w:val="en" w:bidi="ar"/>
        </w:rPr>
        <w:drawing>
          <wp:inline distT="0" distB="0" distL="114300" distR="114300">
            <wp:extent cx="5273040" cy="7451725"/>
            <wp:effectExtent l="0" t="0" r="3810" b="15875"/>
            <wp:docPr id="6" name="图片 6" descr="08-桃溪镇-01-镇域国土空间用地现状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08-桃溪镇-01-镇域国土空间用地现状图"/>
                    <pic:cNvPicPr>
                      <a:picLocks noChangeAspect="true"/>
                    </pic:cNvPicPr>
                  </pic:nvPicPr>
                  <pic:blipFill>
                    <a:blip r:embed="rId14"/>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5" name="图片 5" descr="08-桃溪镇-02-镇域国土空间总体格局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08-桃溪镇-02-镇域国土空间总体格局规划图"/>
                    <pic:cNvPicPr>
                      <a:picLocks noChangeAspect="true"/>
                    </pic:cNvPicPr>
                  </pic:nvPicPr>
                  <pic:blipFill>
                    <a:blip r:embed="rId15"/>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4" name="图片 4" descr="08-桃溪镇-03-镇域国土空间控制线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08-桃溪镇-03-镇域国土空间控制线规划图"/>
                    <pic:cNvPicPr>
                      <a:picLocks noChangeAspect="true"/>
                    </pic:cNvPicPr>
                  </pic:nvPicPr>
                  <pic:blipFill>
                    <a:blip r:embed="rId16"/>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3" name="图片 3" descr="08-桃溪镇-04-镇域村庄布点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08-桃溪镇-04-镇域村庄布点规划图"/>
                    <pic:cNvPicPr>
                      <a:picLocks noChangeAspect="true"/>
                    </pic:cNvPicPr>
                  </pic:nvPicPr>
                  <pic:blipFill>
                    <a:blip r:embed="rId17"/>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73040" cy="7451725"/>
            <wp:effectExtent l="0" t="0" r="3810" b="15875"/>
            <wp:docPr id="2" name="图片 2" descr="08-桃溪镇-05-镇域综合交通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08-桃溪镇-05-镇域综合交通规划图"/>
                    <pic:cNvPicPr>
                      <a:picLocks noChangeAspect="true"/>
                    </pic:cNvPicPr>
                  </pic:nvPicPr>
                  <pic:blipFill>
                    <a:blip r:embed="rId18"/>
                    <a:stretch>
                      <a:fillRect/>
                    </a:stretch>
                  </pic:blipFill>
                  <pic:spPr>
                    <a:xfrm>
                      <a:off x="0" y="0"/>
                      <a:ext cx="5273040" cy="7451725"/>
                    </a:xfrm>
                    <a:prstGeom prst="rect">
                      <a:avLst/>
                    </a:prstGeom>
                  </pic:spPr>
                </pic:pic>
              </a:graphicData>
            </a:graphic>
          </wp:inline>
        </w:drawing>
      </w:r>
      <w:r>
        <w:rPr>
          <w:rFonts w:hint="default"/>
          <w:lang w:val="en" w:bidi="ar"/>
        </w:rPr>
        <w:drawing>
          <wp:inline distT="0" distB="0" distL="114300" distR="114300">
            <wp:extent cx="5259705" cy="3721735"/>
            <wp:effectExtent l="0" t="0" r="17145" b="12065"/>
            <wp:docPr id="1" name="图片 1" descr="08-桃溪镇-06-镇区国土空间用地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08-桃溪镇-06-镇区国土空间用地规划图"/>
                    <pic:cNvPicPr>
                      <a:picLocks noChangeAspect="true"/>
                    </pic:cNvPicPr>
                  </pic:nvPicPr>
                  <pic:blipFill>
                    <a:blip r:embed="rId19"/>
                    <a:stretch>
                      <a:fillRect/>
                    </a:stretch>
                  </pic:blipFill>
                  <pic:spPr>
                    <a:xfrm>
                      <a:off x="0" y="0"/>
                      <a:ext cx="5259705" cy="3721735"/>
                    </a:xfrm>
                    <a:prstGeom prst="rect">
                      <a:avLst/>
                    </a:prstGeom>
                  </pic:spPr>
                </pic:pic>
              </a:graphicData>
            </a:graphic>
          </wp:inline>
        </w:drawing>
      </w:r>
    </w:p>
    <w:sectPr>
      <w:headerReference r:id="rId11" w:type="default"/>
      <w:footerReference r:id="rId12" w:type="default"/>
      <w:pgSz w:w="11907" w:h="16839"/>
      <w:pgMar w:top="1440" w:right="1800" w:bottom="1440" w:left="1800" w:header="851" w:footer="680" w:gutter="0"/>
      <w:pgNumType w:start="1"/>
      <w:cols w:space="113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Cambria">
    <w:altName w:val="FreeSerif"/>
    <w:panose1 w:val="02040503050406030204"/>
    <w:charset w:val="00"/>
    <w:family w:val="roman"/>
    <w:pitch w:val="default"/>
    <w:sig w:usb0="00000000" w:usb1="00000000" w:usb2="00000000" w:usb3="00000000" w:csb0="0000019F" w:csb1="00000000"/>
  </w:font>
  <w:font w:name="楷体">
    <w:panose1 w:val="02010609060101010101"/>
    <w:charset w:val="86"/>
    <w:family w:val="modern"/>
    <w:pitch w:val="default"/>
    <w:sig w:usb0="800002BF" w:usb1="38CF7CFA" w:usb2="00000016" w:usb3="00000000" w:csb0="00040001" w:csb1="00000000"/>
  </w:font>
  <w:font w:name="等线">
    <w:altName w:val="华文仿宋"/>
    <w:panose1 w:val="02010600030101010101"/>
    <w:charset w:val="86"/>
    <w:family w:val="auto"/>
    <w:pitch w:val="default"/>
    <w:sig w:usb0="00000000" w:usb1="00000000" w:usb2="00000016" w:usb3="00000000" w:csb0="0004000F" w:csb1="00000000"/>
  </w:font>
  <w:font w:name="等线 Light">
    <w:altName w:val="汉仪仿宋S"/>
    <w:panose1 w:val="00000000000000000000"/>
    <w:charset w:val="86"/>
    <w:family w:val="auto"/>
    <w:pitch w:val="default"/>
    <w:sig w:usb0="00000000" w:usb1="00000000" w:usb2="00000016" w:usb3="00000000" w:csb0="0004000F" w:csb1="00000000"/>
  </w:font>
  <w:font w:name="微软雅黑">
    <w:altName w:val="黑体"/>
    <w:panose1 w:val="020B0503020204020204"/>
    <w:charset w:val="86"/>
    <w:family w:val="swiss"/>
    <w:pitch w:val="default"/>
    <w:sig w:usb0="00000000" w:usb1="00000000" w:usb2="00000016" w:usb3="00000000" w:csb0="0004001F" w:csb1="00000000"/>
  </w:font>
  <w:font w:name="仿宋">
    <w:panose1 w:val="02010609060101010101"/>
    <w:charset w:val="86"/>
    <w:family w:val="modern"/>
    <w:pitch w:val="default"/>
    <w:sig w:usb0="800002BF" w:usb1="38CF7CFA" w:usb2="00000016" w:usb3="00000000" w:csb0="00040001" w:csb1="00000000"/>
  </w:font>
  <w:font w:name="方正书宋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方正宋体S-超大字符集">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FreeSerif">
    <w:panose1 w:val="02020603050405020304"/>
    <w:charset w:val="00"/>
    <w:family w:val="auto"/>
    <w:pitch w:val="default"/>
    <w:sig w:usb0="E59FAFFF" w:usb1="C200FDFF" w:usb2="43501B29" w:usb3="04000043" w:csb0="600101FF" w:csb1="FFFF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line="240" w:lineRule="auto"/>
      <w:ind w:firstLine="0" w:firstLineChars="0"/>
      <w:jc w:val="center"/>
    </w:pPr>
  </w:p>
  <w:p>
    <w:pPr>
      <w:pStyle w:val="20"/>
      <w:spacing w:before="48"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8189101"/>
    </w:sdtPr>
    <w:sdtContent>
      <w:p>
        <w:pPr>
          <w:pStyle w:val="20"/>
          <w:spacing w:line="240" w:lineRule="auto"/>
          <w:ind w:firstLine="0" w:firstLineChars="0"/>
          <w:jc w:val="center"/>
        </w:pPr>
        <w:r>
          <w:rPr>
            <w:rFonts w:ascii="宋体" w:hAnsi="宋体" w:eastAsia="宋体"/>
          </w:rPr>
          <w:fldChar w:fldCharType="begin"/>
        </w:r>
        <w:r>
          <w:rPr>
            <w:rFonts w:ascii="宋体" w:hAnsi="宋体" w:eastAsia="宋体"/>
          </w:rPr>
          <w:instrText xml:space="preserve">PAGE   \* MERGEFORMAT</w:instrText>
        </w:r>
        <w:r>
          <w:rPr>
            <w:rFonts w:ascii="宋体" w:hAnsi="宋体" w:eastAsia="宋体"/>
          </w:rPr>
          <w:fldChar w:fldCharType="separate"/>
        </w:r>
        <w:r>
          <w:rPr>
            <w:rFonts w:ascii="宋体" w:hAnsi="宋体" w:eastAsia="宋体"/>
          </w:rPr>
          <w:t>19</w:t>
        </w:r>
        <w:r>
          <w:rPr>
            <w:rFonts w:ascii="宋体" w:hAnsi="宋体" w:eastAsia="宋体"/>
          </w:rPr>
          <w:fldChar w:fldCharType="end"/>
        </w:r>
      </w:p>
    </w:sdtContent>
  </w:sdt>
  <w:p>
    <w:pPr>
      <w:pStyle w:val="20"/>
      <w:spacing w:before="48" w:after="120"/>
      <w:ind w:firstLineChars="1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spacing w:before="120"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after="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82C3E58"/>
    <w:multiLevelType w:val="multilevel"/>
    <w:tmpl w:val="082C3E58"/>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lang w:val="en-US"/>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8223"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1">
    <w:nsid w:val="1175581F"/>
    <w:multiLevelType w:val="multilevel"/>
    <w:tmpl w:val="1175581F"/>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lang w:val="en-US"/>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8223"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2">
    <w:nsid w:val="509D6CC8"/>
    <w:multiLevelType w:val="multilevel"/>
    <w:tmpl w:val="509D6CC8"/>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lang w:val="en-US"/>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8223"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3">
    <w:nsid w:val="78EF3348"/>
    <w:multiLevelType w:val="multilevel"/>
    <w:tmpl w:val="78EF3348"/>
    <w:lvl w:ilvl="0" w:tentative="0">
      <w:start w:val="1"/>
      <w:numFmt w:val="chineseCountingThousand"/>
      <w:pStyle w:val="2"/>
      <w:suff w:val="space"/>
      <w:lvlText w:val="第%1章 "/>
      <w:lvlJc w:val="left"/>
      <w:pPr>
        <w:ind w:left="1135" w:firstLine="0"/>
      </w:pPr>
      <w:rPr>
        <w:rFonts w:hint="eastAsia" w:ascii="方正小标宋简体" w:eastAsia="方正小标宋简体"/>
      </w:rPr>
    </w:lvl>
    <w:lvl w:ilvl="1" w:tentative="0">
      <w:start w:val="1"/>
      <w:numFmt w:val="chineseCountingThousand"/>
      <w:pStyle w:val="3"/>
      <w:suff w:val="space"/>
      <w:lvlText w:val="第%2节 "/>
      <w:lvlJc w:val="left"/>
      <w:pPr>
        <w:ind w:left="1702" w:firstLine="0"/>
      </w:pPr>
      <w:rPr>
        <w:rFonts w:hint="eastAsia" w:ascii="黑体" w:eastAsia="黑体"/>
        <w:lang w:val="en-US"/>
      </w:rPr>
    </w:lvl>
    <w:lvl w:ilvl="2" w:tentative="0">
      <w:start w:val="1"/>
      <w:numFmt w:val="decimal"/>
      <w:lvlRestart w:val="0"/>
      <w:pStyle w:val="4"/>
      <w:isLgl/>
      <w:suff w:val="space"/>
      <w:lvlText w:val="第%3条 "/>
      <w:lvlJc w:val="left"/>
      <w:pPr>
        <w:ind w:left="568" w:firstLine="0"/>
      </w:pPr>
      <w:rPr>
        <w:rFonts w:hint="eastAsia" w:ascii="楷体_GB2312" w:eastAsia="楷体_GB2312"/>
      </w:rPr>
    </w:lvl>
    <w:lvl w:ilvl="3" w:tentative="0">
      <w:start w:val="1"/>
      <w:numFmt w:val="decimal"/>
      <w:pStyle w:val="5"/>
      <w:isLgl/>
      <w:suff w:val="nothing"/>
      <w:lvlText w:val="%4."/>
      <w:lvlJc w:val="left"/>
      <w:pPr>
        <w:ind w:left="-141" w:firstLine="425"/>
      </w:pPr>
      <w:rPr>
        <w:rFonts w:hint="eastAsia"/>
      </w:rPr>
    </w:lvl>
    <w:lvl w:ilvl="4" w:tentative="0">
      <w:start w:val="1"/>
      <w:numFmt w:val="decimal"/>
      <w:pStyle w:val="6"/>
      <w:isLgl/>
      <w:suff w:val="nothing"/>
      <w:lvlText w:val="（%5）"/>
      <w:lvlJc w:val="left"/>
      <w:pPr>
        <w:ind w:left="0" w:firstLine="340"/>
      </w:pPr>
      <w:rPr>
        <w:rFonts w:hint="eastAsia" w:ascii="宋体" w:eastAsia="宋体"/>
      </w:rPr>
    </w:lvl>
    <w:lvl w:ilvl="5" w:tentative="0">
      <w:start w:val="1"/>
      <w:numFmt w:val="decimal"/>
      <w:lvlRestart w:val="1"/>
      <w:pStyle w:val="63"/>
      <w:isLgl/>
      <w:suff w:val="nothing"/>
      <w:lvlText w:val="附表%6："/>
      <w:lvlJc w:val="left"/>
      <w:pPr>
        <w:ind w:left="0" w:firstLine="0"/>
      </w:pPr>
      <w:rPr>
        <w:rFonts w:hint="eastAsia" w:ascii="仿宋_GB2312" w:eastAsia="仿宋_GB2312"/>
        <w:u w:val="none"/>
        <w:lang w:val="en-US"/>
      </w:rPr>
    </w:lvl>
    <w:lvl w:ilvl="6" w:tentative="0">
      <w:start w:val="1"/>
      <w:numFmt w:val="decimal"/>
      <w:lvlRestart w:val="4"/>
      <w:isLgl/>
      <w:suff w:val="nothing"/>
      <w:lvlText w:val="（%7）"/>
      <w:lvlJc w:val="left"/>
      <w:pPr>
        <w:ind w:left="0" w:firstLine="340"/>
      </w:pPr>
      <w:rPr>
        <w:rFonts w:hint="eastAsia" w:ascii="宋体" w:eastAsia="宋体"/>
        <w:u w:val="single"/>
      </w:rPr>
    </w:lvl>
    <w:lvl w:ilvl="7" w:tentative="0">
      <w:start w:val="1"/>
      <w:numFmt w:val="decimal"/>
      <w:pStyle w:val="9"/>
      <w:lvlText w:val="%1.%2.%3.%4.%5.%6.%7.%8"/>
      <w:lvlJc w:val="left"/>
      <w:pPr>
        <w:ind w:left="1440" w:hanging="1440"/>
      </w:pPr>
      <w:rPr>
        <w:rFonts w:hint="eastAsia"/>
      </w:rPr>
    </w:lvl>
    <w:lvl w:ilvl="8" w:tentative="0">
      <w:start w:val="1"/>
      <w:numFmt w:val="decimal"/>
      <w:pStyle w:val="10"/>
      <w:lvlText w:val="%1.%2.%3.%4.%5.%6.%7.%8.%9"/>
      <w:lvlJc w:val="left"/>
      <w:pPr>
        <w:ind w:left="1584" w:hanging="1584"/>
      </w:pPr>
      <w:rPr>
        <w:rFonts w:hint="eastAsia"/>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hideSpellingErrors/>
  <w:documentProtection w:enforcement="0"/>
  <w:defaultTabStop w:val="420"/>
  <w:drawingGridHorizontalSpacing w:val="120"/>
  <w:drawingGridVerticalSpacing w:val="163"/>
  <w:noPunctuationKerning w:val="true"/>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ViOWEyNjAzNzYyNzgyMzM5MmY0MTE1MzYzYmY1MDUifQ=="/>
  </w:docVars>
  <w:rsids>
    <w:rsidRoot w:val="00172A27"/>
    <w:rsid w:val="00000C06"/>
    <w:rsid w:val="00001621"/>
    <w:rsid w:val="00004538"/>
    <w:rsid w:val="000045B8"/>
    <w:rsid w:val="000046C4"/>
    <w:rsid w:val="00005598"/>
    <w:rsid w:val="00007CD2"/>
    <w:rsid w:val="00014FFC"/>
    <w:rsid w:val="00015277"/>
    <w:rsid w:val="0001672B"/>
    <w:rsid w:val="000173D5"/>
    <w:rsid w:val="000228A2"/>
    <w:rsid w:val="00022C14"/>
    <w:rsid w:val="00023887"/>
    <w:rsid w:val="00024593"/>
    <w:rsid w:val="00025921"/>
    <w:rsid w:val="00025FB7"/>
    <w:rsid w:val="000263B1"/>
    <w:rsid w:val="00026494"/>
    <w:rsid w:val="00026ED4"/>
    <w:rsid w:val="00027C74"/>
    <w:rsid w:val="00027CDC"/>
    <w:rsid w:val="000300ED"/>
    <w:rsid w:val="000312F7"/>
    <w:rsid w:val="00033FEA"/>
    <w:rsid w:val="0003547A"/>
    <w:rsid w:val="0003614B"/>
    <w:rsid w:val="000401C8"/>
    <w:rsid w:val="00041FC0"/>
    <w:rsid w:val="00042AF6"/>
    <w:rsid w:val="00043914"/>
    <w:rsid w:val="00043D07"/>
    <w:rsid w:val="00044269"/>
    <w:rsid w:val="00044A6C"/>
    <w:rsid w:val="00044E71"/>
    <w:rsid w:val="00046257"/>
    <w:rsid w:val="00046BBF"/>
    <w:rsid w:val="00046E46"/>
    <w:rsid w:val="0004772B"/>
    <w:rsid w:val="0005003D"/>
    <w:rsid w:val="00051283"/>
    <w:rsid w:val="0005170E"/>
    <w:rsid w:val="000521F1"/>
    <w:rsid w:val="000522AA"/>
    <w:rsid w:val="00053B04"/>
    <w:rsid w:val="00055F65"/>
    <w:rsid w:val="00056EF1"/>
    <w:rsid w:val="0005723A"/>
    <w:rsid w:val="0005724D"/>
    <w:rsid w:val="00063F69"/>
    <w:rsid w:val="00065C66"/>
    <w:rsid w:val="0006602B"/>
    <w:rsid w:val="00066343"/>
    <w:rsid w:val="000672D0"/>
    <w:rsid w:val="00067F9B"/>
    <w:rsid w:val="000708D8"/>
    <w:rsid w:val="0007111B"/>
    <w:rsid w:val="00071B6F"/>
    <w:rsid w:val="00072F6E"/>
    <w:rsid w:val="00073CFB"/>
    <w:rsid w:val="000743DC"/>
    <w:rsid w:val="000744A6"/>
    <w:rsid w:val="0007497D"/>
    <w:rsid w:val="00074C23"/>
    <w:rsid w:val="00075670"/>
    <w:rsid w:val="00075AC8"/>
    <w:rsid w:val="00075E93"/>
    <w:rsid w:val="00076004"/>
    <w:rsid w:val="000776E5"/>
    <w:rsid w:val="00080705"/>
    <w:rsid w:val="00080CA3"/>
    <w:rsid w:val="00080F04"/>
    <w:rsid w:val="00082E8A"/>
    <w:rsid w:val="00083B0D"/>
    <w:rsid w:val="00085C91"/>
    <w:rsid w:val="00085E68"/>
    <w:rsid w:val="00085F2C"/>
    <w:rsid w:val="000868E7"/>
    <w:rsid w:val="00087434"/>
    <w:rsid w:val="00087F2A"/>
    <w:rsid w:val="000905F0"/>
    <w:rsid w:val="00091ADE"/>
    <w:rsid w:val="000921DD"/>
    <w:rsid w:val="000945D7"/>
    <w:rsid w:val="00094975"/>
    <w:rsid w:val="000951DD"/>
    <w:rsid w:val="00095B0E"/>
    <w:rsid w:val="00097133"/>
    <w:rsid w:val="00097FB2"/>
    <w:rsid w:val="000A2C0B"/>
    <w:rsid w:val="000A3B02"/>
    <w:rsid w:val="000A4529"/>
    <w:rsid w:val="000A5030"/>
    <w:rsid w:val="000A50E0"/>
    <w:rsid w:val="000A52E7"/>
    <w:rsid w:val="000A534F"/>
    <w:rsid w:val="000A5430"/>
    <w:rsid w:val="000A6201"/>
    <w:rsid w:val="000A6E7D"/>
    <w:rsid w:val="000A74E3"/>
    <w:rsid w:val="000B1B6C"/>
    <w:rsid w:val="000B257F"/>
    <w:rsid w:val="000B27FF"/>
    <w:rsid w:val="000B3238"/>
    <w:rsid w:val="000B46A4"/>
    <w:rsid w:val="000B53B7"/>
    <w:rsid w:val="000B591B"/>
    <w:rsid w:val="000B5C66"/>
    <w:rsid w:val="000B64A5"/>
    <w:rsid w:val="000B7014"/>
    <w:rsid w:val="000B72AE"/>
    <w:rsid w:val="000C0616"/>
    <w:rsid w:val="000C0C7A"/>
    <w:rsid w:val="000C1556"/>
    <w:rsid w:val="000C2A41"/>
    <w:rsid w:val="000C3573"/>
    <w:rsid w:val="000C3D14"/>
    <w:rsid w:val="000C5282"/>
    <w:rsid w:val="000C559D"/>
    <w:rsid w:val="000C5B95"/>
    <w:rsid w:val="000C6324"/>
    <w:rsid w:val="000C78E4"/>
    <w:rsid w:val="000C7DE1"/>
    <w:rsid w:val="000D00FC"/>
    <w:rsid w:val="000D046C"/>
    <w:rsid w:val="000D336A"/>
    <w:rsid w:val="000D34BC"/>
    <w:rsid w:val="000D4DBE"/>
    <w:rsid w:val="000D53BD"/>
    <w:rsid w:val="000D5D58"/>
    <w:rsid w:val="000D6692"/>
    <w:rsid w:val="000D7199"/>
    <w:rsid w:val="000E0444"/>
    <w:rsid w:val="000E0F8D"/>
    <w:rsid w:val="000E1E0F"/>
    <w:rsid w:val="000E2A07"/>
    <w:rsid w:val="000E2A20"/>
    <w:rsid w:val="000E324F"/>
    <w:rsid w:val="000E35FD"/>
    <w:rsid w:val="000E498F"/>
    <w:rsid w:val="000E5601"/>
    <w:rsid w:val="000E5D6D"/>
    <w:rsid w:val="000E6D24"/>
    <w:rsid w:val="000E7FEF"/>
    <w:rsid w:val="000F011D"/>
    <w:rsid w:val="000F04B5"/>
    <w:rsid w:val="000F0809"/>
    <w:rsid w:val="000F1ED6"/>
    <w:rsid w:val="000F2221"/>
    <w:rsid w:val="000F2547"/>
    <w:rsid w:val="000F2B37"/>
    <w:rsid w:val="000F2E81"/>
    <w:rsid w:val="000F302E"/>
    <w:rsid w:val="000F3B1E"/>
    <w:rsid w:val="000F5DA8"/>
    <w:rsid w:val="000F6939"/>
    <w:rsid w:val="000F6CCC"/>
    <w:rsid w:val="000F7E30"/>
    <w:rsid w:val="001004B9"/>
    <w:rsid w:val="00100A59"/>
    <w:rsid w:val="00101788"/>
    <w:rsid w:val="001022DD"/>
    <w:rsid w:val="00102D32"/>
    <w:rsid w:val="00103A77"/>
    <w:rsid w:val="00104C7B"/>
    <w:rsid w:val="00105261"/>
    <w:rsid w:val="001053A7"/>
    <w:rsid w:val="00105DBB"/>
    <w:rsid w:val="00106AE3"/>
    <w:rsid w:val="00110059"/>
    <w:rsid w:val="001105F1"/>
    <w:rsid w:val="00110ED6"/>
    <w:rsid w:val="00111100"/>
    <w:rsid w:val="001129D8"/>
    <w:rsid w:val="00113B52"/>
    <w:rsid w:val="00113C92"/>
    <w:rsid w:val="00114E92"/>
    <w:rsid w:val="00116D01"/>
    <w:rsid w:val="00120488"/>
    <w:rsid w:val="001204CF"/>
    <w:rsid w:val="00120A43"/>
    <w:rsid w:val="001212B2"/>
    <w:rsid w:val="0012136A"/>
    <w:rsid w:val="001216CE"/>
    <w:rsid w:val="00121CDA"/>
    <w:rsid w:val="00122DC8"/>
    <w:rsid w:val="00125070"/>
    <w:rsid w:val="00125577"/>
    <w:rsid w:val="001255B3"/>
    <w:rsid w:val="001265A8"/>
    <w:rsid w:val="0012676D"/>
    <w:rsid w:val="00127388"/>
    <w:rsid w:val="001276D2"/>
    <w:rsid w:val="00130C20"/>
    <w:rsid w:val="00130F68"/>
    <w:rsid w:val="001317CE"/>
    <w:rsid w:val="0013180C"/>
    <w:rsid w:val="00131983"/>
    <w:rsid w:val="00131CE1"/>
    <w:rsid w:val="00132A15"/>
    <w:rsid w:val="0013381F"/>
    <w:rsid w:val="00134387"/>
    <w:rsid w:val="00136B98"/>
    <w:rsid w:val="00140D28"/>
    <w:rsid w:val="00141074"/>
    <w:rsid w:val="001419C1"/>
    <w:rsid w:val="00142730"/>
    <w:rsid w:val="00143B0C"/>
    <w:rsid w:val="00143E65"/>
    <w:rsid w:val="0014413C"/>
    <w:rsid w:val="00144466"/>
    <w:rsid w:val="001451AB"/>
    <w:rsid w:val="001469C5"/>
    <w:rsid w:val="00147AEC"/>
    <w:rsid w:val="00150074"/>
    <w:rsid w:val="00150232"/>
    <w:rsid w:val="00152322"/>
    <w:rsid w:val="00152930"/>
    <w:rsid w:val="001548F2"/>
    <w:rsid w:val="00156A88"/>
    <w:rsid w:val="0015738E"/>
    <w:rsid w:val="0016018D"/>
    <w:rsid w:val="0016071B"/>
    <w:rsid w:val="00160A7E"/>
    <w:rsid w:val="001617AD"/>
    <w:rsid w:val="00161CCC"/>
    <w:rsid w:val="001674E7"/>
    <w:rsid w:val="00167698"/>
    <w:rsid w:val="00170A73"/>
    <w:rsid w:val="00170F66"/>
    <w:rsid w:val="0017172C"/>
    <w:rsid w:val="00172637"/>
    <w:rsid w:val="00172A27"/>
    <w:rsid w:val="001737F0"/>
    <w:rsid w:val="00173B83"/>
    <w:rsid w:val="001756E1"/>
    <w:rsid w:val="001807AA"/>
    <w:rsid w:val="00181721"/>
    <w:rsid w:val="001818EE"/>
    <w:rsid w:val="001830A0"/>
    <w:rsid w:val="00183912"/>
    <w:rsid w:val="0018447A"/>
    <w:rsid w:val="00185303"/>
    <w:rsid w:val="001870AF"/>
    <w:rsid w:val="001872D8"/>
    <w:rsid w:val="00187C7C"/>
    <w:rsid w:val="00191C19"/>
    <w:rsid w:val="0019232D"/>
    <w:rsid w:val="001935F5"/>
    <w:rsid w:val="001937E5"/>
    <w:rsid w:val="00194C1F"/>
    <w:rsid w:val="00194D15"/>
    <w:rsid w:val="00196C51"/>
    <w:rsid w:val="00197EB3"/>
    <w:rsid w:val="001A0300"/>
    <w:rsid w:val="001A074B"/>
    <w:rsid w:val="001A1369"/>
    <w:rsid w:val="001A1B39"/>
    <w:rsid w:val="001A1F69"/>
    <w:rsid w:val="001A2D06"/>
    <w:rsid w:val="001A4ECF"/>
    <w:rsid w:val="001A5251"/>
    <w:rsid w:val="001A5315"/>
    <w:rsid w:val="001B01F9"/>
    <w:rsid w:val="001B0309"/>
    <w:rsid w:val="001B1BF6"/>
    <w:rsid w:val="001B337A"/>
    <w:rsid w:val="001B5251"/>
    <w:rsid w:val="001B6117"/>
    <w:rsid w:val="001B621A"/>
    <w:rsid w:val="001B73C7"/>
    <w:rsid w:val="001C0BB2"/>
    <w:rsid w:val="001C0F1D"/>
    <w:rsid w:val="001C1416"/>
    <w:rsid w:val="001C1AAB"/>
    <w:rsid w:val="001C216E"/>
    <w:rsid w:val="001C28BC"/>
    <w:rsid w:val="001C444D"/>
    <w:rsid w:val="001C4927"/>
    <w:rsid w:val="001C68A6"/>
    <w:rsid w:val="001C7E81"/>
    <w:rsid w:val="001D0529"/>
    <w:rsid w:val="001D208F"/>
    <w:rsid w:val="001D3525"/>
    <w:rsid w:val="001D35C4"/>
    <w:rsid w:val="001D385D"/>
    <w:rsid w:val="001D4B6D"/>
    <w:rsid w:val="001D5261"/>
    <w:rsid w:val="001D6832"/>
    <w:rsid w:val="001D7F34"/>
    <w:rsid w:val="001E14DD"/>
    <w:rsid w:val="001E186A"/>
    <w:rsid w:val="001E3503"/>
    <w:rsid w:val="001E359F"/>
    <w:rsid w:val="001E3A75"/>
    <w:rsid w:val="001E436F"/>
    <w:rsid w:val="001E44D5"/>
    <w:rsid w:val="001E54F2"/>
    <w:rsid w:val="001E71D9"/>
    <w:rsid w:val="001E7955"/>
    <w:rsid w:val="001E7D07"/>
    <w:rsid w:val="001F03E4"/>
    <w:rsid w:val="001F0DB9"/>
    <w:rsid w:val="001F111E"/>
    <w:rsid w:val="001F189C"/>
    <w:rsid w:val="001F2214"/>
    <w:rsid w:val="001F2E42"/>
    <w:rsid w:val="001F5C6A"/>
    <w:rsid w:val="001F5D26"/>
    <w:rsid w:val="001F614A"/>
    <w:rsid w:val="001F749F"/>
    <w:rsid w:val="001F7A86"/>
    <w:rsid w:val="00200FBD"/>
    <w:rsid w:val="00201631"/>
    <w:rsid w:val="00201F70"/>
    <w:rsid w:val="002023C0"/>
    <w:rsid w:val="0020243D"/>
    <w:rsid w:val="00202D2C"/>
    <w:rsid w:val="002040CD"/>
    <w:rsid w:val="00204C4D"/>
    <w:rsid w:val="00206376"/>
    <w:rsid w:val="0020668E"/>
    <w:rsid w:val="002078F2"/>
    <w:rsid w:val="00210701"/>
    <w:rsid w:val="00210B2B"/>
    <w:rsid w:val="0021225F"/>
    <w:rsid w:val="0021329A"/>
    <w:rsid w:val="00213AA9"/>
    <w:rsid w:val="002143B3"/>
    <w:rsid w:val="00215079"/>
    <w:rsid w:val="002153F1"/>
    <w:rsid w:val="00215A9A"/>
    <w:rsid w:val="00215F98"/>
    <w:rsid w:val="002174F4"/>
    <w:rsid w:val="0022036E"/>
    <w:rsid w:val="002208D0"/>
    <w:rsid w:val="0022120E"/>
    <w:rsid w:val="00221961"/>
    <w:rsid w:val="00221E4E"/>
    <w:rsid w:val="00224EF3"/>
    <w:rsid w:val="0022590C"/>
    <w:rsid w:val="00225B9A"/>
    <w:rsid w:val="00226AA9"/>
    <w:rsid w:val="00226B3C"/>
    <w:rsid w:val="00226B4A"/>
    <w:rsid w:val="00227032"/>
    <w:rsid w:val="0022722C"/>
    <w:rsid w:val="0022746F"/>
    <w:rsid w:val="00227754"/>
    <w:rsid w:val="00227F15"/>
    <w:rsid w:val="002318CC"/>
    <w:rsid w:val="0023322C"/>
    <w:rsid w:val="002357AA"/>
    <w:rsid w:val="00235B3B"/>
    <w:rsid w:val="00235EFC"/>
    <w:rsid w:val="00237CD9"/>
    <w:rsid w:val="0024154E"/>
    <w:rsid w:val="00241DCC"/>
    <w:rsid w:val="002466B6"/>
    <w:rsid w:val="002519E5"/>
    <w:rsid w:val="002522BE"/>
    <w:rsid w:val="0025290E"/>
    <w:rsid w:val="00253CAE"/>
    <w:rsid w:val="0025432E"/>
    <w:rsid w:val="00256485"/>
    <w:rsid w:val="00260EA9"/>
    <w:rsid w:val="00261A81"/>
    <w:rsid w:val="0026390F"/>
    <w:rsid w:val="00263D89"/>
    <w:rsid w:val="002649E9"/>
    <w:rsid w:val="00264E9D"/>
    <w:rsid w:val="00266A10"/>
    <w:rsid w:val="0026767C"/>
    <w:rsid w:val="00267805"/>
    <w:rsid w:val="00271E06"/>
    <w:rsid w:val="002730E2"/>
    <w:rsid w:val="0027483B"/>
    <w:rsid w:val="00274AB8"/>
    <w:rsid w:val="00275466"/>
    <w:rsid w:val="002809B3"/>
    <w:rsid w:val="00280A41"/>
    <w:rsid w:val="0028232B"/>
    <w:rsid w:val="00282A78"/>
    <w:rsid w:val="00285171"/>
    <w:rsid w:val="002858A9"/>
    <w:rsid w:val="00287750"/>
    <w:rsid w:val="002909DB"/>
    <w:rsid w:val="002927A2"/>
    <w:rsid w:val="00293283"/>
    <w:rsid w:val="00293304"/>
    <w:rsid w:val="0029563F"/>
    <w:rsid w:val="0029594D"/>
    <w:rsid w:val="00295CF8"/>
    <w:rsid w:val="00296C9A"/>
    <w:rsid w:val="00296F9B"/>
    <w:rsid w:val="002971CF"/>
    <w:rsid w:val="00297F42"/>
    <w:rsid w:val="002A0B80"/>
    <w:rsid w:val="002A0F24"/>
    <w:rsid w:val="002A34BA"/>
    <w:rsid w:val="002A7C4B"/>
    <w:rsid w:val="002B077C"/>
    <w:rsid w:val="002B0B71"/>
    <w:rsid w:val="002B1F62"/>
    <w:rsid w:val="002B2015"/>
    <w:rsid w:val="002B3BBA"/>
    <w:rsid w:val="002B44B7"/>
    <w:rsid w:val="002B4C31"/>
    <w:rsid w:val="002B4E45"/>
    <w:rsid w:val="002B50D5"/>
    <w:rsid w:val="002B5A99"/>
    <w:rsid w:val="002B5C8C"/>
    <w:rsid w:val="002B5FF8"/>
    <w:rsid w:val="002B6573"/>
    <w:rsid w:val="002B6DBA"/>
    <w:rsid w:val="002B6F86"/>
    <w:rsid w:val="002B7AA6"/>
    <w:rsid w:val="002B7E47"/>
    <w:rsid w:val="002C0E5C"/>
    <w:rsid w:val="002C11EE"/>
    <w:rsid w:val="002C2A13"/>
    <w:rsid w:val="002C2E92"/>
    <w:rsid w:val="002C3825"/>
    <w:rsid w:val="002C398A"/>
    <w:rsid w:val="002C3FB6"/>
    <w:rsid w:val="002C42F2"/>
    <w:rsid w:val="002C51F4"/>
    <w:rsid w:val="002C6201"/>
    <w:rsid w:val="002C6673"/>
    <w:rsid w:val="002C719A"/>
    <w:rsid w:val="002C786B"/>
    <w:rsid w:val="002C7CBE"/>
    <w:rsid w:val="002D05EF"/>
    <w:rsid w:val="002D1201"/>
    <w:rsid w:val="002D157C"/>
    <w:rsid w:val="002D1C3F"/>
    <w:rsid w:val="002D36AE"/>
    <w:rsid w:val="002D3839"/>
    <w:rsid w:val="002D3FFB"/>
    <w:rsid w:val="002D5611"/>
    <w:rsid w:val="002D6047"/>
    <w:rsid w:val="002D6E59"/>
    <w:rsid w:val="002D7CD8"/>
    <w:rsid w:val="002D7FB1"/>
    <w:rsid w:val="002E0B3B"/>
    <w:rsid w:val="002E0F64"/>
    <w:rsid w:val="002E109B"/>
    <w:rsid w:val="002E2692"/>
    <w:rsid w:val="002E3241"/>
    <w:rsid w:val="002E3399"/>
    <w:rsid w:val="002E38BB"/>
    <w:rsid w:val="002E612C"/>
    <w:rsid w:val="002E649B"/>
    <w:rsid w:val="002E6677"/>
    <w:rsid w:val="002E7314"/>
    <w:rsid w:val="002E7F35"/>
    <w:rsid w:val="002F1618"/>
    <w:rsid w:val="002F1D37"/>
    <w:rsid w:val="002F36E8"/>
    <w:rsid w:val="002F529A"/>
    <w:rsid w:val="002F5BB5"/>
    <w:rsid w:val="002F6661"/>
    <w:rsid w:val="002F6D93"/>
    <w:rsid w:val="002F7EE7"/>
    <w:rsid w:val="0030002A"/>
    <w:rsid w:val="003008FB"/>
    <w:rsid w:val="00300F45"/>
    <w:rsid w:val="003014F3"/>
    <w:rsid w:val="00301643"/>
    <w:rsid w:val="0030170C"/>
    <w:rsid w:val="00301A91"/>
    <w:rsid w:val="0030248B"/>
    <w:rsid w:val="003045A0"/>
    <w:rsid w:val="00305B38"/>
    <w:rsid w:val="00306DA5"/>
    <w:rsid w:val="003074D3"/>
    <w:rsid w:val="003104F2"/>
    <w:rsid w:val="00311CA9"/>
    <w:rsid w:val="0031292D"/>
    <w:rsid w:val="0031367A"/>
    <w:rsid w:val="003137CF"/>
    <w:rsid w:val="00313A14"/>
    <w:rsid w:val="003146D1"/>
    <w:rsid w:val="0031528B"/>
    <w:rsid w:val="0031556D"/>
    <w:rsid w:val="00315DB0"/>
    <w:rsid w:val="0031620E"/>
    <w:rsid w:val="003172BE"/>
    <w:rsid w:val="00320E3F"/>
    <w:rsid w:val="00322AAC"/>
    <w:rsid w:val="00322C47"/>
    <w:rsid w:val="00322E71"/>
    <w:rsid w:val="003230B5"/>
    <w:rsid w:val="00323FE4"/>
    <w:rsid w:val="003240BE"/>
    <w:rsid w:val="003243A5"/>
    <w:rsid w:val="00324F0C"/>
    <w:rsid w:val="003257DB"/>
    <w:rsid w:val="00325EDE"/>
    <w:rsid w:val="003265D9"/>
    <w:rsid w:val="00326DBA"/>
    <w:rsid w:val="0033096C"/>
    <w:rsid w:val="00330AEE"/>
    <w:rsid w:val="00331549"/>
    <w:rsid w:val="00331604"/>
    <w:rsid w:val="00333450"/>
    <w:rsid w:val="003335ED"/>
    <w:rsid w:val="00333E51"/>
    <w:rsid w:val="00333EC9"/>
    <w:rsid w:val="00334478"/>
    <w:rsid w:val="003362FD"/>
    <w:rsid w:val="00341862"/>
    <w:rsid w:val="0034203C"/>
    <w:rsid w:val="00342ED0"/>
    <w:rsid w:val="00343111"/>
    <w:rsid w:val="00344BB4"/>
    <w:rsid w:val="003457C2"/>
    <w:rsid w:val="00345BAA"/>
    <w:rsid w:val="00346168"/>
    <w:rsid w:val="003479E8"/>
    <w:rsid w:val="00347BFE"/>
    <w:rsid w:val="003533FF"/>
    <w:rsid w:val="00353EB6"/>
    <w:rsid w:val="0035508E"/>
    <w:rsid w:val="00355281"/>
    <w:rsid w:val="00355BA4"/>
    <w:rsid w:val="00355DE7"/>
    <w:rsid w:val="003605D5"/>
    <w:rsid w:val="0036078C"/>
    <w:rsid w:val="00361606"/>
    <w:rsid w:val="0036180A"/>
    <w:rsid w:val="00361890"/>
    <w:rsid w:val="00361EC8"/>
    <w:rsid w:val="00363503"/>
    <w:rsid w:val="00364050"/>
    <w:rsid w:val="0036413A"/>
    <w:rsid w:val="0036493E"/>
    <w:rsid w:val="00364EA4"/>
    <w:rsid w:val="00365625"/>
    <w:rsid w:val="003715FA"/>
    <w:rsid w:val="00371710"/>
    <w:rsid w:val="00372354"/>
    <w:rsid w:val="003723B0"/>
    <w:rsid w:val="00372E59"/>
    <w:rsid w:val="00373AFF"/>
    <w:rsid w:val="00373D30"/>
    <w:rsid w:val="00375CB6"/>
    <w:rsid w:val="003777F2"/>
    <w:rsid w:val="003819CB"/>
    <w:rsid w:val="00381A96"/>
    <w:rsid w:val="00383792"/>
    <w:rsid w:val="00383ED6"/>
    <w:rsid w:val="00385823"/>
    <w:rsid w:val="0038737D"/>
    <w:rsid w:val="00390487"/>
    <w:rsid w:val="003928A6"/>
    <w:rsid w:val="00392949"/>
    <w:rsid w:val="00393988"/>
    <w:rsid w:val="00393D8A"/>
    <w:rsid w:val="00394A69"/>
    <w:rsid w:val="00394CC7"/>
    <w:rsid w:val="003950B7"/>
    <w:rsid w:val="00395BA6"/>
    <w:rsid w:val="00396205"/>
    <w:rsid w:val="0039649B"/>
    <w:rsid w:val="0039775C"/>
    <w:rsid w:val="003978C3"/>
    <w:rsid w:val="00397B19"/>
    <w:rsid w:val="00397E6B"/>
    <w:rsid w:val="00397F96"/>
    <w:rsid w:val="003A04CD"/>
    <w:rsid w:val="003A059D"/>
    <w:rsid w:val="003A07B0"/>
    <w:rsid w:val="003A114F"/>
    <w:rsid w:val="003A299B"/>
    <w:rsid w:val="003A39DD"/>
    <w:rsid w:val="003A535B"/>
    <w:rsid w:val="003A5419"/>
    <w:rsid w:val="003A596E"/>
    <w:rsid w:val="003B0168"/>
    <w:rsid w:val="003B04E8"/>
    <w:rsid w:val="003B079D"/>
    <w:rsid w:val="003B0873"/>
    <w:rsid w:val="003B0E02"/>
    <w:rsid w:val="003B1F83"/>
    <w:rsid w:val="003B2BD1"/>
    <w:rsid w:val="003B2DED"/>
    <w:rsid w:val="003B52B9"/>
    <w:rsid w:val="003B60A1"/>
    <w:rsid w:val="003B6113"/>
    <w:rsid w:val="003B64C7"/>
    <w:rsid w:val="003B6FE0"/>
    <w:rsid w:val="003B78BD"/>
    <w:rsid w:val="003C0206"/>
    <w:rsid w:val="003C1846"/>
    <w:rsid w:val="003C1D78"/>
    <w:rsid w:val="003C2CDB"/>
    <w:rsid w:val="003C38B5"/>
    <w:rsid w:val="003C3E5B"/>
    <w:rsid w:val="003C545E"/>
    <w:rsid w:val="003C54EF"/>
    <w:rsid w:val="003C55CE"/>
    <w:rsid w:val="003C5616"/>
    <w:rsid w:val="003C6B26"/>
    <w:rsid w:val="003C72FC"/>
    <w:rsid w:val="003D00C7"/>
    <w:rsid w:val="003D0AD5"/>
    <w:rsid w:val="003D0E8E"/>
    <w:rsid w:val="003D157E"/>
    <w:rsid w:val="003D2089"/>
    <w:rsid w:val="003D256E"/>
    <w:rsid w:val="003D35DA"/>
    <w:rsid w:val="003D3613"/>
    <w:rsid w:val="003D3EE8"/>
    <w:rsid w:val="003D4BF0"/>
    <w:rsid w:val="003D6C0D"/>
    <w:rsid w:val="003D7D09"/>
    <w:rsid w:val="003D7F97"/>
    <w:rsid w:val="003E1257"/>
    <w:rsid w:val="003E1A59"/>
    <w:rsid w:val="003E1D34"/>
    <w:rsid w:val="003E2371"/>
    <w:rsid w:val="003E261A"/>
    <w:rsid w:val="003E2CD9"/>
    <w:rsid w:val="003E31CE"/>
    <w:rsid w:val="003E3A2B"/>
    <w:rsid w:val="003E4235"/>
    <w:rsid w:val="003E46EF"/>
    <w:rsid w:val="003E51C3"/>
    <w:rsid w:val="003E5E33"/>
    <w:rsid w:val="003E61FC"/>
    <w:rsid w:val="003F00D2"/>
    <w:rsid w:val="003F0397"/>
    <w:rsid w:val="003F0869"/>
    <w:rsid w:val="003F177F"/>
    <w:rsid w:val="003F22B0"/>
    <w:rsid w:val="003F24C5"/>
    <w:rsid w:val="003F2713"/>
    <w:rsid w:val="003F2827"/>
    <w:rsid w:val="003F2FCF"/>
    <w:rsid w:val="003F30F5"/>
    <w:rsid w:val="003F329A"/>
    <w:rsid w:val="003F353C"/>
    <w:rsid w:val="003F3815"/>
    <w:rsid w:val="003F3CDE"/>
    <w:rsid w:val="003F5AFF"/>
    <w:rsid w:val="003F67FF"/>
    <w:rsid w:val="003F6B11"/>
    <w:rsid w:val="003F710B"/>
    <w:rsid w:val="003F7648"/>
    <w:rsid w:val="00400878"/>
    <w:rsid w:val="00401497"/>
    <w:rsid w:val="00402217"/>
    <w:rsid w:val="00402A62"/>
    <w:rsid w:val="00403BB6"/>
    <w:rsid w:val="004052DE"/>
    <w:rsid w:val="0040535C"/>
    <w:rsid w:val="00405CE5"/>
    <w:rsid w:val="00405DEB"/>
    <w:rsid w:val="00406085"/>
    <w:rsid w:val="00406E3A"/>
    <w:rsid w:val="00410E74"/>
    <w:rsid w:val="00411589"/>
    <w:rsid w:val="00411D37"/>
    <w:rsid w:val="00411DDD"/>
    <w:rsid w:val="00413292"/>
    <w:rsid w:val="00413E45"/>
    <w:rsid w:val="0041436E"/>
    <w:rsid w:val="00414BC0"/>
    <w:rsid w:val="0041582C"/>
    <w:rsid w:val="0041650A"/>
    <w:rsid w:val="00416D1D"/>
    <w:rsid w:val="00417A28"/>
    <w:rsid w:val="00421E2B"/>
    <w:rsid w:val="00422025"/>
    <w:rsid w:val="0042204D"/>
    <w:rsid w:val="0042350B"/>
    <w:rsid w:val="004239C3"/>
    <w:rsid w:val="00424578"/>
    <w:rsid w:val="00424DE1"/>
    <w:rsid w:val="0042608D"/>
    <w:rsid w:val="00427916"/>
    <w:rsid w:val="00427EE6"/>
    <w:rsid w:val="00431F22"/>
    <w:rsid w:val="00433217"/>
    <w:rsid w:val="004353C1"/>
    <w:rsid w:val="00436D72"/>
    <w:rsid w:val="00437936"/>
    <w:rsid w:val="004406DF"/>
    <w:rsid w:val="0044075D"/>
    <w:rsid w:val="004428C6"/>
    <w:rsid w:val="004429D3"/>
    <w:rsid w:val="004429FC"/>
    <w:rsid w:val="00442CAA"/>
    <w:rsid w:val="00444C58"/>
    <w:rsid w:val="00445125"/>
    <w:rsid w:val="00446B13"/>
    <w:rsid w:val="00450F69"/>
    <w:rsid w:val="00451163"/>
    <w:rsid w:val="004537F3"/>
    <w:rsid w:val="00453CB9"/>
    <w:rsid w:val="00453D17"/>
    <w:rsid w:val="00453D84"/>
    <w:rsid w:val="00454BB3"/>
    <w:rsid w:val="00455B41"/>
    <w:rsid w:val="00455B7B"/>
    <w:rsid w:val="00456939"/>
    <w:rsid w:val="00457530"/>
    <w:rsid w:val="00457668"/>
    <w:rsid w:val="004576AC"/>
    <w:rsid w:val="00460E75"/>
    <w:rsid w:val="00461586"/>
    <w:rsid w:val="00463148"/>
    <w:rsid w:val="00463153"/>
    <w:rsid w:val="00463D68"/>
    <w:rsid w:val="004640C5"/>
    <w:rsid w:val="00466189"/>
    <w:rsid w:val="00466F2F"/>
    <w:rsid w:val="00467D06"/>
    <w:rsid w:val="00472422"/>
    <w:rsid w:val="004729FE"/>
    <w:rsid w:val="00473711"/>
    <w:rsid w:val="00474027"/>
    <w:rsid w:val="00474445"/>
    <w:rsid w:val="00474F0B"/>
    <w:rsid w:val="004752DD"/>
    <w:rsid w:val="00475B27"/>
    <w:rsid w:val="00476A7E"/>
    <w:rsid w:val="00476D75"/>
    <w:rsid w:val="00476F5B"/>
    <w:rsid w:val="00477649"/>
    <w:rsid w:val="00480090"/>
    <w:rsid w:val="004804B1"/>
    <w:rsid w:val="004811C8"/>
    <w:rsid w:val="00481207"/>
    <w:rsid w:val="0048136F"/>
    <w:rsid w:val="00481B2F"/>
    <w:rsid w:val="00482721"/>
    <w:rsid w:val="00482BB8"/>
    <w:rsid w:val="00484529"/>
    <w:rsid w:val="00484C57"/>
    <w:rsid w:val="00485AFD"/>
    <w:rsid w:val="00491D05"/>
    <w:rsid w:val="0049319B"/>
    <w:rsid w:val="0049478D"/>
    <w:rsid w:val="00495008"/>
    <w:rsid w:val="0049507C"/>
    <w:rsid w:val="004971C9"/>
    <w:rsid w:val="004974D0"/>
    <w:rsid w:val="004A111B"/>
    <w:rsid w:val="004A1477"/>
    <w:rsid w:val="004A2F7B"/>
    <w:rsid w:val="004A3B63"/>
    <w:rsid w:val="004A4DDE"/>
    <w:rsid w:val="004A4EFE"/>
    <w:rsid w:val="004A5FC1"/>
    <w:rsid w:val="004A6049"/>
    <w:rsid w:val="004A7ED5"/>
    <w:rsid w:val="004B1A8F"/>
    <w:rsid w:val="004B45EC"/>
    <w:rsid w:val="004B5146"/>
    <w:rsid w:val="004B57D8"/>
    <w:rsid w:val="004B6008"/>
    <w:rsid w:val="004B7133"/>
    <w:rsid w:val="004B7991"/>
    <w:rsid w:val="004B7FA1"/>
    <w:rsid w:val="004C0079"/>
    <w:rsid w:val="004C0375"/>
    <w:rsid w:val="004C0463"/>
    <w:rsid w:val="004C1211"/>
    <w:rsid w:val="004C18D6"/>
    <w:rsid w:val="004C21DE"/>
    <w:rsid w:val="004C227D"/>
    <w:rsid w:val="004C3DE3"/>
    <w:rsid w:val="004C46AF"/>
    <w:rsid w:val="004C4A5C"/>
    <w:rsid w:val="004C4C19"/>
    <w:rsid w:val="004C4DE6"/>
    <w:rsid w:val="004C58B8"/>
    <w:rsid w:val="004C5A67"/>
    <w:rsid w:val="004C5DD9"/>
    <w:rsid w:val="004C7888"/>
    <w:rsid w:val="004C7967"/>
    <w:rsid w:val="004C7F19"/>
    <w:rsid w:val="004D0140"/>
    <w:rsid w:val="004D0191"/>
    <w:rsid w:val="004D11F1"/>
    <w:rsid w:val="004D347D"/>
    <w:rsid w:val="004D3BF9"/>
    <w:rsid w:val="004D4A9D"/>
    <w:rsid w:val="004D509D"/>
    <w:rsid w:val="004D61AC"/>
    <w:rsid w:val="004D6376"/>
    <w:rsid w:val="004D78C7"/>
    <w:rsid w:val="004E1BA7"/>
    <w:rsid w:val="004E25C8"/>
    <w:rsid w:val="004E2B64"/>
    <w:rsid w:val="004E302D"/>
    <w:rsid w:val="004E3C56"/>
    <w:rsid w:val="004E41D6"/>
    <w:rsid w:val="004E4AB2"/>
    <w:rsid w:val="004E54C8"/>
    <w:rsid w:val="004E72BD"/>
    <w:rsid w:val="004F1E54"/>
    <w:rsid w:val="004F2393"/>
    <w:rsid w:val="004F3B6F"/>
    <w:rsid w:val="004F3E94"/>
    <w:rsid w:val="004F62AF"/>
    <w:rsid w:val="004F6E8B"/>
    <w:rsid w:val="004F6F2D"/>
    <w:rsid w:val="004F75C3"/>
    <w:rsid w:val="004F7E67"/>
    <w:rsid w:val="0050023A"/>
    <w:rsid w:val="0050097C"/>
    <w:rsid w:val="00502176"/>
    <w:rsid w:val="00502391"/>
    <w:rsid w:val="005034A0"/>
    <w:rsid w:val="00503D38"/>
    <w:rsid w:val="00504503"/>
    <w:rsid w:val="005050FF"/>
    <w:rsid w:val="00507218"/>
    <w:rsid w:val="0051006C"/>
    <w:rsid w:val="00510C53"/>
    <w:rsid w:val="00511B6B"/>
    <w:rsid w:val="00512741"/>
    <w:rsid w:val="005138CE"/>
    <w:rsid w:val="0051403E"/>
    <w:rsid w:val="005147BF"/>
    <w:rsid w:val="00514B22"/>
    <w:rsid w:val="00515618"/>
    <w:rsid w:val="00515724"/>
    <w:rsid w:val="005167F9"/>
    <w:rsid w:val="00516E9C"/>
    <w:rsid w:val="005172CD"/>
    <w:rsid w:val="0051775A"/>
    <w:rsid w:val="005201CF"/>
    <w:rsid w:val="00520600"/>
    <w:rsid w:val="005209A4"/>
    <w:rsid w:val="005213BD"/>
    <w:rsid w:val="00522D82"/>
    <w:rsid w:val="00522F8F"/>
    <w:rsid w:val="00523712"/>
    <w:rsid w:val="005241C8"/>
    <w:rsid w:val="00524E04"/>
    <w:rsid w:val="005255D1"/>
    <w:rsid w:val="00526A0E"/>
    <w:rsid w:val="005277D0"/>
    <w:rsid w:val="0053248E"/>
    <w:rsid w:val="00532606"/>
    <w:rsid w:val="00533BB0"/>
    <w:rsid w:val="005343C2"/>
    <w:rsid w:val="00534E60"/>
    <w:rsid w:val="00535191"/>
    <w:rsid w:val="005371A1"/>
    <w:rsid w:val="0053770A"/>
    <w:rsid w:val="00540777"/>
    <w:rsid w:val="0054297E"/>
    <w:rsid w:val="005431B1"/>
    <w:rsid w:val="005449E1"/>
    <w:rsid w:val="005453F7"/>
    <w:rsid w:val="0054578E"/>
    <w:rsid w:val="00545917"/>
    <w:rsid w:val="00545A81"/>
    <w:rsid w:val="00546130"/>
    <w:rsid w:val="005464CF"/>
    <w:rsid w:val="005464DD"/>
    <w:rsid w:val="005466F6"/>
    <w:rsid w:val="00546A5E"/>
    <w:rsid w:val="00547E0C"/>
    <w:rsid w:val="00547F3E"/>
    <w:rsid w:val="00550039"/>
    <w:rsid w:val="00552D05"/>
    <w:rsid w:val="00552E13"/>
    <w:rsid w:val="00553081"/>
    <w:rsid w:val="00553C22"/>
    <w:rsid w:val="0055431A"/>
    <w:rsid w:val="00554715"/>
    <w:rsid w:val="00554D99"/>
    <w:rsid w:val="005550EF"/>
    <w:rsid w:val="00555582"/>
    <w:rsid w:val="005557D4"/>
    <w:rsid w:val="005578BF"/>
    <w:rsid w:val="00560AC0"/>
    <w:rsid w:val="0056297F"/>
    <w:rsid w:val="0056325C"/>
    <w:rsid w:val="005709D7"/>
    <w:rsid w:val="005716D5"/>
    <w:rsid w:val="00571B3A"/>
    <w:rsid w:val="0057329F"/>
    <w:rsid w:val="00573B30"/>
    <w:rsid w:val="00575112"/>
    <w:rsid w:val="00575472"/>
    <w:rsid w:val="00576EA4"/>
    <w:rsid w:val="00576EBA"/>
    <w:rsid w:val="00576F28"/>
    <w:rsid w:val="00577799"/>
    <w:rsid w:val="005777D0"/>
    <w:rsid w:val="0057792C"/>
    <w:rsid w:val="00580229"/>
    <w:rsid w:val="00581158"/>
    <w:rsid w:val="005814FF"/>
    <w:rsid w:val="00582862"/>
    <w:rsid w:val="005836E2"/>
    <w:rsid w:val="00584180"/>
    <w:rsid w:val="005848EE"/>
    <w:rsid w:val="00584C64"/>
    <w:rsid w:val="00584CBA"/>
    <w:rsid w:val="005859E8"/>
    <w:rsid w:val="00585ACC"/>
    <w:rsid w:val="00586505"/>
    <w:rsid w:val="0058655C"/>
    <w:rsid w:val="005876B0"/>
    <w:rsid w:val="00587C23"/>
    <w:rsid w:val="00591E7A"/>
    <w:rsid w:val="00592701"/>
    <w:rsid w:val="00592F21"/>
    <w:rsid w:val="00595212"/>
    <w:rsid w:val="00595DED"/>
    <w:rsid w:val="00597DD2"/>
    <w:rsid w:val="005A0136"/>
    <w:rsid w:val="005A0A61"/>
    <w:rsid w:val="005A1658"/>
    <w:rsid w:val="005A197F"/>
    <w:rsid w:val="005A2FE7"/>
    <w:rsid w:val="005A4A80"/>
    <w:rsid w:val="005A5224"/>
    <w:rsid w:val="005A64CA"/>
    <w:rsid w:val="005A65C2"/>
    <w:rsid w:val="005A6626"/>
    <w:rsid w:val="005A6C71"/>
    <w:rsid w:val="005A7665"/>
    <w:rsid w:val="005B10BC"/>
    <w:rsid w:val="005B12A7"/>
    <w:rsid w:val="005B12C7"/>
    <w:rsid w:val="005B263D"/>
    <w:rsid w:val="005B3C3C"/>
    <w:rsid w:val="005B4DDD"/>
    <w:rsid w:val="005B7E59"/>
    <w:rsid w:val="005C0047"/>
    <w:rsid w:val="005C057E"/>
    <w:rsid w:val="005C087B"/>
    <w:rsid w:val="005C1B91"/>
    <w:rsid w:val="005C1F7C"/>
    <w:rsid w:val="005C515D"/>
    <w:rsid w:val="005C5674"/>
    <w:rsid w:val="005C6C00"/>
    <w:rsid w:val="005D0DF8"/>
    <w:rsid w:val="005D0E56"/>
    <w:rsid w:val="005D2BD0"/>
    <w:rsid w:val="005D4064"/>
    <w:rsid w:val="005D4876"/>
    <w:rsid w:val="005D4A74"/>
    <w:rsid w:val="005D5D9F"/>
    <w:rsid w:val="005D5EE6"/>
    <w:rsid w:val="005D6E9E"/>
    <w:rsid w:val="005D6F67"/>
    <w:rsid w:val="005D70B1"/>
    <w:rsid w:val="005E05B5"/>
    <w:rsid w:val="005E0A61"/>
    <w:rsid w:val="005E13DC"/>
    <w:rsid w:val="005E1F3E"/>
    <w:rsid w:val="005E2FEA"/>
    <w:rsid w:val="005E33C8"/>
    <w:rsid w:val="005E34D2"/>
    <w:rsid w:val="005E56AA"/>
    <w:rsid w:val="005E5E96"/>
    <w:rsid w:val="005E644F"/>
    <w:rsid w:val="005E6BD7"/>
    <w:rsid w:val="005E6DCF"/>
    <w:rsid w:val="005E77FC"/>
    <w:rsid w:val="005E7FB0"/>
    <w:rsid w:val="005F1DF6"/>
    <w:rsid w:val="005F1E45"/>
    <w:rsid w:val="005F203B"/>
    <w:rsid w:val="005F284F"/>
    <w:rsid w:val="005F2DDE"/>
    <w:rsid w:val="005F37F9"/>
    <w:rsid w:val="005F42FA"/>
    <w:rsid w:val="00601AAC"/>
    <w:rsid w:val="006051F1"/>
    <w:rsid w:val="0060554F"/>
    <w:rsid w:val="00606851"/>
    <w:rsid w:val="0060685D"/>
    <w:rsid w:val="00606EE5"/>
    <w:rsid w:val="006070D6"/>
    <w:rsid w:val="006075D6"/>
    <w:rsid w:val="00607B21"/>
    <w:rsid w:val="00613DAD"/>
    <w:rsid w:val="00616611"/>
    <w:rsid w:val="00622F96"/>
    <w:rsid w:val="00623E81"/>
    <w:rsid w:val="00624DCA"/>
    <w:rsid w:val="00625EDC"/>
    <w:rsid w:val="0063013C"/>
    <w:rsid w:val="00630619"/>
    <w:rsid w:val="00630E51"/>
    <w:rsid w:val="00630EB1"/>
    <w:rsid w:val="00631A11"/>
    <w:rsid w:val="00631E41"/>
    <w:rsid w:val="00632A92"/>
    <w:rsid w:val="0063379A"/>
    <w:rsid w:val="00634EF4"/>
    <w:rsid w:val="00634F07"/>
    <w:rsid w:val="00636152"/>
    <w:rsid w:val="0063695E"/>
    <w:rsid w:val="0063753E"/>
    <w:rsid w:val="00637A07"/>
    <w:rsid w:val="00637C40"/>
    <w:rsid w:val="00637F49"/>
    <w:rsid w:val="006404DC"/>
    <w:rsid w:val="006424EB"/>
    <w:rsid w:val="00643239"/>
    <w:rsid w:val="00643638"/>
    <w:rsid w:val="006446B5"/>
    <w:rsid w:val="0064527A"/>
    <w:rsid w:val="006461BF"/>
    <w:rsid w:val="00647FBE"/>
    <w:rsid w:val="00650AB5"/>
    <w:rsid w:val="00651E14"/>
    <w:rsid w:val="00652EB5"/>
    <w:rsid w:val="006553F7"/>
    <w:rsid w:val="00655728"/>
    <w:rsid w:val="00655ECE"/>
    <w:rsid w:val="006600ED"/>
    <w:rsid w:val="00660BC2"/>
    <w:rsid w:val="0066156D"/>
    <w:rsid w:val="00661646"/>
    <w:rsid w:val="00663B38"/>
    <w:rsid w:val="00664D9F"/>
    <w:rsid w:val="00665520"/>
    <w:rsid w:val="0067219B"/>
    <w:rsid w:val="00672D34"/>
    <w:rsid w:val="0067411B"/>
    <w:rsid w:val="00674625"/>
    <w:rsid w:val="00675405"/>
    <w:rsid w:val="0067551B"/>
    <w:rsid w:val="00675CF5"/>
    <w:rsid w:val="00676001"/>
    <w:rsid w:val="00676340"/>
    <w:rsid w:val="006777A4"/>
    <w:rsid w:val="00677E64"/>
    <w:rsid w:val="00680F95"/>
    <w:rsid w:val="00682354"/>
    <w:rsid w:val="006849F5"/>
    <w:rsid w:val="00685FA9"/>
    <w:rsid w:val="006862D4"/>
    <w:rsid w:val="00686658"/>
    <w:rsid w:val="006877BE"/>
    <w:rsid w:val="00687980"/>
    <w:rsid w:val="00690FD4"/>
    <w:rsid w:val="00691B31"/>
    <w:rsid w:val="0069234E"/>
    <w:rsid w:val="0069266B"/>
    <w:rsid w:val="00692867"/>
    <w:rsid w:val="00693193"/>
    <w:rsid w:val="00693368"/>
    <w:rsid w:val="00693C1D"/>
    <w:rsid w:val="00693F11"/>
    <w:rsid w:val="00694A0B"/>
    <w:rsid w:val="00694BA3"/>
    <w:rsid w:val="0069529C"/>
    <w:rsid w:val="00695339"/>
    <w:rsid w:val="0069600C"/>
    <w:rsid w:val="00697103"/>
    <w:rsid w:val="006A113F"/>
    <w:rsid w:val="006A18A3"/>
    <w:rsid w:val="006A193E"/>
    <w:rsid w:val="006A1B4F"/>
    <w:rsid w:val="006A2244"/>
    <w:rsid w:val="006A3716"/>
    <w:rsid w:val="006A3C57"/>
    <w:rsid w:val="006A3E77"/>
    <w:rsid w:val="006A3F51"/>
    <w:rsid w:val="006A5A43"/>
    <w:rsid w:val="006A5EF7"/>
    <w:rsid w:val="006A7E34"/>
    <w:rsid w:val="006B0019"/>
    <w:rsid w:val="006B1A2B"/>
    <w:rsid w:val="006B2597"/>
    <w:rsid w:val="006B28C6"/>
    <w:rsid w:val="006B298F"/>
    <w:rsid w:val="006B341D"/>
    <w:rsid w:val="006B4141"/>
    <w:rsid w:val="006B4A50"/>
    <w:rsid w:val="006B5A75"/>
    <w:rsid w:val="006B5C40"/>
    <w:rsid w:val="006B6C98"/>
    <w:rsid w:val="006C436C"/>
    <w:rsid w:val="006C478D"/>
    <w:rsid w:val="006C60C1"/>
    <w:rsid w:val="006C6F17"/>
    <w:rsid w:val="006C7543"/>
    <w:rsid w:val="006C7F21"/>
    <w:rsid w:val="006D03CA"/>
    <w:rsid w:val="006D0A23"/>
    <w:rsid w:val="006D0AE1"/>
    <w:rsid w:val="006D26B7"/>
    <w:rsid w:val="006D27D9"/>
    <w:rsid w:val="006D2E7F"/>
    <w:rsid w:val="006D3CE6"/>
    <w:rsid w:val="006D3D1F"/>
    <w:rsid w:val="006D46AA"/>
    <w:rsid w:val="006D55EF"/>
    <w:rsid w:val="006D5AA9"/>
    <w:rsid w:val="006D634F"/>
    <w:rsid w:val="006D63AB"/>
    <w:rsid w:val="006D6C7C"/>
    <w:rsid w:val="006D736C"/>
    <w:rsid w:val="006D7FC9"/>
    <w:rsid w:val="006E1262"/>
    <w:rsid w:val="006E613B"/>
    <w:rsid w:val="006E66D9"/>
    <w:rsid w:val="006E6DF5"/>
    <w:rsid w:val="006E7269"/>
    <w:rsid w:val="006E739C"/>
    <w:rsid w:val="006E7BDE"/>
    <w:rsid w:val="006F0848"/>
    <w:rsid w:val="006F1F97"/>
    <w:rsid w:val="006F359D"/>
    <w:rsid w:val="006F4171"/>
    <w:rsid w:val="006F4350"/>
    <w:rsid w:val="006F460A"/>
    <w:rsid w:val="006F472F"/>
    <w:rsid w:val="006F51D4"/>
    <w:rsid w:val="006F540A"/>
    <w:rsid w:val="006F6393"/>
    <w:rsid w:val="00700632"/>
    <w:rsid w:val="00700E49"/>
    <w:rsid w:val="0070152D"/>
    <w:rsid w:val="00701895"/>
    <w:rsid w:val="00701D64"/>
    <w:rsid w:val="0070241A"/>
    <w:rsid w:val="0070272A"/>
    <w:rsid w:val="007027C9"/>
    <w:rsid w:val="00704D0E"/>
    <w:rsid w:val="00707D52"/>
    <w:rsid w:val="00707E95"/>
    <w:rsid w:val="00710F34"/>
    <w:rsid w:val="0071126F"/>
    <w:rsid w:val="00711402"/>
    <w:rsid w:val="00711FDF"/>
    <w:rsid w:val="00712426"/>
    <w:rsid w:val="007127F3"/>
    <w:rsid w:val="00712B49"/>
    <w:rsid w:val="0071309E"/>
    <w:rsid w:val="007132D6"/>
    <w:rsid w:val="0071596D"/>
    <w:rsid w:val="00715D7E"/>
    <w:rsid w:val="00716BF7"/>
    <w:rsid w:val="00720A2C"/>
    <w:rsid w:val="00720A30"/>
    <w:rsid w:val="00720C1F"/>
    <w:rsid w:val="00720D25"/>
    <w:rsid w:val="007211F9"/>
    <w:rsid w:val="0072160E"/>
    <w:rsid w:val="007217EA"/>
    <w:rsid w:val="00722825"/>
    <w:rsid w:val="0072329E"/>
    <w:rsid w:val="007251B8"/>
    <w:rsid w:val="0072624D"/>
    <w:rsid w:val="007275B9"/>
    <w:rsid w:val="0073050B"/>
    <w:rsid w:val="007307C0"/>
    <w:rsid w:val="0073173D"/>
    <w:rsid w:val="00731AF6"/>
    <w:rsid w:val="00731F7E"/>
    <w:rsid w:val="007323F5"/>
    <w:rsid w:val="007333AE"/>
    <w:rsid w:val="0073453F"/>
    <w:rsid w:val="007345DF"/>
    <w:rsid w:val="00735048"/>
    <w:rsid w:val="0073506F"/>
    <w:rsid w:val="00736B22"/>
    <w:rsid w:val="00741C23"/>
    <w:rsid w:val="00741D46"/>
    <w:rsid w:val="0074357D"/>
    <w:rsid w:val="00743590"/>
    <w:rsid w:val="0074439F"/>
    <w:rsid w:val="00746D0C"/>
    <w:rsid w:val="007471E0"/>
    <w:rsid w:val="007479D2"/>
    <w:rsid w:val="00750C6E"/>
    <w:rsid w:val="00750D12"/>
    <w:rsid w:val="007528CC"/>
    <w:rsid w:val="00752F65"/>
    <w:rsid w:val="00753BFD"/>
    <w:rsid w:val="00753DBD"/>
    <w:rsid w:val="00753F3B"/>
    <w:rsid w:val="0075505B"/>
    <w:rsid w:val="00755851"/>
    <w:rsid w:val="00756225"/>
    <w:rsid w:val="00756804"/>
    <w:rsid w:val="00760282"/>
    <w:rsid w:val="00760455"/>
    <w:rsid w:val="007604D4"/>
    <w:rsid w:val="00761035"/>
    <w:rsid w:val="007614F2"/>
    <w:rsid w:val="007637A0"/>
    <w:rsid w:val="00765356"/>
    <w:rsid w:val="00765DDB"/>
    <w:rsid w:val="00766B5A"/>
    <w:rsid w:val="00766B9F"/>
    <w:rsid w:val="0076713C"/>
    <w:rsid w:val="00770489"/>
    <w:rsid w:val="00770578"/>
    <w:rsid w:val="00771B12"/>
    <w:rsid w:val="00771C5F"/>
    <w:rsid w:val="00775CB3"/>
    <w:rsid w:val="007772C0"/>
    <w:rsid w:val="007772DF"/>
    <w:rsid w:val="00782030"/>
    <w:rsid w:val="007823B3"/>
    <w:rsid w:val="00782750"/>
    <w:rsid w:val="0078287F"/>
    <w:rsid w:val="0078388C"/>
    <w:rsid w:val="007846E9"/>
    <w:rsid w:val="00784E73"/>
    <w:rsid w:val="00785217"/>
    <w:rsid w:val="007864F0"/>
    <w:rsid w:val="00787142"/>
    <w:rsid w:val="00790BB7"/>
    <w:rsid w:val="007928E9"/>
    <w:rsid w:val="00792DAF"/>
    <w:rsid w:val="00792ECF"/>
    <w:rsid w:val="00793BD1"/>
    <w:rsid w:val="0079436D"/>
    <w:rsid w:val="00795A93"/>
    <w:rsid w:val="00797415"/>
    <w:rsid w:val="0079793A"/>
    <w:rsid w:val="007A0B4B"/>
    <w:rsid w:val="007A0D65"/>
    <w:rsid w:val="007A2608"/>
    <w:rsid w:val="007A291F"/>
    <w:rsid w:val="007A386A"/>
    <w:rsid w:val="007A3E5C"/>
    <w:rsid w:val="007A46F3"/>
    <w:rsid w:val="007A4E50"/>
    <w:rsid w:val="007A581A"/>
    <w:rsid w:val="007A660D"/>
    <w:rsid w:val="007A744B"/>
    <w:rsid w:val="007B26F7"/>
    <w:rsid w:val="007B28A3"/>
    <w:rsid w:val="007B2A22"/>
    <w:rsid w:val="007B3024"/>
    <w:rsid w:val="007B3460"/>
    <w:rsid w:val="007B4156"/>
    <w:rsid w:val="007B4B3E"/>
    <w:rsid w:val="007B5967"/>
    <w:rsid w:val="007B5C94"/>
    <w:rsid w:val="007B65C2"/>
    <w:rsid w:val="007B75F9"/>
    <w:rsid w:val="007B7F3A"/>
    <w:rsid w:val="007C00D8"/>
    <w:rsid w:val="007C0E92"/>
    <w:rsid w:val="007C1697"/>
    <w:rsid w:val="007C181D"/>
    <w:rsid w:val="007C2E6F"/>
    <w:rsid w:val="007C30F7"/>
    <w:rsid w:val="007C38A5"/>
    <w:rsid w:val="007C40BD"/>
    <w:rsid w:val="007C46FC"/>
    <w:rsid w:val="007C5F76"/>
    <w:rsid w:val="007C6717"/>
    <w:rsid w:val="007C7D70"/>
    <w:rsid w:val="007D21FA"/>
    <w:rsid w:val="007D2B25"/>
    <w:rsid w:val="007D3B78"/>
    <w:rsid w:val="007D5793"/>
    <w:rsid w:val="007D582A"/>
    <w:rsid w:val="007D5E08"/>
    <w:rsid w:val="007D6CDD"/>
    <w:rsid w:val="007D6D2E"/>
    <w:rsid w:val="007D7072"/>
    <w:rsid w:val="007E091D"/>
    <w:rsid w:val="007E1140"/>
    <w:rsid w:val="007E5B56"/>
    <w:rsid w:val="007E5E69"/>
    <w:rsid w:val="007E5FC2"/>
    <w:rsid w:val="007E69A0"/>
    <w:rsid w:val="007E6D59"/>
    <w:rsid w:val="007E6FAA"/>
    <w:rsid w:val="007F0AB5"/>
    <w:rsid w:val="007F22AE"/>
    <w:rsid w:val="007F2FD5"/>
    <w:rsid w:val="007F3A4D"/>
    <w:rsid w:val="007F3B1E"/>
    <w:rsid w:val="007F3B8D"/>
    <w:rsid w:val="007F4D9B"/>
    <w:rsid w:val="007F5803"/>
    <w:rsid w:val="007F5A81"/>
    <w:rsid w:val="007F65F6"/>
    <w:rsid w:val="007F6E25"/>
    <w:rsid w:val="0080254A"/>
    <w:rsid w:val="00802740"/>
    <w:rsid w:val="00802C36"/>
    <w:rsid w:val="008031FA"/>
    <w:rsid w:val="008031FF"/>
    <w:rsid w:val="00803821"/>
    <w:rsid w:val="008039E1"/>
    <w:rsid w:val="008039EE"/>
    <w:rsid w:val="00803FD1"/>
    <w:rsid w:val="00804709"/>
    <w:rsid w:val="00804917"/>
    <w:rsid w:val="00805B8F"/>
    <w:rsid w:val="00810588"/>
    <w:rsid w:val="00811EAE"/>
    <w:rsid w:val="008124C8"/>
    <w:rsid w:val="00812E89"/>
    <w:rsid w:val="00813B9C"/>
    <w:rsid w:val="008144E4"/>
    <w:rsid w:val="008147E9"/>
    <w:rsid w:val="00816D91"/>
    <w:rsid w:val="00816E35"/>
    <w:rsid w:val="00817438"/>
    <w:rsid w:val="008174BC"/>
    <w:rsid w:val="00817809"/>
    <w:rsid w:val="00820691"/>
    <w:rsid w:val="00821683"/>
    <w:rsid w:val="00821907"/>
    <w:rsid w:val="008228E0"/>
    <w:rsid w:val="00823CF1"/>
    <w:rsid w:val="00823E8D"/>
    <w:rsid w:val="008244D2"/>
    <w:rsid w:val="008270C4"/>
    <w:rsid w:val="00827522"/>
    <w:rsid w:val="00827A00"/>
    <w:rsid w:val="00830586"/>
    <w:rsid w:val="0083209B"/>
    <w:rsid w:val="008321E8"/>
    <w:rsid w:val="00832AD2"/>
    <w:rsid w:val="00832CD3"/>
    <w:rsid w:val="00835613"/>
    <w:rsid w:val="00836279"/>
    <w:rsid w:val="00836658"/>
    <w:rsid w:val="00836FE8"/>
    <w:rsid w:val="00837D9C"/>
    <w:rsid w:val="0084053D"/>
    <w:rsid w:val="00845884"/>
    <w:rsid w:val="008476A4"/>
    <w:rsid w:val="00847D37"/>
    <w:rsid w:val="008514A8"/>
    <w:rsid w:val="00851704"/>
    <w:rsid w:val="008519A8"/>
    <w:rsid w:val="00851B3D"/>
    <w:rsid w:val="00852BB3"/>
    <w:rsid w:val="00852E5E"/>
    <w:rsid w:val="0085309F"/>
    <w:rsid w:val="00853513"/>
    <w:rsid w:val="008537BC"/>
    <w:rsid w:val="00853C11"/>
    <w:rsid w:val="00853E70"/>
    <w:rsid w:val="008545C9"/>
    <w:rsid w:val="008556CA"/>
    <w:rsid w:val="00856D97"/>
    <w:rsid w:val="00857152"/>
    <w:rsid w:val="00857F71"/>
    <w:rsid w:val="00861BA5"/>
    <w:rsid w:val="00861C05"/>
    <w:rsid w:val="00861C32"/>
    <w:rsid w:val="00862E2D"/>
    <w:rsid w:val="0086337A"/>
    <w:rsid w:val="00863859"/>
    <w:rsid w:val="008639F9"/>
    <w:rsid w:val="00863DD5"/>
    <w:rsid w:val="00865136"/>
    <w:rsid w:val="00865F5A"/>
    <w:rsid w:val="00866836"/>
    <w:rsid w:val="00866C74"/>
    <w:rsid w:val="008702B1"/>
    <w:rsid w:val="008706CF"/>
    <w:rsid w:val="00870A4C"/>
    <w:rsid w:val="00871458"/>
    <w:rsid w:val="008714F4"/>
    <w:rsid w:val="00871E00"/>
    <w:rsid w:val="00872BFC"/>
    <w:rsid w:val="00873BCC"/>
    <w:rsid w:val="00874C52"/>
    <w:rsid w:val="00881339"/>
    <w:rsid w:val="00881550"/>
    <w:rsid w:val="00882D6B"/>
    <w:rsid w:val="0088364C"/>
    <w:rsid w:val="0088397C"/>
    <w:rsid w:val="008841EC"/>
    <w:rsid w:val="00884271"/>
    <w:rsid w:val="00884925"/>
    <w:rsid w:val="008849DE"/>
    <w:rsid w:val="00884ED3"/>
    <w:rsid w:val="008858D5"/>
    <w:rsid w:val="00886495"/>
    <w:rsid w:val="00887F56"/>
    <w:rsid w:val="00891590"/>
    <w:rsid w:val="00892C37"/>
    <w:rsid w:val="00893701"/>
    <w:rsid w:val="0089374F"/>
    <w:rsid w:val="008964DC"/>
    <w:rsid w:val="0089796F"/>
    <w:rsid w:val="00897C6B"/>
    <w:rsid w:val="00897D11"/>
    <w:rsid w:val="008A0DC7"/>
    <w:rsid w:val="008A18EF"/>
    <w:rsid w:val="008A2EB0"/>
    <w:rsid w:val="008A3D64"/>
    <w:rsid w:val="008A620D"/>
    <w:rsid w:val="008A6BDD"/>
    <w:rsid w:val="008B0056"/>
    <w:rsid w:val="008B0383"/>
    <w:rsid w:val="008B1963"/>
    <w:rsid w:val="008B1AD7"/>
    <w:rsid w:val="008B1EB7"/>
    <w:rsid w:val="008B4730"/>
    <w:rsid w:val="008B47E8"/>
    <w:rsid w:val="008B49B9"/>
    <w:rsid w:val="008B4FB6"/>
    <w:rsid w:val="008B5D61"/>
    <w:rsid w:val="008B6FA2"/>
    <w:rsid w:val="008B7131"/>
    <w:rsid w:val="008B788C"/>
    <w:rsid w:val="008C0651"/>
    <w:rsid w:val="008C1BCB"/>
    <w:rsid w:val="008C3817"/>
    <w:rsid w:val="008C4408"/>
    <w:rsid w:val="008C46E3"/>
    <w:rsid w:val="008C59C7"/>
    <w:rsid w:val="008C652B"/>
    <w:rsid w:val="008C7885"/>
    <w:rsid w:val="008C7993"/>
    <w:rsid w:val="008D24D5"/>
    <w:rsid w:val="008D2E13"/>
    <w:rsid w:val="008D5C91"/>
    <w:rsid w:val="008D689A"/>
    <w:rsid w:val="008D777A"/>
    <w:rsid w:val="008E169C"/>
    <w:rsid w:val="008E1B2D"/>
    <w:rsid w:val="008E1C3A"/>
    <w:rsid w:val="008E3CEF"/>
    <w:rsid w:val="008E3D4F"/>
    <w:rsid w:val="008E4ADE"/>
    <w:rsid w:val="008E71B8"/>
    <w:rsid w:val="008E71DF"/>
    <w:rsid w:val="008E7454"/>
    <w:rsid w:val="008E787A"/>
    <w:rsid w:val="008F094C"/>
    <w:rsid w:val="008F2649"/>
    <w:rsid w:val="008F3FDE"/>
    <w:rsid w:val="008F5616"/>
    <w:rsid w:val="008F56C8"/>
    <w:rsid w:val="008F6081"/>
    <w:rsid w:val="008F6348"/>
    <w:rsid w:val="008F7255"/>
    <w:rsid w:val="008F74DF"/>
    <w:rsid w:val="008F77CC"/>
    <w:rsid w:val="008F7FA3"/>
    <w:rsid w:val="009006F9"/>
    <w:rsid w:val="00901EF0"/>
    <w:rsid w:val="00902720"/>
    <w:rsid w:val="00904197"/>
    <w:rsid w:val="009078F5"/>
    <w:rsid w:val="00907AA2"/>
    <w:rsid w:val="00907DFA"/>
    <w:rsid w:val="009112A9"/>
    <w:rsid w:val="00912A4E"/>
    <w:rsid w:val="00912B35"/>
    <w:rsid w:val="00912E65"/>
    <w:rsid w:val="00913011"/>
    <w:rsid w:val="0091357E"/>
    <w:rsid w:val="009135DD"/>
    <w:rsid w:val="009136B8"/>
    <w:rsid w:val="00914A77"/>
    <w:rsid w:val="009154FB"/>
    <w:rsid w:val="00916746"/>
    <w:rsid w:val="00917020"/>
    <w:rsid w:val="00917040"/>
    <w:rsid w:val="009176E7"/>
    <w:rsid w:val="0092167D"/>
    <w:rsid w:val="009224B9"/>
    <w:rsid w:val="009234ED"/>
    <w:rsid w:val="00923723"/>
    <w:rsid w:val="00924078"/>
    <w:rsid w:val="009250A6"/>
    <w:rsid w:val="009253C5"/>
    <w:rsid w:val="00925669"/>
    <w:rsid w:val="00926764"/>
    <w:rsid w:val="00926C47"/>
    <w:rsid w:val="00926CA4"/>
    <w:rsid w:val="00926D86"/>
    <w:rsid w:val="00931DDC"/>
    <w:rsid w:val="009324BE"/>
    <w:rsid w:val="00933C31"/>
    <w:rsid w:val="0093454B"/>
    <w:rsid w:val="00934E7F"/>
    <w:rsid w:val="009350C6"/>
    <w:rsid w:val="00935187"/>
    <w:rsid w:val="0093575A"/>
    <w:rsid w:val="0093588D"/>
    <w:rsid w:val="00935CB8"/>
    <w:rsid w:val="009363ED"/>
    <w:rsid w:val="00936B0D"/>
    <w:rsid w:val="00936C09"/>
    <w:rsid w:val="00937917"/>
    <w:rsid w:val="00937FA9"/>
    <w:rsid w:val="00941523"/>
    <w:rsid w:val="00943273"/>
    <w:rsid w:val="0094395E"/>
    <w:rsid w:val="0094474A"/>
    <w:rsid w:val="00944864"/>
    <w:rsid w:val="00944865"/>
    <w:rsid w:val="00944C6D"/>
    <w:rsid w:val="00945249"/>
    <w:rsid w:val="00946D2A"/>
    <w:rsid w:val="009473A3"/>
    <w:rsid w:val="009475D7"/>
    <w:rsid w:val="00947E96"/>
    <w:rsid w:val="009509A3"/>
    <w:rsid w:val="00951562"/>
    <w:rsid w:val="00951576"/>
    <w:rsid w:val="00951973"/>
    <w:rsid w:val="009526E0"/>
    <w:rsid w:val="00952EA3"/>
    <w:rsid w:val="00953A26"/>
    <w:rsid w:val="00953F80"/>
    <w:rsid w:val="00954370"/>
    <w:rsid w:val="00954ED0"/>
    <w:rsid w:val="009554FA"/>
    <w:rsid w:val="00955802"/>
    <w:rsid w:val="00955B0B"/>
    <w:rsid w:val="00955CED"/>
    <w:rsid w:val="009567A9"/>
    <w:rsid w:val="00957728"/>
    <w:rsid w:val="00957FC9"/>
    <w:rsid w:val="0096096B"/>
    <w:rsid w:val="00960C61"/>
    <w:rsid w:val="0096121F"/>
    <w:rsid w:val="00961946"/>
    <w:rsid w:val="0096221B"/>
    <w:rsid w:val="009622C6"/>
    <w:rsid w:val="0096287C"/>
    <w:rsid w:val="00962BE0"/>
    <w:rsid w:val="009634EC"/>
    <w:rsid w:val="009642F3"/>
    <w:rsid w:val="009644BD"/>
    <w:rsid w:val="009646A6"/>
    <w:rsid w:val="00965DFA"/>
    <w:rsid w:val="00966762"/>
    <w:rsid w:val="009667B5"/>
    <w:rsid w:val="00967096"/>
    <w:rsid w:val="00967324"/>
    <w:rsid w:val="00970CDB"/>
    <w:rsid w:val="009712D2"/>
    <w:rsid w:val="00972719"/>
    <w:rsid w:val="00973203"/>
    <w:rsid w:val="009734DB"/>
    <w:rsid w:val="0097370F"/>
    <w:rsid w:val="00973BAA"/>
    <w:rsid w:val="00975213"/>
    <w:rsid w:val="00976497"/>
    <w:rsid w:val="00976AFA"/>
    <w:rsid w:val="00976EC4"/>
    <w:rsid w:val="00977F69"/>
    <w:rsid w:val="0098127F"/>
    <w:rsid w:val="00982C11"/>
    <w:rsid w:val="00983125"/>
    <w:rsid w:val="00983B80"/>
    <w:rsid w:val="00983D38"/>
    <w:rsid w:val="00983F3F"/>
    <w:rsid w:val="009842B9"/>
    <w:rsid w:val="009855F1"/>
    <w:rsid w:val="00985BC0"/>
    <w:rsid w:val="00986500"/>
    <w:rsid w:val="00990DE5"/>
    <w:rsid w:val="0099175E"/>
    <w:rsid w:val="0099371B"/>
    <w:rsid w:val="00996342"/>
    <w:rsid w:val="00996BA3"/>
    <w:rsid w:val="009A0580"/>
    <w:rsid w:val="009A230A"/>
    <w:rsid w:val="009A26C0"/>
    <w:rsid w:val="009A2F1F"/>
    <w:rsid w:val="009A39B9"/>
    <w:rsid w:val="009A40C8"/>
    <w:rsid w:val="009A4C01"/>
    <w:rsid w:val="009A5A70"/>
    <w:rsid w:val="009A6C97"/>
    <w:rsid w:val="009A7726"/>
    <w:rsid w:val="009B080E"/>
    <w:rsid w:val="009B19DC"/>
    <w:rsid w:val="009B2BC0"/>
    <w:rsid w:val="009B3610"/>
    <w:rsid w:val="009B42C8"/>
    <w:rsid w:val="009B4DE3"/>
    <w:rsid w:val="009B6CEE"/>
    <w:rsid w:val="009B7922"/>
    <w:rsid w:val="009C1B00"/>
    <w:rsid w:val="009C1D48"/>
    <w:rsid w:val="009C287A"/>
    <w:rsid w:val="009C3BE9"/>
    <w:rsid w:val="009C44C6"/>
    <w:rsid w:val="009C451B"/>
    <w:rsid w:val="009C69B3"/>
    <w:rsid w:val="009C6CB6"/>
    <w:rsid w:val="009C7CB2"/>
    <w:rsid w:val="009D0601"/>
    <w:rsid w:val="009D342B"/>
    <w:rsid w:val="009D5E5A"/>
    <w:rsid w:val="009D6089"/>
    <w:rsid w:val="009D618B"/>
    <w:rsid w:val="009D671B"/>
    <w:rsid w:val="009D6D26"/>
    <w:rsid w:val="009D74FD"/>
    <w:rsid w:val="009E1187"/>
    <w:rsid w:val="009E1F26"/>
    <w:rsid w:val="009E465A"/>
    <w:rsid w:val="009E4A42"/>
    <w:rsid w:val="009E5FA3"/>
    <w:rsid w:val="009F04E8"/>
    <w:rsid w:val="009F0A1C"/>
    <w:rsid w:val="009F10CB"/>
    <w:rsid w:val="009F18D7"/>
    <w:rsid w:val="009F3A1F"/>
    <w:rsid w:val="009F3BF2"/>
    <w:rsid w:val="009F5F8F"/>
    <w:rsid w:val="009F6E40"/>
    <w:rsid w:val="009F7795"/>
    <w:rsid w:val="00A00483"/>
    <w:rsid w:val="00A01618"/>
    <w:rsid w:val="00A018C6"/>
    <w:rsid w:val="00A01B97"/>
    <w:rsid w:val="00A0292F"/>
    <w:rsid w:val="00A03292"/>
    <w:rsid w:val="00A03352"/>
    <w:rsid w:val="00A03C1C"/>
    <w:rsid w:val="00A06672"/>
    <w:rsid w:val="00A06995"/>
    <w:rsid w:val="00A10C45"/>
    <w:rsid w:val="00A10D24"/>
    <w:rsid w:val="00A114BE"/>
    <w:rsid w:val="00A11C25"/>
    <w:rsid w:val="00A12287"/>
    <w:rsid w:val="00A12307"/>
    <w:rsid w:val="00A12722"/>
    <w:rsid w:val="00A131E6"/>
    <w:rsid w:val="00A13E5E"/>
    <w:rsid w:val="00A15549"/>
    <w:rsid w:val="00A1638F"/>
    <w:rsid w:val="00A20003"/>
    <w:rsid w:val="00A203BB"/>
    <w:rsid w:val="00A23538"/>
    <w:rsid w:val="00A262EC"/>
    <w:rsid w:val="00A27675"/>
    <w:rsid w:val="00A30679"/>
    <w:rsid w:val="00A306AF"/>
    <w:rsid w:val="00A30DF0"/>
    <w:rsid w:val="00A31377"/>
    <w:rsid w:val="00A321FB"/>
    <w:rsid w:val="00A32897"/>
    <w:rsid w:val="00A33021"/>
    <w:rsid w:val="00A3384A"/>
    <w:rsid w:val="00A367AB"/>
    <w:rsid w:val="00A375ED"/>
    <w:rsid w:val="00A3783F"/>
    <w:rsid w:val="00A4098B"/>
    <w:rsid w:val="00A41473"/>
    <w:rsid w:val="00A4184A"/>
    <w:rsid w:val="00A41AD7"/>
    <w:rsid w:val="00A434FF"/>
    <w:rsid w:val="00A45453"/>
    <w:rsid w:val="00A46443"/>
    <w:rsid w:val="00A4676B"/>
    <w:rsid w:val="00A47517"/>
    <w:rsid w:val="00A5075E"/>
    <w:rsid w:val="00A51429"/>
    <w:rsid w:val="00A52E98"/>
    <w:rsid w:val="00A5457C"/>
    <w:rsid w:val="00A554A0"/>
    <w:rsid w:val="00A55EB8"/>
    <w:rsid w:val="00A56900"/>
    <w:rsid w:val="00A5764C"/>
    <w:rsid w:val="00A60006"/>
    <w:rsid w:val="00A6129B"/>
    <w:rsid w:val="00A6261C"/>
    <w:rsid w:val="00A62A9C"/>
    <w:rsid w:val="00A62DBE"/>
    <w:rsid w:val="00A62EFC"/>
    <w:rsid w:val="00A65A02"/>
    <w:rsid w:val="00A66C1D"/>
    <w:rsid w:val="00A67F34"/>
    <w:rsid w:val="00A70B08"/>
    <w:rsid w:val="00A713A7"/>
    <w:rsid w:val="00A72FFC"/>
    <w:rsid w:val="00A73729"/>
    <w:rsid w:val="00A73E05"/>
    <w:rsid w:val="00A751FE"/>
    <w:rsid w:val="00A753C0"/>
    <w:rsid w:val="00A75B67"/>
    <w:rsid w:val="00A75C4E"/>
    <w:rsid w:val="00A76FBF"/>
    <w:rsid w:val="00A771B8"/>
    <w:rsid w:val="00A774E7"/>
    <w:rsid w:val="00A77A54"/>
    <w:rsid w:val="00A77BF6"/>
    <w:rsid w:val="00A8042B"/>
    <w:rsid w:val="00A8108F"/>
    <w:rsid w:val="00A8119F"/>
    <w:rsid w:val="00A8138C"/>
    <w:rsid w:val="00A81511"/>
    <w:rsid w:val="00A817DF"/>
    <w:rsid w:val="00A81843"/>
    <w:rsid w:val="00A83FAA"/>
    <w:rsid w:val="00A85D56"/>
    <w:rsid w:val="00A85EF2"/>
    <w:rsid w:val="00A87C0A"/>
    <w:rsid w:val="00A87DA4"/>
    <w:rsid w:val="00A9055C"/>
    <w:rsid w:val="00A90A5F"/>
    <w:rsid w:val="00A912EC"/>
    <w:rsid w:val="00A916C9"/>
    <w:rsid w:val="00A932E7"/>
    <w:rsid w:val="00A93721"/>
    <w:rsid w:val="00A9372E"/>
    <w:rsid w:val="00A9425E"/>
    <w:rsid w:val="00A95C8E"/>
    <w:rsid w:val="00A966DD"/>
    <w:rsid w:val="00A9754A"/>
    <w:rsid w:val="00A97D6D"/>
    <w:rsid w:val="00AA0FB9"/>
    <w:rsid w:val="00AA108E"/>
    <w:rsid w:val="00AA1D1C"/>
    <w:rsid w:val="00AA2666"/>
    <w:rsid w:val="00AA30CD"/>
    <w:rsid w:val="00AA3D21"/>
    <w:rsid w:val="00AA4592"/>
    <w:rsid w:val="00AA4B7A"/>
    <w:rsid w:val="00AA5427"/>
    <w:rsid w:val="00AB00B9"/>
    <w:rsid w:val="00AB2E6B"/>
    <w:rsid w:val="00AB402A"/>
    <w:rsid w:val="00AB53EB"/>
    <w:rsid w:val="00AB63F6"/>
    <w:rsid w:val="00AB6FE4"/>
    <w:rsid w:val="00AB7704"/>
    <w:rsid w:val="00AB7D1C"/>
    <w:rsid w:val="00AC2285"/>
    <w:rsid w:val="00AC2854"/>
    <w:rsid w:val="00AC2967"/>
    <w:rsid w:val="00AC2C80"/>
    <w:rsid w:val="00AC3B34"/>
    <w:rsid w:val="00AC40BD"/>
    <w:rsid w:val="00AC610B"/>
    <w:rsid w:val="00AC6C80"/>
    <w:rsid w:val="00AC798A"/>
    <w:rsid w:val="00AD0B6A"/>
    <w:rsid w:val="00AD118C"/>
    <w:rsid w:val="00AD2146"/>
    <w:rsid w:val="00AD3D47"/>
    <w:rsid w:val="00AD4294"/>
    <w:rsid w:val="00AD594E"/>
    <w:rsid w:val="00AD65F5"/>
    <w:rsid w:val="00AD6CCB"/>
    <w:rsid w:val="00AD7F4B"/>
    <w:rsid w:val="00AE11E0"/>
    <w:rsid w:val="00AE1A54"/>
    <w:rsid w:val="00AE1FA4"/>
    <w:rsid w:val="00AE1FA8"/>
    <w:rsid w:val="00AE248F"/>
    <w:rsid w:val="00AE2729"/>
    <w:rsid w:val="00AE2ED7"/>
    <w:rsid w:val="00AE3AD7"/>
    <w:rsid w:val="00AE47A3"/>
    <w:rsid w:val="00AE486A"/>
    <w:rsid w:val="00AE522F"/>
    <w:rsid w:val="00AE5486"/>
    <w:rsid w:val="00AE559C"/>
    <w:rsid w:val="00AF060F"/>
    <w:rsid w:val="00AF0891"/>
    <w:rsid w:val="00AF0A29"/>
    <w:rsid w:val="00AF152B"/>
    <w:rsid w:val="00AF268B"/>
    <w:rsid w:val="00AF28A1"/>
    <w:rsid w:val="00AF3521"/>
    <w:rsid w:val="00AF3900"/>
    <w:rsid w:val="00AF5B81"/>
    <w:rsid w:val="00B0017A"/>
    <w:rsid w:val="00B01138"/>
    <w:rsid w:val="00B01218"/>
    <w:rsid w:val="00B01676"/>
    <w:rsid w:val="00B03599"/>
    <w:rsid w:val="00B04DC3"/>
    <w:rsid w:val="00B05981"/>
    <w:rsid w:val="00B05FF9"/>
    <w:rsid w:val="00B10153"/>
    <w:rsid w:val="00B105A7"/>
    <w:rsid w:val="00B1179F"/>
    <w:rsid w:val="00B13121"/>
    <w:rsid w:val="00B134C6"/>
    <w:rsid w:val="00B13C16"/>
    <w:rsid w:val="00B14D3B"/>
    <w:rsid w:val="00B155AF"/>
    <w:rsid w:val="00B1632B"/>
    <w:rsid w:val="00B16559"/>
    <w:rsid w:val="00B16D30"/>
    <w:rsid w:val="00B17E60"/>
    <w:rsid w:val="00B211C6"/>
    <w:rsid w:val="00B21979"/>
    <w:rsid w:val="00B2273F"/>
    <w:rsid w:val="00B22A14"/>
    <w:rsid w:val="00B236EE"/>
    <w:rsid w:val="00B24A9A"/>
    <w:rsid w:val="00B24CFB"/>
    <w:rsid w:val="00B25220"/>
    <w:rsid w:val="00B26D5A"/>
    <w:rsid w:val="00B303EF"/>
    <w:rsid w:val="00B309DE"/>
    <w:rsid w:val="00B30EEB"/>
    <w:rsid w:val="00B31C5D"/>
    <w:rsid w:val="00B33473"/>
    <w:rsid w:val="00B334BA"/>
    <w:rsid w:val="00B36DE2"/>
    <w:rsid w:val="00B3793D"/>
    <w:rsid w:val="00B37B6D"/>
    <w:rsid w:val="00B41FA1"/>
    <w:rsid w:val="00B42970"/>
    <w:rsid w:val="00B45625"/>
    <w:rsid w:val="00B465C9"/>
    <w:rsid w:val="00B46A6E"/>
    <w:rsid w:val="00B511C7"/>
    <w:rsid w:val="00B51415"/>
    <w:rsid w:val="00B51597"/>
    <w:rsid w:val="00B5160B"/>
    <w:rsid w:val="00B5238E"/>
    <w:rsid w:val="00B52A0D"/>
    <w:rsid w:val="00B55E79"/>
    <w:rsid w:val="00B56820"/>
    <w:rsid w:val="00B569C7"/>
    <w:rsid w:val="00B57CE2"/>
    <w:rsid w:val="00B60745"/>
    <w:rsid w:val="00B617CC"/>
    <w:rsid w:val="00B62541"/>
    <w:rsid w:val="00B641CF"/>
    <w:rsid w:val="00B65A68"/>
    <w:rsid w:val="00B66A91"/>
    <w:rsid w:val="00B6795C"/>
    <w:rsid w:val="00B7123F"/>
    <w:rsid w:val="00B71328"/>
    <w:rsid w:val="00B735EE"/>
    <w:rsid w:val="00B7387D"/>
    <w:rsid w:val="00B750E1"/>
    <w:rsid w:val="00B751CA"/>
    <w:rsid w:val="00B76215"/>
    <w:rsid w:val="00B804BD"/>
    <w:rsid w:val="00B811A4"/>
    <w:rsid w:val="00B8348B"/>
    <w:rsid w:val="00B85A52"/>
    <w:rsid w:val="00B902C8"/>
    <w:rsid w:val="00B91211"/>
    <w:rsid w:val="00B912A3"/>
    <w:rsid w:val="00B914F2"/>
    <w:rsid w:val="00B91C46"/>
    <w:rsid w:val="00B923E5"/>
    <w:rsid w:val="00B93C9D"/>
    <w:rsid w:val="00B946A9"/>
    <w:rsid w:val="00B947B0"/>
    <w:rsid w:val="00B95AAC"/>
    <w:rsid w:val="00B95D1E"/>
    <w:rsid w:val="00B96491"/>
    <w:rsid w:val="00B969BC"/>
    <w:rsid w:val="00B96D35"/>
    <w:rsid w:val="00B96E96"/>
    <w:rsid w:val="00BA1F77"/>
    <w:rsid w:val="00BA2D9E"/>
    <w:rsid w:val="00BA3090"/>
    <w:rsid w:val="00BA38BB"/>
    <w:rsid w:val="00BA3BF9"/>
    <w:rsid w:val="00BA5313"/>
    <w:rsid w:val="00BA770C"/>
    <w:rsid w:val="00BA77D9"/>
    <w:rsid w:val="00BA7FE1"/>
    <w:rsid w:val="00BB049D"/>
    <w:rsid w:val="00BB0DE7"/>
    <w:rsid w:val="00BB1A15"/>
    <w:rsid w:val="00BB2B2E"/>
    <w:rsid w:val="00BB37BF"/>
    <w:rsid w:val="00BB41DC"/>
    <w:rsid w:val="00BB4CA8"/>
    <w:rsid w:val="00BB5D41"/>
    <w:rsid w:val="00BB68A4"/>
    <w:rsid w:val="00BB6934"/>
    <w:rsid w:val="00BB745E"/>
    <w:rsid w:val="00BB7CC0"/>
    <w:rsid w:val="00BC0D1D"/>
    <w:rsid w:val="00BC0E30"/>
    <w:rsid w:val="00BC240A"/>
    <w:rsid w:val="00BC275C"/>
    <w:rsid w:val="00BC285A"/>
    <w:rsid w:val="00BC2EE4"/>
    <w:rsid w:val="00BC709C"/>
    <w:rsid w:val="00BC70EA"/>
    <w:rsid w:val="00BC71BC"/>
    <w:rsid w:val="00BC73DE"/>
    <w:rsid w:val="00BD02FE"/>
    <w:rsid w:val="00BD0875"/>
    <w:rsid w:val="00BD091B"/>
    <w:rsid w:val="00BD1D4B"/>
    <w:rsid w:val="00BD202B"/>
    <w:rsid w:val="00BD370B"/>
    <w:rsid w:val="00BD3A47"/>
    <w:rsid w:val="00BD3A7B"/>
    <w:rsid w:val="00BD4D8B"/>
    <w:rsid w:val="00BD50DB"/>
    <w:rsid w:val="00BD61C7"/>
    <w:rsid w:val="00BD70C7"/>
    <w:rsid w:val="00BD7506"/>
    <w:rsid w:val="00BE0593"/>
    <w:rsid w:val="00BE24AD"/>
    <w:rsid w:val="00BE284E"/>
    <w:rsid w:val="00BE3BAA"/>
    <w:rsid w:val="00BE493F"/>
    <w:rsid w:val="00BE54CC"/>
    <w:rsid w:val="00BE781F"/>
    <w:rsid w:val="00BF06BD"/>
    <w:rsid w:val="00BF08BA"/>
    <w:rsid w:val="00BF09F8"/>
    <w:rsid w:val="00BF12CB"/>
    <w:rsid w:val="00BF17EA"/>
    <w:rsid w:val="00BF1B2A"/>
    <w:rsid w:val="00BF2E31"/>
    <w:rsid w:val="00BF3AAB"/>
    <w:rsid w:val="00BF4EE8"/>
    <w:rsid w:val="00BF55F3"/>
    <w:rsid w:val="00BF590C"/>
    <w:rsid w:val="00BF6E9D"/>
    <w:rsid w:val="00BF7841"/>
    <w:rsid w:val="00C014F6"/>
    <w:rsid w:val="00C02073"/>
    <w:rsid w:val="00C022E8"/>
    <w:rsid w:val="00C03060"/>
    <w:rsid w:val="00C03A78"/>
    <w:rsid w:val="00C03C7C"/>
    <w:rsid w:val="00C04657"/>
    <w:rsid w:val="00C0647E"/>
    <w:rsid w:val="00C06BFD"/>
    <w:rsid w:val="00C10CD3"/>
    <w:rsid w:val="00C11D84"/>
    <w:rsid w:val="00C139DD"/>
    <w:rsid w:val="00C14984"/>
    <w:rsid w:val="00C15515"/>
    <w:rsid w:val="00C159D4"/>
    <w:rsid w:val="00C15F27"/>
    <w:rsid w:val="00C16011"/>
    <w:rsid w:val="00C1775C"/>
    <w:rsid w:val="00C20467"/>
    <w:rsid w:val="00C21A87"/>
    <w:rsid w:val="00C237FE"/>
    <w:rsid w:val="00C23952"/>
    <w:rsid w:val="00C23B94"/>
    <w:rsid w:val="00C252BF"/>
    <w:rsid w:val="00C25664"/>
    <w:rsid w:val="00C26623"/>
    <w:rsid w:val="00C26BCA"/>
    <w:rsid w:val="00C27B8E"/>
    <w:rsid w:val="00C31C90"/>
    <w:rsid w:val="00C3226C"/>
    <w:rsid w:val="00C3277A"/>
    <w:rsid w:val="00C33358"/>
    <w:rsid w:val="00C33445"/>
    <w:rsid w:val="00C33610"/>
    <w:rsid w:val="00C33694"/>
    <w:rsid w:val="00C339DC"/>
    <w:rsid w:val="00C357E2"/>
    <w:rsid w:val="00C35C01"/>
    <w:rsid w:val="00C35D28"/>
    <w:rsid w:val="00C35EE2"/>
    <w:rsid w:val="00C37C7E"/>
    <w:rsid w:val="00C41145"/>
    <w:rsid w:val="00C4193B"/>
    <w:rsid w:val="00C42F0B"/>
    <w:rsid w:val="00C44DAA"/>
    <w:rsid w:val="00C45983"/>
    <w:rsid w:val="00C50242"/>
    <w:rsid w:val="00C505B1"/>
    <w:rsid w:val="00C5113A"/>
    <w:rsid w:val="00C5192F"/>
    <w:rsid w:val="00C52A7F"/>
    <w:rsid w:val="00C52E39"/>
    <w:rsid w:val="00C55882"/>
    <w:rsid w:val="00C56C27"/>
    <w:rsid w:val="00C60C99"/>
    <w:rsid w:val="00C610BE"/>
    <w:rsid w:val="00C63037"/>
    <w:rsid w:val="00C6347C"/>
    <w:rsid w:val="00C64410"/>
    <w:rsid w:val="00C647E9"/>
    <w:rsid w:val="00C66D1A"/>
    <w:rsid w:val="00C66EE4"/>
    <w:rsid w:val="00C710B9"/>
    <w:rsid w:val="00C7197B"/>
    <w:rsid w:val="00C726EE"/>
    <w:rsid w:val="00C72BED"/>
    <w:rsid w:val="00C73BB0"/>
    <w:rsid w:val="00C746E1"/>
    <w:rsid w:val="00C7671A"/>
    <w:rsid w:val="00C80338"/>
    <w:rsid w:val="00C819D6"/>
    <w:rsid w:val="00C823E0"/>
    <w:rsid w:val="00C8470C"/>
    <w:rsid w:val="00C84CCD"/>
    <w:rsid w:val="00C855C7"/>
    <w:rsid w:val="00C8575D"/>
    <w:rsid w:val="00C860DE"/>
    <w:rsid w:val="00C9228F"/>
    <w:rsid w:val="00C926D7"/>
    <w:rsid w:val="00C92B34"/>
    <w:rsid w:val="00C92B71"/>
    <w:rsid w:val="00C932A8"/>
    <w:rsid w:val="00C943F5"/>
    <w:rsid w:val="00C94E7F"/>
    <w:rsid w:val="00C97AB7"/>
    <w:rsid w:val="00CA004E"/>
    <w:rsid w:val="00CA1ABC"/>
    <w:rsid w:val="00CA25BC"/>
    <w:rsid w:val="00CA386D"/>
    <w:rsid w:val="00CA4781"/>
    <w:rsid w:val="00CA543D"/>
    <w:rsid w:val="00CA5CD6"/>
    <w:rsid w:val="00CB039D"/>
    <w:rsid w:val="00CB2F53"/>
    <w:rsid w:val="00CB3303"/>
    <w:rsid w:val="00CB35E3"/>
    <w:rsid w:val="00CB3743"/>
    <w:rsid w:val="00CB4701"/>
    <w:rsid w:val="00CB7A6F"/>
    <w:rsid w:val="00CC09D6"/>
    <w:rsid w:val="00CC1137"/>
    <w:rsid w:val="00CC13C4"/>
    <w:rsid w:val="00CC3593"/>
    <w:rsid w:val="00CC7025"/>
    <w:rsid w:val="00CC75FE"/>
    <w:rsid w:val="00CD1240"/>
    <w:rsid w:val="00CD4DD4"/>
    <w:rsid w:val="00CD57D1"/>
    <w:rsid w:val="00CD57DB"/>
    <w:rsid w:val="00CD7853"/>
    <w:rsid w:val="00CE01D3"/>
    <w:rsid w:val="00CE0C33"/>
    <w:rsid w:val="00CE1509"/>
    <w:rsid w:val="00CE173A"/>
    <w:rsid w:val="00CE1851"/>
    <w:rsid w:val="00CE22E2"/>
    <w:rsid w:val="00CE23BF"/>
    <w:rsid w:val="00CE23FA"/>
    <w:rsid w:val="00CE2B1B"/>
    <w:rsid w:val="00CE4BA6"/>
    <w:rsid w:val="00CE4C47"/>
    <w:rsid w:val="00CE6BBC"/>
    <w:rsid w:val="00CE7029"/>
    <w:rsid w:val="00CE70F6"/>
    <w:rsid w:val="00CF0606"/>
    <w:rsid w:val="00CF0FCF"/>
    <w:rsid w:val="00CF139B"/>
    <w:rsid w:val="00CF24B9"/>
    <w:rsid w:val="00CF4692"/>
    <w:rsid w:val="00CF4AC3"/>
    <w:rsid w:val="00CF5186"/>
    <w:rsid w:val="00CF53E2"/>
    <w:rsid w:val="00CF55A5"/>
    <w:rsid w:val="00CF6098"/>
    <w:rsid w:val="00CF653F"/>
    <w:rsid w:val="00CF6B1B"/>
    <w:rsid w:val="00D00C9B"/>
    <w:rsid w:val="00D01EC9"/>
    <w:rsid w:val="00D02458"/>
    <w:rsid w:val="00D02C5A"/>
    <w:rsid w:val="00D0470E"/>
    <w:rsid w:val="00D04968"/>
    <w:rsid w:val="00D05223"/>
    <w:rsid w:val="00D05D7E"/>
    <w:rsid w:val="00D06048"/>
    <w:rsid w:val="00D061C8"/>
    <w:rsid w:val="00D064BA"/>
    <w:rsid w:val="00D06E8D"/>
    <w:rsid w:val="00D07372"/>
    <w:rsid w:val="00D0752B"/>
    <w:rsid w:val="00D103DA"/>
    <w:rsid w:val="00D10968"/>
    <w:rsid w:val="00D1192E"/>
    <w:rsid w:val="00D130E9"/>
    <w:rsid w:val="00D1452E"/>
    <w:rsid w:val="00D14AF1"/>
    <w:rsid w:val="00D15609"/>
    <w:rsid w:val="00D15D79"/>
    <w:rsid w:val="00D15F19"/>
    <w:rsid w:val="00D16F40"/>
    <w:rsid w:val="00D21096"/>
    <w:rsid w:val="00D21201"/>
    <w:rsid w:val="00D21308"/>
    <w:rsid w:val="00D21929"/>
    <w:rsid w:val="00D219BC"/>
    <w:rsid w:val="00D246D7"/>
    <w:rsid w:val="00D252D6"/>
    <w:rsid w:val="00D25452"/>
    <w:rsid w:val="00D25B15"/>
    <w:rsid w:val="00D264E0"/>
    <w:rsid w:val="00D26C8D"/>
    <w:rsid w:val="00D2780A"/>
    <w:rsid w:val="00D2780D"/>
    <w:rsid w:val="00D27F13"/>
    <w:rsid w:val="00D304B3"/>
    <w:rsid w:val="00D30682"/>
    <w:rsid w:val="00D307BD"/>
    <w:rsid w:val="00D312CD"/>
    <w:rsid w:val="00D331B3"/>
    <w:rsid w:val="00D3340A"/>
    <w:rsid w:val="00D33889"/>
    <w:rsid w:val="00D37275"/>
    <w:rsid w:val="00D377A7"/>
    <w:rsid w:val="00D37BC6"/>
    <w:rsid w:val="00D40B2C"/>
    <w:rsid w:val="00D40C15"/>
    <w:rsid w:val="00D427E2"/>
    <w:rsid w:val="00D428A3"/>
    <w:rsid w:val="00D4290B"/>
    <w:rsid w:val="00D43B9B"/>
    <w:rsid w:val="00D44512"/>
    <w:rsid w:val="00D453E2"/>
    <w:rsid w:val="00D454C7"/>
    <w:rsid w:val="00D4648A"/>
    <w:rsid w:val="00D465F9"/>
    <w:rsid w:val="00D473A4"/>
    <w:rsid w:val="00D4759E"/>
    <w:rsid w:val="00D475F4"/>
    <w:rsid w:val="00D505DD"/>
    <w:rsid w:val="00D50A7A"/>
    <w:rsid w:val="00D50D6C"/>
    <w:rsid w:val="00D51B0B"/>
    <w:rsid w:val="00D528D7"/>
    <w:rsid w:val="00D53D76"/>
    <w:rsid w:val="00D54378"/>
    <w:rsid w:val="00D5650C"/>
    <w:rsid w:val="00D56FC6"/>
    <w:rsid w:val="00D60305"/>
    <w:rsid w:val="00D60898"/>
    <w:rsid w:val="00D60BE0"/>
    <w:rsid w:val="00D60BFA"/>
    <w:rsid w:val="00D6169B"/>
    <w:rsid w:val="00D61BE0"/>
    <w:rsid w:val="00D633E6"/>
    <w:rsid w:val="00D64AA2"/>
    <w:rsid w:val="00D6609E"/>
    <w:rsid w:val="00D667B0"/>
    <w:rsid w:val="00D66A2B"/>
    <w:rsid w:val="00D66DCF"/>
    <w:rsid w:val="00D718F6"/>
    <w:rsid w:val="00D72CBC"/>
    <w:rsid w:val="00D736E1"/>
    <w:rsid w:val="00D73930"/>
    <w:rsid w:val="00D74799"/>
    <w:rsid w:val="00D75857"/>
    <w:rsid w:val="00D75895"/>
    <w:rsid w:val="00D761A1"/>
    <w:rsid w:val="00D7635F"/>
    <w:rsid w:val="00D77124"/>
    <w:rsid w:val="00D77989"/>
    <w:rsid w:val="00D824A1"/>
    <w:rsid w:val="00D82723"/>
    <w:rsid w:val="00D82C2B"/>
    <w:rsid w:val="00D83DFF"/>
    <w:rsid w:val="00D843A2"/>
    <w:rsid w:val="00D854CA"/>
    <w:rsid w:val="00D87083"/>
    <w:rsid w:val="00D9199A"/>
    <w:rsid w:val="00D927FC"/>
    <w:rsid w:val="00D928F4"/>
    <w:rsid w:val="00D94792"/>
    <w:rsid w:val="00D94BBB"/>
    <w:rsid w:val="00D956C5"/>
    <w:rsid w:val="00D9719B"/>
    <w:rsid w:val="00D973A4"/>
    <w:rsid w:val="00D976DC"/>
    <w:rsid w:val="00DA084C"/>
    <w:rsid w:val="00DA167B"/>
    <w:rsid w:val="00DA1C3C"/>
    <w:rsid w:val="00DA537F"/>
    <w:rsid w:val="00DA5EC7"/>
    <w:rsid w:val="00DA7844"/>
    <w:rsid w:val="00DA78CA"/>
    <w:rsid w:val="00DB1ACA"/>
    <w:rsid w:val="00DB1C0E"/>
    <w:rsid w:val="00DB1F2B"/>
    <w:rsid w:val="00DB2967"/>
    <w:rsid w:val="00DB41C3"/>
    <w:rsid w:val="00DB4D19"/>
    <w:rsid w:val="00DB5501"/>
    <w:rsid w:val="00DB5B92"/>
    <w:rsid w:val="00DB6617"/>
    <w:rsid w:val="00DB68C4"/>
    <w:rsid w:val="00DB6D65"/>
    <w:rsid w:val="00DC1F9E"/>
    <w:rsid w:val="00DC21FC"/>
    <w:rsid w:val="00DC4107"/>
    <w:rsid w:val="00DC5481"/>
    <w:rsid w:val="00DC5EBC"/>
    <w:rsid w:val="00DC6DA7"/>
    <w:rsid w:val="00DC6FF6"/>
    <w:rsid w:val="00DC7160"/>
    <w:rsid w:val="00DC7B7F"/>
    <w:rsid w:val="00DD0C04"/>
    <w:rsid w:val="00DD49BB"/>
    <w:rsid w:val="00DD5B95"/>
    <w:rsid w:val="00DD66EA"/>
    <w:rsid w:val="00DD682E"/>
    <w:rsid w:val="00DD6C1D"/>
    <w:rsid w:val="00DD6F37"/>
    <w:rsid w:val="00DE272B"/>
    <w:rsid w:val="00DE2A4A"/>
    <w:rsid w:val="00DE3423"/>
    <w:rsid w:val="00DE3FCB"/>
    <w:rsid w:val="00DE4D77"/>
    <w:rsid w:val="00DE6761"/>
    <w:rsid w:val="00DE7661"/>
    <w:rsid w:val="00DF01CA"/>
    <w:rsid w:val="00DF2BB7"/>
    <w:rsid w:val="00DF3063"/>
    <w:rsid w:val="00DF3404"/>
    <w:rsid w:val="00DF3838"/>
    <w:rsid w:val="00DF570B"/>
    <w:rsid w:val="00DF6361"/>
    <w:rsid w:val="00DF6A8B"/>
    <w:rsid w:val="00DF740A"/>
    <w:rsid w:val="00DF75D0"/>
    <w:rsid w:val="00E001CA"/>
    <w:rsid w:val="00E0036B"/>
    <w:rsid w:val="00E01E94"/>
    <w:rsid w:val="00E02117"/>
    <w:rsid w:val="00E02285"/>
    <w:rsid w:val="00E02298"/>
    <w:rsid w:val="00E03968"/>
    <w:rsid w:val="00E04BBB"/>
    <w:rsid w:val="00E06867"/>
    <w:rsid w:val="00E06CE2"/>
    <w:rsid w:val="00E07058"/>
    <w:rsid w:val="00E07C68"/>
    <w:rsid w:val="00E10460"/>
    <w:rsid w:val="00E11B52"/>
    <w:rsid w:val="00E13AEB"/>
    <w:rsid w:val="00E140E0"/>
    <w:rsid w:val="00E14969"/>
    <w:rsid w:val="00E150BB"/>
    <w:rsid w:val="00E167F9"/>
    <w:rsid w:val="00E16B74"/>
    <w:rsid w:val="00E16C3A"/>
    <w:rsid w:val="00E2222F"/>
    <w:rsid w:val="00E227BB"/>
    <w:rsid w:val="00E23E8B"/>
    <w:rsid w:val="00E25C8B"/>
    <w:rsid w:val="00E268EC"/>
    <w:rsid w:val="00E316EE"/>
    <w:rsid w:val="00E327DB"/>
    <w:rsid w:val="00E32A6B"/>
    <w:rsid w:val="00E3346C"/>
    <w:rsid w:val="00E33C5F"/>
    <w:rsid w:val="00E3464E"/>
    <w:rsid w:val="00E3465F"/>
    <w:rsid w:val="00E3758B"/>
    <w:rsid w:val="00E400AB"/>
    <w:rsid w:val="00E40D6E"/>
    <w:rsid w:val="00E40FB0"/>
    <w:rsid w:val="00E41227"/>
    <w:rsid w:val="00E414B1"/>
    <w:rsid w:val="00E445CD"/>
    <w:rsid w:val="00E45F1E"/>
    <w:rsid w:val="00E461CF"/>
    <w:rsid w:val="00E46269"/>
    <w:rsid w:val="00E4693A"/>
    <w:rsid w:val="00E4707C"/>
    <w:rsid w:val="00E47A4F"/>
    <w:rsid w:val="00E505B5"/>
    <w:rsid w:val="00E51259"/>
    <w:rsid w:val="00E5161F"/>
    <w:rsid w:val="00E51AAA"/>
    <w:rsid w:val="00E51B71"/>
    <w:rsid w:val="00E52348"/>
    <w:rsid w:val="00E52FD8"/>
    <w:rsid w:val="00E5345A"/>
    <w:rsid w:val="00E54249"/>
    <w:rsid w:val="00E547B8"/>
    <w:rsid w:val="00E55201"/>
    <w:rsid w:val="00E552F1"/>
    <w:rsid w:val="00E57909"/>
    <w:rsid w:val="00E604C9"/>
    <w:rsid w:val="00E626A0"/>
    <w:rsid w:val="00E6440A"/>
    <w:rsid w:val="00E647B7"/>
    <w:rsid w:val="00E657FE"/>
    <w:rsid w:val="00E6784B"/>
    <w:rsid w:val="00E67DF4"/>
    <w:rsid w:val="00E70943"/>
    <w:rsid w:val="00E7123F"/>
    <w:rsid w:val="00E72232"/>
    <w:rsid w:val="00E723FE"/>
    <w:rsid w:val="00E750BF"/>
    <w:rsid w:val="00E75A02"/>
    <w:rsid w:val="00E75A5E"/>
    <w:rsid w:val="00E7632C"/>
    <w:rsid w:val="00E76622"/>
    <w:rsid w:val="00E77ECC"/>
    <w:rsid w:val="00E800EA"/>
    <w:rsid w:val="00E808C6"/>
    <w:rsid w:val="00E8197D"/>
    <w:rsid w:val="00E831E1"/>
    <w:rsid w:val="00E835B3"/>
    <w:rsid w:val="00E83DC6"/>
    <w:rsid w:val="00E83F5B"/>
    <w:rsid w:val="00E84348"/>
    <w:rsid w:val="00E85E70"/>
    <w:rsid w:val="00E90974"/>
    <w:rsid w:val="00E914E4"/>
    <w:rsid w:val="00E91E62"/>
    <w:rsid w:val="00E92136"/>
    <w:rsid w:val="00E92C02"/>
    <w:rsid w:val="00E94771"/>
    <w:rsid w:val="00E94A7C"/>
    <w:rsid w:val="00E94B56"/>
    <w:rsid w:val="00E9567D"/>
    <w:rsid w:val="00E95A7C"/>
    <w:rsid w:val="00E95D89"/>
    <w:rsid w:val="00E973F0"/>
    <w:rsid w:val="00EA069D"/>
    <w:rsid w:val="00EA0AED"/>
    <w:rsid w:val="00EA2469"/>
    <w:rsid w:val="00EA2857"/>
    <w:rsid w:val="00EA2A19"/>
    <w:rsid w:val="00EA2FE1"/>
    <w:rsid w:val="00EA4395"/>
    <w:rsid w:val="00EA4603"/>
    <w:rsid w:val="00EA5256"/>
    <w:rsid w:val="00EA598D"/>
    <w:rsid w:val="00EA713A"/>
    <w:rsid w:val="00EA7927"/>
    <w:rsid w:val="00EB090D"/>
    <w:rsid w:val="00EB1667"/>
    <w:rsid w:val="00EB1C7A"/>
    <w:rsid w:val="00EB3FF4"/>
    <w:rsid w:val="00EB4263"/>
    <w:rsid w:val="00EB4B0F"/>
    <w:rsid w:val="00EB4DB8"/>
    <w:rsid w:val="00EB70A1"/>
    <w:rsid w:val="00EB71DB"/>
    <w:rsid w:val="00EB7B23"/>
    <w:rsid w:val="00EB7BB3"/>
    <w:rsid w:val="00EB7D67"/>
    <w:rsid w:val="00EC0328"/>
    <w:rsid w:val="00EC110C"/>
    <w:rsid w:val="00EC2B9E"/>
    <w:rsid w:val="00EC2C4E"/>
    <w:rsid w:val="00EC2F71"/>
    <w:rsid w:val="00EC4314"/>
    <w:rsid w:val="00EC46B5"/>
    <w:rsid w:val="00EC57AB"/>
    <w:rsid w:val="00EC5816"/>
    <w:rsid w:val="00EC6F1E"/>
    <w:rsid w:val="00ED0BBC"/>
    <w:rsid w:val="00ED1031"/>
    <w:rsid w:val="00ED10EF"/>
    <w:rsid w:val="00ED14B1"/>
    <w:rsid w:val="00ED15B2"/>
    <w:rsid w:val="00ED16A0"/>
    <w:rsid w:val="00ED1E4C"/>
    <w:rsid w:val="00ED1F06"/>
    <w:rsid w:val="00ED1FCD"/>
    <w:rsid w:val="00ED5228"/>
    <w:rsid w:val="00ED5536"/>
    <w:rsid w:val="00ED7809"/>
    <w:rsid w:val="00ED7934"/>
    <w:rsid w:val="00EE0746"/>
    <w:rsid w:val="00EE0B70"/>
    <w:rsid w:val="00EE1F6D"/>
    <w:rsid w:val="00EE2405"/>
    <w:rsid w:val="00EE3228"/>
    <w:rsid w:val="00EE4EEA"/>
    <w:rsid w:val="00EE6622"/>
    <w:rsid w:val="00EE662D"/>
    <w:rsid w:val="00EE7381"/>
    <w:rsid w:val="00EE76C1"/>
    <w:rsid w:val="00EF0E45"/>
    <w:rsid w:val="00EF2798"/>
    <w:rsid w:val="00EF283C"/>
    <w:rsid w:val="00EF3771"/>
    <w:rsid w:val="00EF5E63"/>
    <w:rsid w:val="00EF7C05"/>
    <w:rsid w:val="00EF7F4B"/>
    <w:rsid w:val="00F00C9D"/>
    <w:rsid w:val="00F0211E"/>
    <w:rsid w:val="00F025AE"/>
    <w:rsid w:val="00F02AE5"/>
    <w:rsid w:val="00F02E1A"/>
    <w:rsid w:val="00F02E9D"/>
    <w:rsid w:val="00F03280"/>
    <w:rsid w:val="00F0369D"/>
    <w:rsid w:val="00F0482D"/>
    <w:rsid w:val="00F04A50"/>
    <w:rsid w:val="00F0639B"/>
    <w:rsid w:val="00F06924"/>
    <w:rsid w:val="00F07A42"/>
    <w:rsid w:val="00F111E2"/>
    <w:rsid w:val="00F11461"/>
    <w:rsid w:val="00F13631"/>
    <w:rsid w:val="00F139D5"/>
    <w:rsid w:val="00F150AB"/>
    <w:rsid w:val="00F15A60"/>
    <w:rsid w:val="00F203A5"/>
    <w:rsid w:val="00F203F8"/>
    <w:rsid w:val="00F20585"/>
    <w:rsid w:val="00F207F8"/>
    <w:rsid w:val="00F20F6B"/>
    <w:rsid w:val="00F23471"/>
    <w:rsid w:val="00F2352F"/>
    <w:rsid w:val="00F23831"/>
    <w:rsid w:val="00F24B16"/>
    <w:rsid w:val="00F24F2E"/>
    <w:rsid w:val="00F30DEC"/>
    <w:rsid w:val="00F32D6C"/>
    <w:rsid w:val="00F3361E"/>
    <w:rsid w:val="00F34794"/>
    <w:rsid w:val="00F35147"/>
    <w:rsid w:val="00F35A91"/>
    <w:rsid w:val="00F36516"/>
    <w:rsid w:val="00F412BA"/>
    <w:rsid w:val="00F4181E"/>
    <w:rsid w:val="00F41EC7"/>
    <w:rsid w:val="00F439AE"/>
    <w:rsid w:val="00F45CFD"/>
    <w:rsid w:val="00F45F29"/>
    <w:rsid w:val="00F4711F"/>
    <w:rsid w:val="00F471A3"/>
    <w:rsid w:val="00F50E86"/>
    <w:rsid w:val="00F514D6"/>
    <w:rsid w:val="00F52093"/>
    <w:rsid w:val="00F52683"/>
    <w:rsid w:val="00F52F6B"/>
    <w:rsid w:val="00F5378A"/>
    <w:rsid w:val="00F5392C"/>
    <w:rsid w:val="00F53C2A"/>
    <w:rsid w:val="00F53D77"/>
    <w:rsid w:val="00F54646"/>
    <w:rsid w:val="00F5542A"/>
    <w:rsid w:val="00F55518"/>
    <w:rsid w:val="00F56A78"/>
    <w:rsid w:val="00F56E5A"/>
    <w:rsid w:val="00F56ED8"/>
    <w:rsid w:val="00F57121"/>
    <w:rsid w:val="00F57E17"/>
    <w:rsid w:val="00F603EF"/>
    <w:rsid w:val="00F62760"/>
    <w:rsid w:val="00F63AC8"/>
    <w:rsid w:val="00F65519"/>
    <w:rsid w:val="00F670FB"/>
    <w:rsid w:val="00F7238D"/>
    <w:rsid w:val="00F72ED3"/>
    <w:rsid w:val="00F73EF4"/>
    <w:rsid w:val="00F74968"/>
    <w:rsid w:val="00F75226"/>
    <w:rsid w:val="00F7561F"/>
    <w:rsid w:val="00F75BCA"/>
    <w:rsid w:val="00F75CDD"/>
    <w:rsid w:val="00F75D60"/>
    <w:rsid w:val="00F766D6"/>
    <w:rsid w:val="00F76741"/>
    <w:rsid w:val="00F802B1"/>
    <w:rsid w:val="00F806A5"/>
    <w:rsid w:val="00F82594"/>
    <w:rsid w:val="00F82CCA"/>
    <w:rsid w:val="00F82D30"/>
    <w:rsid w:val="00F83875"/>
    <w:rsid w:val="00F83E78"/>
    <w:rsid w:val="00F85F3D"/>
    <w:rsid w:val="00F8652B"/>
    <w:rsid w:val="00F86D73"/>
    <w:rsid w:val="00F92545"/>
    <w:rsid w:val="00F9393E"/>
    <w:rsid w:val="00F9460F"/>
    <w:rsid w:val="00F9709A"/>
    <w:rsid w:val="00F973C8"/>
    <w:rsid w:val="00FA2807"/>
    <w:rsid w:val="00FA2E8D"/>
    <w:rsid w:val="00FA30A8"/>
    <w:rsid w:val="00FA3724"/>
    <w:rsid w:val="00FA3DED"/>
    <w:rsid w:val="00FA43E7"/>
    <w:rsid w:val="00FA4409"/>
    <w:rsid w:val="00FA4B34"/>
    <w:rsid w:val="00FA5DE5"/>
    <w:rsid w:val="00FA6544"/>
    <w:rsid w:val="00FA656E"/>
    <w:rsid w:val="00FA6827"/>
    <w:rsid w:val="00FA74F1"/>
    <w:rsid w:val="00FA7643"/>
    <w:rsid w:val="00FB03B5"/>
    <w:rsid w:val="00FB13DF"/>
    <w:rsid w:val="00FB2056"/>
    <w:rsid w:val="00FB2419"/>
    <w:rsid w:val="00FB3656"/>
    <w:rsid w:val="00FB3F6E"/>
    <w:rsid w:val="00FB4070"/>
    <w:rsid w:val="00FB478C"/>
    <w:rsid w:val="00FB48BA"/>
    <w:rsid w:val="00FB5188"/>
    <w:rsid w:val="00FB625D"/>
    <w:rsid w:val="00FB6574"/>
    <w:rsid w:val="00FB7D09"/>
    <w:rsid w:val="00FC02D3"/>
    <w:rsid w:val="00FC02F7"/>
    <w:rsid w:val="00FC03BD"/>
    <w:rsid w:val="00FC0A26"/>
    <w:rsid w:val="00FC0F6D"/>
    <w:rsid w:val="00FC238D"/>
    <w:rsid w:val="00FC3209"/>
    <w:rsid w:val="00FC36A4"/>
    <w:rsid w:val="00FC3736"/>
    <w:rsid w:val="00FC3BEC"/>
    <w:rsid w:val="00FC48C8"/>
    <w:rsid w:val="00FC4DA3"/>
    <w:rsid w:val="00FC4EEB"/>
    <w:rsid w:val="00FC502D"/>
    <w:rsid w:val="00FC5328"/>
    <w:rsid w:val="00FC64E1"/>
    <w:rsid w:val="00FC711D"/>
    <w:rsid w:val="00FC7225"/>
    <w:rsid w:val="00FD0521"/>
    <w:rsid w:val="00FD2EF1"/>
    <w:rsid w:val="00FD3B88"/>
    <w:rsid w:val="00FD4C5B"/>
    <w:rsid w:val="00FD5449"/>
    <w:rsid w:val="00FD605C"/>
    <w:rsid w:val="00FD61A6"/>
    <w:rsid w:val="00FD65E7"/>
    <w:rsid w:val="00FD678A"/>
    <w:rsid w:val="00FD73BF"/>
    <w:rsid w:val="00FD7632"/>
    <w:rsid w:val="00FE0705"/>
    <w:rsid w:val="00FE0CA5"/>
    <w:rsid w:val="00FE139E"/>
    <w:rsid w:val="00FE1D20"/>
    <w:rsid w:val="00FE1DBA"/>
    <w:rsid w:val="00FE66BE"/>
    <w:rsid w:val="00FE746B"/>
    <w:rsid w:val="00FF07EE"/>
    <w:rsid w:val="00FF2473"/>
    <w:rsid w:val="00FF35FA"/>
    <w:rsid w:val="00FF5D0D"/>
    <w:rsid w:val="00FF6AC9"/>
    <w:rsid w:val="02594AB6"/>
    <w:rsid w:val="03257471"/>
    <w:rsid w:val="032A7666"/>
    <w:rsid w:val="04D39D53"/>
    <w:rsid w:val="05026D4B"/>
    <w:rsid w:val="05755481"/>
    <w:rsid w:val="05F7646F"/>
    <w:rsid w:val="05FB4954"/>
    <w:rsid w:val="06011F73"/>
    <w:rsid w:val="06882242"/>
    <w:rsid w:val="06C06A74"/>
    <w:rsid w:val="06F258F7"/>
    <w:rsid w:val="0738013C"/>
    <w:rsid w:val="073A7173"/>
    <w:rsid w:val="074DF9F3"/>
    <w:rsid w:val="07703F91"/>
    <w:rsid w:val="0794D0EB"/>
    <w:rsid w:val="07ED9A0F"/>
    <w:rsid w:val="08A076F3"/>
    <w:rsid w:val="09B7A014"/>
    <w:rsid w:val="0AAF06CA"/>
    <w:rsid w:val="0B3F1820"/>
    <w:rsid w:val="0B745683"/>
    <w:rsid w:val="0B7C0499"/>
    <w:rsid w:val="0BAC4ADC"/>
    <w:rsid w:val="0C390B62"/>
    <w:rsid w:val="0C5C7E64"/>
    <w:rsid w:val="0C8955DC"/>
    <w:rsid w:val="0CC9393A"/>
    <w:rsid w:val="0D461B30"/>
    <w:rsid w:val="0D501741"/>
    <w:rsid w:val="0DEE5F77"/>
    <w:rsid w:val="0DFFDE8C"/>
    <w:rsid w:val="0E2E535E"/>
    <w:rsid w:val="0E75E2E0"/>
    <w:rsid w:val="0ED5F063"/>
    <w:rsid w:val="0F7F7ACF"/>
    <w:rsid w:val="0FDBD93A"/>
    <w:rsid w:val="1031756B"/>
    <w:rsid w:val="10CC23EA"/>
    <w:rsid w:val="11275C77"/>
    <w:rsid w:val="1154110F"/>
    <w:rsid w:val="11931F79"/>
    <w:rsid w:val="11BD5413"/>
    <w:rsid w:val="11EFAB9F"/>
    <w:rsid w:val="13041C2D"/>
    <w:rsid w:val="133A1F99"/>
    <w:rsid w:val="147FF452"/>
    <w:rsid w:val="14E63D87"/>
    <w:rsid w:val="15B119F4"/>
    <w:rsid w:val="15FB8984"/>
    <w:rsid w:val="16F9C773"/>
    <w:rsid w:val="1703504B"/>
    <w:rsid w:val="1733271C"/>
    <w:rsid w:val="1738BD8F"/>
    <w:rsid w:val="17BD6F03"/>
    <w:rsid w:val="17EBC4E9"/>
    <w:rsid w:val="18753A87"/>
    <w:rsid w:val="194D2360"/>
    <w:rsid w:val="19A250E6"/>
    <w:rsid w:val="19DE42E1"/>
    <w:rsid w:val="1B3BDA6D"/>
    <w:rsid w:val="1B487F31"/>
    <w:rsid w:val="1B737351"/>
    <w:rsid w:val="1BDFFAE9"/>
    <w:rsid w:val="1BFD85E5"/>
    <w:rsid w:val="1C5A34B6"/>
    <w:rsid w:val="1CFF414B"/>
    <w:rsid w:val="1DBB58C0"/>
    <w:rsid w:val="1DEB7023"/>
    <w:rsid w:val="1DEF59C4"/>
    <w:rsid w:val="1E5FB1B8"/>
    <w:rsid w:val="1EF7E5F1"/>
    <w:rsid w:val="1EF7FBE6"/>
    <w:rsid w:val="1EFD0303"/>
    <w:rsid w:val="1F3E742C"/>
    <w:rsid w:val="1F4652BE"/>
    <w:rsid w:val="1F6C0009"/>
    <w:rsid w:val="1F7F3089"/>
    <w:rsid w:val="1FA57D22"/>
    <w:rsid w:val="1FBB2EC2"/>
    <w:rsid w:val="1FBF0309"/>
    <w:rsid w:val="1FCDD9AA"/>
    <w:rsid w:val="206E2E5A"/>
    <w:rsid w:val="206E38AF"/>
    <w:rsid w:val="215D3B8A"/>
    <w:rsid w:val="226E52B9"/>
    <w:rsid w:val="22D342DF"/>
    <w:rsid w:val="232F2FEC"/>
    <w:rsid w:val="234D74C7"/>
    <w:rsid w:val="238C33B2"/>
    <w:rsid w:val="239258A8"/>
    <w:rsid w:val="23B23177"/>
    <w:rsid w:val="23FF077F"/>
    <w:rsid w:val="249A6036"/>
    <w:rsid w:val="25680823"/>
    <w:rsid w:val="25D78893"/>
    <w:rsid w:val="25FC4C82"/>
    <w:rsid w:val="277F2054"/>
    <w:rsid w:val="279B2AD2"/>
    <w:rsid w:val="27D60ABE"/>
    <w:rsid w:val="27FDF959"/>
    <w:rsid w:val="29483366"/>
    <w:rsid w:val="295C133B"/>
    <w:rsid w:val="29B67BB5"/>
    <w:rsid w:val="2A283EEB"/>
    <w:rsid w:val="2A301EE2"/>
    <w:rsid w:val="2A72157F"/>
    <w:rsid w:val="2A8B6F09"/>
    <w:rsid w:val="2A9D47AC"/>
    <w:rsid w:val="2B2A31C7"/>
    <w:rsid w:val="2BFB5437"/>
    <w:rsid w:val="2D57955E"/>
    <w:rsid w:val="2D9FA04F"/>
    <w:rsid w:val="2DB8F648"/>
    <w:rsid w:val="2E3046AA"/>
    <w:rsid w:val="2EBBF9A3"/>
    <w:rsid w:val="2EE47259"/>
    <w:rsid w:val="2F4F7A7D"/>
    <w:rsid w:val="2F6F0148"/>
    <w:rsid w:val="2F76C28C"/>
    <w:rsid w:val="2F7C15D8"/>
    <w:rsid w:val="2FCF2002"/>
    <w:rsid w:val="2FE53D59"/>
    <w:rsid w:val="2FEF821A"/>
    <w:rsid w:val="302502D1"/>
    <w:rsid w:val="30BD0622"/>
    <w:rsid w:val="315554FC"/>
    <w:rsid w:val="315C6D68"/>
    <w:rsid w:val="3170B803"/>
    <w:rsid w:val="318807C1"/>
    <w:rsid w:val="31FB6DD1"/>
    <w:rsid w:val="321D5862"/>
    <w:rsid w:val="32D54D47"/>
    <w:rsid w:val="334B2B5E"/>
    <w:rsid w:val="336C2A59"/>
    <w:rsid w:val="339F1C74"/>
    <w:rsid w:val="33B9A17D"/>
    <w:rsid w:val="33BBF0AF"/>
    <w:rsid w:val="33F6F1A4"/>
    <w:rsid w:val="3406592D"/>
    <w:rsid w:val="34523632"/>
    <w:rsid w:val="3480002C"/>
    <w:rsid w:val="350A3F5B"/>
    <w:rsid w:val="350B5EF2"/>
    <w:rsid w:val="35325872"/>
    <w:rsid w:val="35777913"/>
    <w:rsid w:val="357DAA2F"/>
    <w:rsid w:val="358C4137"/>
    <w:rsid w:val="359BF424"/>
    <w:rsid w:val="35D346CC"/>
    <w:rsid w:val="35D727FD"/>
    <w:rsid w:val="364FA772"/>
    <w:rsid w:val="367B3895"/>
    <w:rsid w:val="36DEE552"/>
    <w:rsid w:val="36FC5189"/>
    <w:rsid w:val="3775E35A"/>
    <w:rsid w:val="37C3E342"/>
    <w:rsid w:val="37CD23E8"/>
    <w:rsid w:val="37D40A0F"/>
    <w:rsid w:val="37E59665"/>
    <w:rsid w:val="37E670AF"/>
    <w:rsid w:val="37EED666"/>
    <w:rsid w:val="37F785FF"/>
    <w:rsid w:val="37F883BD"/>
    <w:rsid w:val="37FA8E25"/>
    <w:rsid w:val="38473916"/>
    <w:rsid w:val="387049F0"/>
    <w:rsid w:val="38B9BD68"/>
    <w:rsid w:val="38F94ECD"/>
    <w:rsid w:val="39085625"/>
    <w:rsid w:val="39585634"/>
    <w:rsid w:val="395F216C"/>
    <w:rsid w:val="39EF2089"/>
    <w:rsid w:val="3A8258AD"/>
    <w:rsid w:val="3AB37492"/>
    <w:rsid w:val="3AEA78A1"/>
    <w:rsid w:val="3AED135B"/>
    <w:rsid w:val="3AF78677"/>
    <w:rsid w:val="3B7D71CC"/>
    <w:rsid w:val="3B9FB96D"/>
    <w:rsid w:val="3BDD156D"/>
    <w:rsid w:val="3C072F26"/>
    <w:rsid w:val="3C77988A"/>
    <w:rsid w:val="3C8B3830"/>
    <w:rsid w:val="3CDE1871"/>
    <w:rsid w:val="3CDF526A"/>
    <w:rsid w:val="3CE75508"/>
    <w:rsid w:val="3CFA5C70"/>
    <w:rsid w:val="3CFD7226"/>
    <w:rsid w:val="3CFE02EA"/>
    <w:rsid w:val="3D73E980"/>
    <w:rsid w:val="3D8D34C8"/>
    <w:rsid w:val="3DB9B48E"/>
    <w:rsid w:val="3DBF2FAE"/>
    <w:rsid w:val="3DDE6685"/>
    <w:rsid w:val="3DE28566"/>
    <w:rsid w:val="3DF3419F"/>
    <w:rsid w:val="3DF99385"/>
    <w:rsid w:val="3E74F004"/>
    <w:rsid w:val="3E7FD2B8"/>
    <w:rsid w:val="3EA7BC07"/>
    <w:rsid w:val="3EB54A1B"/>
    <w:rsid w:val="3EBF9715"/>
    <w:rsid w:val="3EEDCB0D"/>
    <w:rsid w:val="3EF9FA8C"/>
    <w:rsid w:val="3EFBA353"/>
    <w:rsid w:val="3EFFFDBD"/>
    <w:rsid w:val="3F5A0424"/>
    <w:rsid w:val="3F7E5EB1"/>
    <w:rsid w:val="3F8F1AB2"/>
    <w:rsid w:val="3F986E86"/>
    <w:rsid w:val="3FB50DB9"/>
    <w:rsid w:val="3FB6D05C"/>
    <w:rsid w:val="3FB79853"/>
    <w:rsid w:val="3FBBD6FC"/>
    <w:rsid w:val="3FD43472"/>
    <w:rsid w:val="3FDD07DC"/>
    <w:rsid w:val="3FE7C132"/>
    <w:rsid w:val="3FEEF7D0"/>
    <w:rsid w:val="3FF7C09F"/>
    <w:rsid w:val="3FFB89FA"/>
    <w:rsid w:val="3FFCB57A"/>
    <w:rsid w:val="3FFCE46E"/>
    <w:rsid w:val="3FFF4FB8"/>
    <w:rsid w:val="3FFF6282"/>
    <w:rsid w:val="3FFF6380"/>
    <w:rsid w:val="3FFFACD9"/>
    <w:rsid w:val="3FFFD90D"/>
    <w:rsid w:val="40244F73"/>
    <w:rsid w:val="40CF51AE"/>
    <w:rsid w:val="40D73BB8"/>
    <w:rsid w:val="415EEB71"/>
    <w:rsid w:val="419F2DC1"/>
    <w:rsid w:val="42DE52BC"/>
    <w:rsid w:val="4301054F"/>
    <w:rsid w:val="43DB3FAF"/>
    <w:rsid w:val="43ED6CE9"/>
    <w:rsid w:val="4501774B"/>
    <w:rsid w:val="451B1EC8"/>
    <w:rsid w:val="4556490C"/>
    <w:rsid w:val="4559200A"/>
    <w:rsid w:val="457BAEA1"/>
    <w:rsid w:val="45FB0EBB"/>
    <w:rsid w:val="46DCFC67"/>
    <w:rsid w:val="476F2604"/>
    <w:rsid w:val="477F75FB"/>
    <w:rsid w:val="479FA454"/>
    <w:rsid w:val="47B3FCFE"/>
    <w:rsid w:val="47D62CD2"/>
    <w:rsid w:val="484C29A9"/>
    <w:rsid w:val="48598FC3"/>
    <w:rsid w:val="48700954"/>
    <w:rsid w:val="48EC603A"/>
    <w:rsid w:val="48FFF461"/>
    <w:rsid w:val="4A6A4369"/>
    <w:rsid w:val="4AC05CD6"/>
    <w:rsid w:val="4AF505EB"/>
    <w:rsid w:val="4BAB026F"/>
    <w:rsid w:val="4BBD49D0"/>
    <w:rsid w:val="4BF46C68"/>
    <w:rsid w:val="4BFBF4E3"/>
    <w:rsid w:val="4C912CFD"/>
    <w:rsid w:val="4C9A4BC9"/>
    <w:rsid w:val="4CD22221"/>
    <w:rsid w:val="4D066243"/>
    <w:rsid w:val="4D736872"/>
    <w:rsid w:val="4DA94C04"/>
    <w:rsid w:val="4DC15695"/>
    <w:rsid w:val="4DE1110C"/>
    <w:rsid w:val="4DFF069B"/>
    <w:rsid w:val="4DFF6E57"/>
    <w:rsid w:val="4EEF29BB"/>
    <w:rsid w:val="4F7BF497"/>
    <w:rsid w:val="4F7E6DA5"/>
    <w:rsid w:val="4FBB958A"/>
    <w:rsid w:val="4FBDADC8"/>
    <w:rsid w:val="4FD74ACC"/>
    <w:rsid w:val="4FF46B37"/>
    <w:rsid w:val="4FFBAC9D"/>
    <w:rsid w:val="500736A0"/>
    <w:rsid w:val="503B103B"/>
    <w:rsid w:val="5050538F"/>
    <w:rsid w:val="512E0303"/>
    <w:rsid w:val="51D75ED3"/>
    <w:rsid w:val="52743968"/>
    <w:rsid w:val="530748AA"/>
    <w:rsid w:val="533E5C65"/>
    <w:rsid w:val="537DE542"/>
    <w:rsid w:val="538E3AD1"/>
    <w:rsid w:val="538E7ED0"/>
    <w:rsid w:val="53FFE21F"/>
    <w:rsid w:val="547F7CFA"/>
    <w:rsid w:val="54C6578D"/>
    <w:rsid w:val="54EE7D41"/>
    <w:rsid w:val="55A87015"/>
    <w:rsid w:val="55B214D7"/>
    <w:rsid w:val="55FFEC09"/>
    <w:rsid w:val="56390221"/>
    <w:rsid w:val="56501B9C"/>
    <w:rsid w:val="56B3B432"/>
    <w:rsid w:val="56BF5DE1"/>
    <w:rsid w:val="56FBCBEF"/>
    <w:rsid w:val="57712235"/>
    <w:rsid w:val="57930EA2"/>
    <w:rsid w:val="57D73424"/>
    <w:rsid w:val="57EB987F"/>
    <w:rsid w:val="57F72CB6"/>
    <w:rsid w:val="57F7FFDF"/>
    <w:rsid w:val="57FB11FD"/>
    <w:rsid w:val="57FC5C33"/>
    <w:rsid w:val="580679EB"/>
    <w:rsid w:val="58463DF3"/>
    <w:rsid w:val="58A334CB"/>
    <w:rsid w:val="590837E9"/>
    <w:rsid w:val="595E394E"/>
    <w:rsid w:val="59AEAB1E"/>
    <w:rsid w:val="59DFE2F9"/>
    <w:rsid w:val="59F19D15"/>
    <w:rsid w:val="5A4017EE"/>
    <w:rsid w:val="5A7C108E"/>
    <w:rsid w:val="5AAA060E"/>
    <w:rsid w:val="5AE7FEF3"/>
    <w:rsid w:val="5AFFDB19"/>
    <w:rsid w:val="5B26216E"/>
    <w:rsid w:val="5B3FA485"/>
    <w:rsid w:val="5B640DB5"/>
    <w:rsid w:val="5B9531DB"/>
    <w:rsid w:val="5BB16861"/>
    <w:rsid w:val="5BB53817"/>
    <w:rsid w:val="5BE9381F"/>
    <w:rsid w:val="5BEF561B"/>
    <w:rsid w:val="5BFB00CD"/>
    <w:rsid w:val="5C3F6100"/>
    <w:rsid w:val="5C7BE46C"/>
    <w:rsid w:val="5C9C2A1D"/>
    <w:rsid w:val="5CDA733D"/>
    <w:rsid w:val="5D1FE9B9"/>
    <w:rsid w:val="5D6D170F"/>
    <w:rsid w:val="5D7DA08E"/>
    <w:rsid w:val="5D8C60F4"/>
    <w:rsid w:val="5DADB071"/>
    <w:rsid w:val="5DAF9677"/>
    <w:rsid w:val="5DDF11AC"/>
    <w:rsid w:val="5DE75D41"/>
    <w:rsid w:val="5DEE3896"/>
    <w:rsid w:val="5DEFAF62"/>
    <w:rsid w:val="5DFAC4DC"/>
    <w:rsid w:val="5DFCC0AF"/>
    <w:rsid w:val="5DFDCB88"/>
    <w:rsid w:val="5DFEB1B3"/>
    <w:rsid w:val="5E122951"/>
    <w:rsid w:val="5E6E0D0C"/>
    <w:rsid w:val="5E940777"/>
    <w:rsid w:val="5EAF4465"/>
    <w:rsid w:val="5EBF4CDB"/>
    <w:rsid w:val="5ED76B26"/>
    <w:rsid w:val="5EDF6D0E"/>
    <w:rsid w:val="5EE57188"/>
    <w:rsid w:val="5F0D725D"/>
    <w:rsid w:val="5F190DDA"/>
    <w:rsid w:val="5F3B564C"/>
    <w:rsid w:val="5F3EBE45"/>
    <w:rsid w:val="5F4FCB8C"/>
    <w:rsid w:val="5F5E022E"/>
    <w:rsid w:val="5F5F0A3E"/>
    <w:rsid w:val="5F643CCB"/>
    <w:rsid w:val="5F6497B5"/>
    <w:rsid w:val="5F683235"/>
    <w:rsid w:val="5F7BF44E"/>
    <w:rsid w:val="5F7DC7D1"/>
    <w:rsid w:val="5F7E8FAE"/>
    <w:rsid w:val="5F7EFBCD"/>
    <w:rsid w:val="5F7F1FB1"/>
    <w:rsid w:val="5F9F5BFA"/>
    <w:rsid w:val="5FA7E5F9"/>
    <w:rsid w:val="5FB76FFD"/>
    <w:rsid w:val="5FCF408C"/>
    <w:rsid w:val="5FCF8A36"/>
    <w:rsid w:val="5FD67BC5"/>
    <w:rsid w:val="5FDA59CB"/>
    <w:rsid w:val="5FDBB4A9"/>
    <w:rsid w:val="5FE8EB8C"/>
    <w:rsid w:val="5FECBB75"/>
    <w:rsid w:val="5FEFAAE1"/>
    <w:rsid w:val="5FFD1B9B"/>
    <w:rsid w:val="5FFE6AE2"/>
    <w:rsid w:val="5FFEC04C"/>
    <w:rsid w:val="5FFF22BB"/>
    <w:rsid w:val="5FFF6BA0"/>
    <w:rsid w:val="606ABF91"/>
    <w:rsid w:val="60825A37"/>
    <w:rsid w:val="609E6649"/>
    <w:rsid w:val="60E31CC7"/>
    <w:rsid w:val="61F8823D"/>
    <w:rsid w:val="6233322B"/>
    <w:rsid w:val="6274048D"/>
    <w:rsid w:val="63BEEAC4"/>
    <w:rsid w:val="647FB6F4"/>
    <w:rsid w:val="6497BDD7"/>
    <w:rsid w:val="64CF81B8"/>
    <w:rsid w:val="64D98556"/>
    <w:rsid w:val="64F21A9D"/>
    <w:rsid w:val="65BD6B43"/>
    <w:rsid w:val="65CBBEC7"/>
    <w:rsid w:val="65DBB81E"/>
    <w:rsid w:val="65E5C601"/>
    <w:rsid w:val="66276B33"/>
    <w:rsid w:val="667B6202"/>
    <w:rsid w:val="66BE43AE"/>
    <w:rsid w:val="66DF7F3B"/>
    <w:rsid w:val="67365B12"/>
    <w:rsid w:val="677996E1"/>
    <w:rsid w:val="677EF5F4"/>
    <w:rsid w:val="677F7EE4"/>
    <w:rsid w:val="67BB3F3B"/>
    <w:rsid w:val="67CBFE08"/>
    <w:rsid w:val="67D29154"/>
    <w:rsid w:val="67DF21BE"/>
    <w:rsid w:val="67EF1E8A"/>
    <w:rsid w:val="67EFBBBB"/>
    <w:rsid w:val="67FFA012"/>
    <w:rsid w:val="67FFA517"/>
    <w:rsid w:val="683755CB"/>
    <w:rsid w:val="689B27BB"/>
    <w:rsid w:val="69971412"/>
    <w:rsid w:val="69BBA61F"/>
    <w:rsid w:val="69EF9D6C"/>
    <w:rsid w:val="6A64148A"/>
    <w:rsid w:val="6A76A750"/>
    <w:rsid w:val="6ABF3567"/>
    <w:rsid w:val="6AD3CFA4"/>
    <w:rsid w:val="6AF2491D"/>
    <w:rsid w:val="6AF7CDDC"/>
    <w:rsid w:val="6AFBB243"/>
    <w:rsid w:val="6B48784C"/>
    <w:rsid w:val="6B5FC19B"/>
    <w:rsid w:val="6B66E548"/>
    <w:rsid w:val="6B7D0742"/>
    <w:rsid w:val="6B8F5BD1"/>
    <w:rsid w:val="6BD73154"/>
    <w:rsid w:val="6BFD0739"/>
    <w:rsid w:val="6BFE87C7"/>
    <w:rsid w:val="6BFF3143"/>
    <w:rsid w:val="6BFFF06D"/>
    <w:rsid w:val="6C027254"/>
    <w:rsid w:val="6C176C2D"/>
    <w:rsid w:val="6C9B2F1B"/>
    <w:rsid w:val="6CDC16CA"/>
    <w:rsid w:val="6CDE9BBF"/>
    <w:rsid w:val="6CEEFB6C"/>
    <w:rsid w:val="6CFDE3D9"/>
    <w:rsid w:val="6D313A57"/>
    <w:rsid w:val="6D637EC6"/>
    <w:rsid w:val="6DAF0AAC"/>
    <w:rsid w:val="6DCF8297"/>
    <w:rsid w:val="6DDF2565"/>
    <w:rsid w:val="6DEE19AB"/>
    <w:rsid w:val="6DF54B59"/>
    <w:rsid w:val="6DF7E2EC"/>
    <w:rsid w:val="6DFD14D4"/>
    <w:rsid w:val="6DFE5252"/>
    <w:rsid w:val="6DFEA0AA"/>
    <w:rsid w:val="6DFF7113"/>
    <w:rsid w:val="6DFF8A25"/>
    <w:rsid w:val="6E46739E"/>
    <w:rsid w:val="6E7F067A"/>
    <w:rsid w:val="6EBDDC90"/>
    <w:rsid w:val="6ECAB4E3"/>
    <w:rsid w:val="6ECB1B80"/>
    <w:rsid w:val="6ECE7314"/>
    <w:rsid w:val="6ED7348E"/>
    <w:rsid w:val="6EDD239C"/>
    <w:rsid w:val="6EE76F97"/>
    <w:rsid w:val="6EF5CB8E"/>
    <w:rsid w:val="6EFA8E61"/>
    <w:rsid w:val="6EFFCB96"/>
    <w:rsid w:val="6EFFDC49"/>
    <w:rsid w:val="6F133F6C"/>
    <w:rsid w:val="6F2FB053"/>
    <w:rsid w:val="6F3F9F45"/>
    <w:rsid w:val="6F58F130"/>
    <w:rsid w:val="6F5E433E"/>
    <w:rsid w:val="6F615109"/>
    <w:rsid w:val="6F735177"/>
    <w:rsid w:val="6F796A39"/>
    <w:rsid w:val="6F7F25B9"/>
    <w:rsid w:val="6F9B90A3"/>
    <w:rsid w:val="6F9F6808"/>
    <w:rsid w:val="6FAF7C23"/>
    <w:rsid w:val="6FB7AA55"/>
    <w:rsid w:val="6FBFE009"/>
    <w:rsid w:val="6FC70803"/>
    <w:rsid w:val="6FCD4DB0"/>
    <w:rsid w:val="6FCF99B9"/>
    <w:rsid w:val="6FDB7227"/>
    <w:rsid w:val="6FE20EA7"/>
    <w:rsid w:val="6FED2A25"/>
    <w:rsid w:val="6FEF8DBC"/>
    <w:rsid w:val="6FF27A2E"/>
    <w:rsid w:val="6FF7E9EE"/>
    <w:rsid w:val="6FFC68F4"/>
    <w:rsid w:val="6FFF3CF1"/>
    <w:rsid w:val="6FFF88F7"/>
    <w:rsid w:val="6FFFAAB2"/>
    <w:rsid w:val="70126C4D"/>
    <w:rsid w:val="70AE6BA7"/>
    <w:rsid w:val="70ED9C73"/>
    <w:rsid w:val="71146C8D"/>
    <w:rsid w:val="717FEAD9"/>
    <w:rsid w:val="71DF82D7"/>
    <w:rsid w:val="71E76416"/>
    <w:rsid w:val="71EF1D20"/>
    <w:rsid w:val="71F75308"/>
    <w:rsid w:val="71FDACB6"/>
    <w:rsid w:val="722B6294"/>
    <w:rsid w:val="722F1EB8"/>
    <w:rsid w:val="72CFCC9C"/>
    <w:rsid w:val="72FFEAAF"/>
    <w:rsid w:val="73BD072A"/>
    <w:rsid w:val="73DE0BD0"/>
    <w:rsid w:val="73EA8A1D"/>
    <w:rsid w:val="73FEB562"/>
    <w:rsid w:val="73FF30D6"/>
    <w:rsid w:val="743F3A42"/>
    <w:rsid w:val="746058BD"/>
    <w:rsid w:val="74727280"/>
    <w:rsid w:val="74B9D1FF"/>
    <w:rsid w:val="7573110B"/>
    <w:rsid w:val="757D3C0C"/>
    <w:rsid w:val="75BB01EC"/>
    <w:rsid w:val="75DFB8EB"/>
    <w:rsid w:val="75F798FF"/>
    <w:rsid w:val="75FDC1B4"/>
    <w:rsid w:val="75FF0F53"/>
    <w:rsid w:val="760B5A6A"/>
    <w:rsid w:val="761ABDC0"/>
    <w:rsid w:val="763DBC23"/>
    <w:rsid w:val="764F292A"/>
    <w:rsid w:val="764F2F6D"/>
    <w:rsid w:val="767F9574"/>
    <w:rsid w:val="76CB553E"/>
    <w:rsid w:val="76D961D7"/>
    <w:rsid w:val="76FB9BD7"/>
    <w:rsid w:val="76FEF82E"/>
    <w:rsid w:val="77160A92"/>
    <w:rsid w:val="77595339"/>
    <w:rsid w:val="776F9B31"/>
    <w:rsid w:val="777F59B7"/>
    <w:rsid w:val="778F03BE"/>
    <w:rsid w:val="77AA3248"/>
    <w:rsid w:val="77AE9B9B"/>
    <w:rsid w:val="77B9C990"/>
    <w:rsid w:val="77DF9DCB"/>
    <w:rsid w:val="77E2B723"/>
    <w:rsid w:val="77EAE132"/>
    <w:rsid w:val="77EB225D"/>
    <w:rsid w:val="77EFA6C1"/>
    <w:rsid w:val="77F50F1B"/>
    <w:rsid w:val="77F737BD"/>
    <w:rsid w:val="77FB26DC"/>
    <w:rsid w:val="77FC5075"/>
    <w:rsid w:val="77FDEA60"/>
    <w:rsid w:val="77FDF57C"/>
    <w:rsid w:val="77FE984F"/>
    <w:rsid w:val="77FF3A94"/>
    <w:rsid w:val="77FFE031"/>
    <w:rsid w:val="783A9350"/>
    <w:rsid w:val="78423D13"/>
    <w:rsid w:val="786625C1"/>
    <w:rsid w:val="78BFE71E"/>
    <w:rsid w:val="78EA67CE"/>
    <w:rsid w:val="797FCF2F"/>
    <w:rsid w:val="79AF2782"/>
    <w:rsid w:val="79D8F9BD"/>
    <w:rsid w:val="79ED3711"/>
    <w:rsid w:val="79FB95F8"/>
    <w:rsid w:val="79FCB030"/>
    <w:rsid w:val="79FEA0F1"/>
    <w:rsid w:val="79FF5F25"/>
    <w:rsid w:val="7A383883"/>
    <w:rsid w:val="7A5F2438"/>
    <w:rsid w:val="7AB5C788"/>
    <w:rsid w:val="7ABB2E41"/>
    <w:rsid w:val="7AC7FFFC"/>
    <w:rsid w:val="7AD71DEF"/>
    <w:rsid w:val="7ADB5FA8"/>
    <w:rsid w:val="7ADB6072"/>
    <w:rsid w:val="7AF72DA7"/>
    <w:rsid w:val="7AFE7BB9"/>
    <w:rsid w:val="7AFF5990"/>
    <w:rsid w:val="7B0B2CBC"/>
    <w:rsid w:val="7B294E15"/>
    <w:rsid w:val="7B4DF754"/>
    <w:rsid w:val="7B97C7EC"/>
    <w:rsid w:val="7BA6E560"/>
    <w:rsid w:val="7BB10551"/>
    <w:rsid w:val="7BB367F5"/>
    <w:rsid w:val="7BBFFE9D"/>
    <w:rsid w:val="7BDB6C82"/>
    <w:rsid w:val="7BDE9FE4"/>
    <w:rsid w:val="7BE1525C"/>
    <w:rsid w:val="7BE33D5A"/>
    <w:rsid w:val="7BF75266"/>
    <w:rsid w:val="7BF7A9D7"/>
    <w:rsid w:val="7BFB5772"/>
    <w:rsid w:val="7BFD1290"/>
    <w:rsid w:val="7BFDA493"/>
    <w:rsid w:val="7BFEDC3F"/>
    <w:rsid w:val="7BFF4DC6"/>
    <w:rsid w:val="7BFF69C9"/>
    <w:rsid w:val="7BFF7A4B"/>
    <w:rsid w:val="7BFFA718"/>
    <w:rsid w:val="7C1977A8"/>
    <w:rsid w:val="7C32BA45"/>
    <w:rsid w:val="7C4C2E35"/>
    <w:rsid w:val="7C5F07AE"/>
    <w:rsid w:val="7C5F70B7"/>
    <w:rsid w:val="7C7A1DDA"/>
    <w:rsid w:val="7C7F6047"/>
    <w:rsid w:val="7C992F21"/>
    <w:rsid w:val="7CAA1482"/>
    <w:rsid w:val="7CAE4944"/>
    <w:rsid w:val="7CB4039B"/>
    <w:rsid w:val="7CE5A62E"/>
    <w:rsid w:val="7CED0F0D"/>
    <w:rsid w:val="7CF6457B"/>
    <w:rsid w:val="7CFF8AC5"/>
    <w:rsid w:val="7D1F0F5A"/>
    <w:rsid w:val="7D2FE12E"/>
    <w:rsid w:val="7D6AB12F"/>
    <w:rsid w:val="7D6E736C"/>
    <w:rsid w:val="7D6FFE28"/>
    <w:rsid w:val="7D78CAFA"/>
    <w:rsid w:val="7D7B66AA"/>
    <w:rsid w:val="7D7C112C"/>
    <w:rsid w:val="7D7F07B2"/>
    <w:rsid w:val="7D97A6DC"/>
    <w:rsid w:val="7D9E3215"/>
    <w:rsid w:val="7DAB27FE"/>
    <w:rsid w:val="7DB96489"/>
    <w:rsid w:val="7DBB7344"/>
    <w:rsid w:val="7DBBB84D"/>
    <w:rsid w:val="7DBD797D"/>
    <w:rsid w:val="7DBFF487"/>
    <w:rsid w:val="7DD6C59C"/>
    <w:rsid w:val="7DDBEFD6"/>
    <w:rsid w:val="7DDF8DD3"/>
    <w:rsid w:val="7DEB5E24"/>
    <w:rsid w:val="7DEEA260"/>
    <w:rsid w:val="7DF7FA69"/>
    <w:rsid w:val="7DFF17DB"/>
    <w:rsid w:val="7DFF3412"/>
    <w:rsid w:val="7E3F3E2F"/>
    <w:rsid w:val="7E5F44D2"/>
    <w:rsid w:val="7E7A8C24"/>
    <w:rsid w:val="7E7FE011"/>
    <w:rsid w:val="7E976B8E"/>
    <w:rsid w:val="7E99450F"/>
    <w:rsid w:val="7E9F65EF"/>
    <w:rsid w:val="7EA6F4D0"/>
    <w:rsid w:val="7EBBF8AB"/>
    <w:rsid w:val="7ED74442"/>
    <w:rsid w:val="7EDB0CBC"/>
    <w:rsid w:val="7EDB9DC8"/>
    <w:rsid w:val="7EEDB958"/>
    <w:rsid w:val="7EEF4590"/>
    <w:rsid w:val="7EF3D7CC"/>
    <w:rsid w:val="7EF77678"/>
    <w:rsid w:val="7EFC4C37"/>
    <w:rsid w:val="7EFE50CB"/>
    <w:rsid w:val="7EFE6B23"/>
    <w:rsid w:val="7EFF0B6F"/>
    <w:rsid w:val="7EFF7B69"/>
    <w:rsid w:val="7EFFE6A8"/>
    <w:rsid w:val="7F075BC0"/>
    <w:rsid w:val="7F0B1FF2"/>
    <w:rsid w:val="7F0F1DA7"/>
    <w:rsid w:val="7F174713"/>
    <w:rsid w:val="7F1D3D5E"/>
    <w:rsid w:val="7F1E259A"/>
    <w:rsid w:val="7F1F6E1F"/>
    <w:rsid w:val="7F2B921D"/>
    <w:rsid w:val="7F571E67"/>
    <w:rsid w:val="7F5F55A6"/>
    <w:rsid w:val="7F5F5D8D"/>
    <w:rsid w:val="7F5F8489"/>
    <w:rsid w:val="7F6481B7"/>
    <w:rsid w:val="7F6BB1F7"/>
    <w:rsid w:val="7F6E9AC4"/>
    <w:rsid w:val="7F6F0251"/>
    <w:rsid w:val="7F6FFC9A"/>
    <w:rsid w:val="7F751BA6"/>
    <w:rsid w:val="7F778ADE"/>
    <w:rsid w:val="7F790518"/>
    <w:rsid w:val="7F7B16B6"/>
    <w:rsid w:val="7F7B2A8A"/>
    <w:rsid w:val="7F7BCEC0"/>
    <w:rsid w:val="7F7CBD32"/>
    <w:rsid w:val="7F7F4F9B"/>
    <w:rsid w:val="7F7F7D25"/>
    <w:rsid w:val="7F7FCE60"/>
    <w:rsid w:val="7F7FDCC5"/>
    <w:rsid w:val="7F8F02C3"/>
    <w:rsid w:val="7F9BF628"/>
    <w:rsid w:val="7F9F9A25"/>
    <w:rsid w:val="7FB498EB"/>
    <w:rsid w:val="7FB5E271"/>
    <w:rsid w:val="7FB725F3"/>
    <w:rsid w:val="7FB73A99"/>
    <w:rsid w:val="7FBC9B9D"/>
    <w:rsid w:val="7FBCCB97"/>
    <w:rsid w:val="7FBF6F5C"/>
    <w:rsid w:val="7FBFEAD1"/>
    <w:rsid w:val="7FBFEEEA"/>
    <w:rsid w:val="7FCA25C7"/>
    <w:rsid w:val="7FCF3F45"/>
    <w:rsid w:val="7FD740A6"/>
    <w:rsid w:val="7FDB2374"/>
    <w:rsid w:val="7FDC2C7D"/>
    <w:rsid w:val="7FDD13A4"/>
    <w:rsid w:val="7FDD90C2"/>
    <w:rsid w:val="7FDE254A"/>
    <w:rsid w:val="7FDEC9C7"/>
    <w:rsid w:val="7FDF5695"/>
    <w:rsid w:val="7FDF670E"/>
    <w:rsid w:val="7FEB104A"/>
    <w:rsid w:val="7FEB60B0"/>
    <w:rsid w:val="7FEB6E46"/>
    <w:rsid w:val="7FED6913"/>
    <w:rsid w:val="7FEEBFF1"/>
    <w:rsid w:val="7FEED4FB"/>
    <w:rsid w:val="7FEF22CB"/>
    <w:rsid w:val="7FF2AAFA"/>
    <w:rsid w:val="7FF2FD5E"/>
    <w:rsid w:val="7FF30E83"/>
    <w:rsid w:val="7FF3F163"/>
    <w:rsid w:val="7FF65232"/>
    <w:rsid w:val="7FF86BBF"/>
    <w:rsid w:val="7FFB14ED"/>
    <w:rsid w:val="7FFB3EF3"/>
    <w:rsid w:val="7FFB8B13"/>
    <w:rsid w:val="7FFC5239"/>
    <w:rsid w:val="7FFD47DB"/>
    <w:rsid w:val="7FFDD731"/>
    <w:rsid w:val="7FFE7725"/>
    <w:rsid w:val="7FFED17E"/>
    <w:rsid w:val="7FFF5823"/>
    <w:rsid w:val="7FFF65BB"/>
    <w:rsid w:val="7FFF8EAB"/>
    <w:rsid w:val="7FFF95BF"/>
    <w:rsid w:val="7FFF9795"/>
    <w:rsid w:val="7FFFC8EC"/>
    <w:rsid w:val="7FFFCB03"/>
    <w:rsid w:val="7FFFEDF2"/>
    <w:rsid w:val="83BFD64C"/>
    <w:rsid w:val="865F0948"/>
    <w:rsid w:val="87E76729"/>
    <w:rsid w:val="88EFDD46"/>
    <w:rsid w:val="8BDD2D11"/>
    <w:rsid w:val="8BFB81A2"/>
    <w:rsid w:val="8DB92E08"/>
    <w:rsid w:val="8F1DA4C1"/>
    <w:rsid w:val="8F5CD62F"/>
    <w:rsid w:val="93F73735"/>
    <w:rsid w:val="947A5510"/>
    <w:rsid w:val="957CEC5C"/>
    <w:rsid w:val="97F91B66"/>
    <w:rsid w:val="97FF75D9"/>
    <w:rsid w:val="97FFCF6F"/>
    <w:rsid w:val="9A67B193"/>
    <w:rsid w:val="9A9B3806"/>
    <w:rsid w:val="9AFE503D"/>
    <w:rsid w:val="9B7CA2F4"/>
    <w:rsid w:val="9B933EA7"/>
    <w:rsid w:val="9BAF34C6"/>
    <w:rsid w:val="9BFFE5D9"/>
    <w:rsid w:val="9CAF1639"/>
    <w:rsid w:val="9CED2955"/>
    <w:rsid w:val="9CEFCE36"/>
    <w:rsid w:val="9D7D666A"/>
    <w:rsid w:val="9DFFAC36"/>
    <w:rsid w:val="9E3ECBEE"/>
    <w:rsid w:val="9E4F1123"/>
    <w:rsid w:val="9EEFC51B"/>
    <w:rsid w:val="9EF952AE"/>
    <w:rsid w:val="9EFA0FFD"/>
    <w:rsid w:val="9EFFDECA"/>
    <w:rsid w:val="9F6FE640"/>
    <w:rsid w:val="9F94998B"/>
    <w:rsid w:val="9F9DBB0C"/>
    <w:rsid w:val="9FBE6AB9"/>
    <w:rsid w:val="9FBE7698"/>
    <w:rsid w:val="9FC7FCA5"/>
    <w:rsid w:val="9FDFA5FE"/>
    <w:rsid w:val="9FFDCDEE"/>
    <w:rsid w:val="9FFFF9D6"/>
    <w:rsid w:val="A26DFE41"/>
    <w:rsid w:val="A4BED7D7"/>
    <w:rsid w:val="A5CF3A02"/>
    <w:rsid w:val="A6B5B875"/>
    <w:rsid w:val="A6BBBF37"/>
    <w:rsid w:val="A77FECDB"/>
    <w:rsid w:val="AACDDC5C"/>
    <w:rsid w:val="ABBFB5A3"/>
    <w:rsid w:val="ABFEC53C"/>
    <w:rsid w:val="ADAEF28F"/>
    <w:rsid w:val="ADDEB295"/>
    <w:rsid w:val="ADEFB8F4"/>
    <w:rsid w:val="AE1E3A1A"/>
    <w:rsid w:val="AE3AF747"/>
    <w:rsid w:val="AF7F17C5"/>
    <w:rsid w:val="AF8FFBFD"/>
    <w:rsid w:val="AFA64DFC"/>
    <w:rsid w:val="AFB6AD3A"/>
    <w:rsid w:val="AFDEBD6E"/>
    <w:rsid w:val="AFF1A459"/>
    <w:rsid w:val="AFF90A9E"/>
    <w:rsid w:val="AFFB7E36"/>
    <w:rsid w:val="AFFF6A00"/>
    <w:rsid w:val="B0F748BA"/>
    <w:rsid w:val="B0FEF6B6"/>
    <w:rsid w:val="B1FF8D4E"/>
    <w:rsid w:val="B2EE62AA"/>
    <w:rsid w:val="B36E5179"/>
    <w:rsid w:val="B3F29275"/>
    <w:rsid w:val="B3F7B197"/>
    <w:rsid w:val="B3FCA770"/>
    <w:rsid w:val="B3FF2768"/>
    <w:rsid w:val="B57B28D5"/>
    <w:rsid w:val="B58F3BB5"/>
    <w:rsid w:val="B5DE82AA"/>
    <w:rsid w:val="B5EC47C0"/>
    <w:rsid w:val="B5EFF886"/>
    <w:rsid w:val="B6571943"/>
    <w:rsid w:val="B67F5C11"/>
    <w:rsid w:val="B6EF4211"/>
    <w:rsid w:val="B6FA68BE"/>
    <w:rsid w:val="B715923B"/>
    <w:rsid w:val="B776F3D5"/>
    <w:rsid w:val="B77B0FA3"/>
    <w:rsid w:val="B77B6F60"/>
    <w:rsid w:val="B77F5244"/>
    <w:rsid w:val="B7CF5A26"/>
    <w:rsid w:val="B7ED04B2"/>
    <w:rsid w:val="B7FB7BA5"/>
    <w:rsid w:val="B9B7335F"/>
    <w:rsid w:val="B9FE7C18"/>
    <w:rsid w:val="BAD3055B"/>
    <w:rsid w:val="BAF6A80D"/>
    <w:rsid w:val="BAFEA682"/>
    <w:rsid w:val="BB3A48BB"/>
    <w:rsid w:val="BB5F8ED4"/>
    <w:rsid w:val="BBFBEB5E"/>
    <w:rsid w:val="BC999329"/>
    <w:rsid w:val="BD50C970"/>
    <w:rsid w:val="BD5B5AAB"/>
    <w:rsid w:val="BD5E2A4D"/>
    <w:rsid w:val="BD7D08EA"/>
    <w:rsid w:val="BDDBBEBC"/>
    <w:rsid w:val="BDE7E7F3"/>
    <w:rsid w:val="BDEE64A5"/>
    <w:rsid w:val="BDF7276A"/>
    <w:rsid w:val="BDFFEBF0"/>
    <w:rsid w:val="BE62DA3C"/>
    <w:rsid w:val="BE732394"/>
    <w:rsid w:val="BE7F1684"/>
    <w:rsid w:val="BEBCE093"/>
    <w:rsid w:val="BEBFB6AA"/>
    <w:rsid w:val="BEF1CF7F"/>
    <w:rsid w:val="BEF6429D"/>
    <w:rsid w:val="BEF93BF3"/>
    <w:rsid w:val="BEFED930"/>
    <w:rsid w:val="BEFF17BE"/>
    <w:rsid w:val="BEFFBFFC"/>
    <w:rsid w:val="BEFFFF39"/>
    <w:rsid w:val="BF5EEA74"/>
    <w:rsid w:val="BF779D8E"/>
    <w:rsid w:val="BF7F0CD6"/>
    <w:rsid w:val="BF7F10E1"/>
    <w:rsid w:val="BF7F1966"/>
    <w:rsid w:val="BF9B9225"/>
    <w:rsid w:val="BF9FC674"/>
    <w:rsid w:val="BFB3CDA1"/>
    <w:rsid w:val="BFBB6F5E"/>
    <w:rsid w:val="BFBEF1B1"/>
    <w:rsid w:val="BFBFD05B"/>
    <w:rsid w:val="BFC77E5F"/>
    <w:rsid w:val="BFCA4A4B"/>
    <w:rsid w:val="BFDAB7B1"/>
    <w:rsid w:val="BFDBBD83"/>
    <w:rsid w:val="BFEF5F06"/>
    <w:rsid w:val="BFEF7109"/>
    <w:rsid w:val="BFF34CA3"/>
    <w:rsid w:val="BFF46BAC"/>
    <w:rsid w:val="BFF479AD"/>
    <w:rsid w:val="BFF5C3A8"/>
    <w:rsid w:val="BFF6F5D0"/>
    <w:rsid w:val="BFFEAF31"/>
    <w:rsid w:val="BFFF9A57"/>
    <w:rsid w:val="C5DC0E3F"/>
    <w:rsid w:val="C66B9FEB"/>
    <w:rsid w:val="C7BDA248"/>
    <w:rsid w:val="C7D72C8A"/>
    <w:rsid w:val="C8BEB855"/>
    <w:rsid w:val="CB6490A2"/>
    <w:rsid w:val="CB9A93B2"/>
    <w:rsid w:val="CBD39841"/>
    <w:rsid w:val="CBDB22A3"/>
    <w:rsid w:val="CBFF77AE"/>
    <w:rsid w:val="CD5D91C3"/>
    <w:rsid w:val="CE47082E"/>
    <w:rsid w:val="CEA92C04"/>
    <w:rsid w:val="CEFB3173"/>
    <w:rsid w:val="CEFD6FD5"/>
    <w:rsid w:val="CEFF4050"/>
    <w:rsid w:val="CEFF5149"/>
    <w:rsid w:val="CF4BBE3F"/>
    <w:rsid w:val="CF64B160"/>
    <w:rsid w:val="CF656061"/>
    <w:rsid w:val="CF7E832A"/>
    <w:rsid w:val="CF7EF2D1"/>
    <w:rsid w:val="CFCA55ED"/>
    <w:rsid w:val="CFD5B1AD"/>
    <w:rsid w:val="CFDDB635"/>
    <w:rsid w:val="CFDE9DF3"/>
    <w:rsid w:val="CFEF09AF"/>
    <w:rsid w:val="CFEFCFAE"/>
    <w:rsid w:val="CFF57357"/>
    <w:rsid w:val="CFFE7D40"/>
    <w:rsid w:val="CFFF9AF5"/>
    <w:rsid w:val="CFFFED6A"/>
    <w:rsid w:val="D1339C79"/>
    <w:rsid w:val="D2FC0B8E"/>
    <w:rsid w:val="D30F8CB5"/>
    <w:rsid w:val="D31FFE88"/>
    <w:rsid w:val="D36C18D8"/>
    <w:rsid w:val="D3FEFBEF"/>
    <w:rsid w:val="D567CE78"/>
    <w:rsid w:val="D5FBCDB7"/>
    <w:rsid w:val="D667971C"/>
    <w:rsid w:val="D6E4FEA2"/>
    <w:rsid w:val="D6F723CD"/>
    <w:rsid w:val="D6FFB27C"/>
    <w:rsid w:val="D71AC84C"/>
    <w:rsid w:val="D73D97C9"/>
    <w:rsid w:val="D75E0D0B"/>
    <w:rsid w:val="D77F2315"/>
    <w:rsid w:val="D7CFA427"/>
    <w:rsid w:val="D7DA153C"/>
    <w:rsid w:val="D7DCCD67"/>
    <w:rsid w:val="D7DE9A82"/>
    <w:rsid w:val="D7EBB7B4"/>
    <w:rsid w:val="D7EF2406"/>
    <w:rsid w:val="D7FF01A0"/>
    <w:rsid w:val="D87FD8D7"/>
    <w:rsid w:val="D8DC649D"/>
    <w:rsid w:val="D92F890E"/>
    <w:rsid w:val="D9775417"/>
    <w:rsid w:val="D9DF5DBE"/>
    <w:rsid w:val="D9F7F80C"/>
    <w:rsid w:val="D9FDB461"/>
    <w:rsid w:val="DA1D5E1E"/>
    <w:rsid w:val="DA5FB176"/>
    <w:rsid w:val="DAAB7AA4"/>
    <w:rsid w:val="DAEDC090"/>
    <w:rsid w:val="DB73F3A3"/>
    <w:rsid w:val="DBFE44CC"/>
    <w:rsid w:val="DBFE8A31"/>
    <w:rsid w:val="DCFB9A6D"/>
    <w:rsid w:val="DD39FABE"/>
    <w:rsid w:val="DD79D06D"/>
    <w:rsid w:val="DDDB7160"/>
    <w:rsid w:val="DDDD5041"/>
    <w:rsid w:val="DDEF463F"/>
    <w:rsid w:val="DDF79BF9"/>
    <w:rsid w:val="DDF7AC06"/>
    <w:rsid w:val="DDF8F1A5"/>
    <w:rsid w:val="DDFE7CCC"/>
    <w:rsid w:val="DE37894B"/>
    <w:rsid w:val="DE7CBE08"/>
    <w:rsid w:val="DEBB51CB"/>
    <w:rsid w:val="DEDBCFA8"/>
    <w:rsid w:val="DEE31FCB"/>
    <w:rsid w:val="DEFF9A39"/>
    <w:rsid w:val="DF13C9E3"/>
    <w:rsid w:val="DF357310"/>
    <w:rsid w:val="DF5B5945"/>
    <w:rsid w:val="DF6F8B6A"/>
    <w:rsid w:val="DF6FEB77"/>
    <w:rsid w:val="DF6FFF27"/>
    <w:rsid w:val="DF7B0560"/>
    <w:rsid w:val="DF7DAD96"/>
    <w:rsid w:val="DF7E0415"/>
    <w:rsid w:val="DF8DEDFC"/>
    <w:rsid w:val="DF97C28B"/>
    <w:rsid w:val="DFB6AE9C"/>
    <w:rsid w:val="DFC9C963"/>
    <w:rsid w:val="DFD2793F"/>
    <w:rsid w:val="DFD4D46E"/>
    <w:rsid w:val="DFDBE325"/>
    <w:rsid w:val="DFDDCB3E"/>
    <w:rsid w:val="DFDE1A02"/>
    <w:rsid w:val="DFDF7368"/>
    <w:rsid w:val="DFEB8292"/>
    <w:rsid w:val="DFF78F27"/>
    <w:rsid w:val="DFF96272"/>
    <w:rsid w:val="DFF994AD"/>
    <w:rsid w:val="DFFEF938"/>
    <w:rsid w:val="DFFF0A2F"/>
    <w:rsid w:val="DFFF797A"/>
    <w:rsid w:val="DFFFAD01"/>
    <w:rsid w:val="E1F3F0CE"/>
    <w:rsid w:val="E1F4654E"/>
    <w:rsid w:val="E2FFD23E"/>
    <w:rsid w:val="E32DBE6E"/>
    <w:rsid w:val="E377F8F3"/>
    <w:rsid w:val="E3AD1835"/>
    <w:rsid w:val="E3BFEF14"/>
    <w:rsid w:val="E3F68DE5"/>
    <w:rsid w:val="E4D321EB"/>
    <w:rsid w:val="E4DC9553"/>
    <w:rsid w:val="E5F7A8B6"/>
    <w:rsid w:val="E5F94DFB"/>
    <w:rsid w:val="E6974AE4"/>
    <w:rsid w:val="E6BD1C4C"/>
    <w:rsid w:val="E6DB6CAA"/>
    <w:rsid w:val="E6ED7800"/>
    <w:rsid w:val="E6EF50A9"/>
    <w:rsid w:val="E75B2F4E"/>
    <w:rsid w:val="E7778BA4"/>
    <w:rsid w:val="E77FB12E"/>
    <w:rsid w:val="E7B58720"/>
    <w:rsid w:val="E7D56EF7"/>
    <w:rsid w:val="E7DFA9D7"/>
    <w:rsid w:val="E7F78DBA"/>
    <w:rsid w:val="E8FFB8F4"/>
    <w:rsid w:val="E9B7E745"/>
    <w:rsid w:val="EA7F8EE7"/>
    <w:rsid w:val="EAB518B0"/>
    <w:rsid w:val="EAF94FAB"/>
    <w:rsid w:val="EB4F03C4"/>
    <w:rsid w:val="EB5FB8FF"/>
    <w:rsid w:val="EB7DADF7"/>
    <w:rsid w:val="EBB330BD"/>
    <w:rsid w:val="EBBEEBC0"/>
    <w:rsid w:val="EBBFFDFC"/>
    <w:rsid w:val="EBDE82E4"/>
    <w:rsid w:val="EBDEA5CC"/>
    <w:rsid w:val="EBEBE157"/>
    <w:rsid w:val="EBF95E81"/>
    <w:rsid w:val="EC3BF733"/>
    <w:rsid w:val="ECD25E0C"/>
    <w:rsid w:val="ECDAF89C"/>
    <w:rsid w:val="ECFF25E8"/>
    <w:rsid w:val="ED577024"/>
    <w:rsid w:val="ED5FA988"/>
    <w:rsid w:val="ED5FED7D"/>
    <w:rsid w:val="ED77E293"/>
    <w:rsid w:val="ED7BABEA"/>
    <w:rsid w:val="ED8EE9BA"/>
    <w:rsid w:val="EDE72ECC"/>
    <w:rsid w:val="EDEFA37C"/>
    <w:rsid w:val="EDFB8758"/>
    <w:rsid w:val="EDFCB815"/>
    <w:rsid w:val="EE37BC0D"/>
    <w:rsid w:val="EE7E9BC6"/>
    <w:rsid w:val="EE9B89A4"/>
    <w:rsid w:val="EEAF4233"/>
    <w:rsid w:val="EEBE5B2F"/>
    <w:rsid w:val="EED759A7"/>
    <w:rsid w:val="EEF7E284"/>
    <w:rsid w:val="EEFE9A53"/>
    <w:rsid w:val="EF35808D"/>
    <w:rsid w:val="EF3596C0"/>
    <w:rsid w:val="EF5F549F"/>
    <w:rsid w:val="EF7E9546"/>
    <w:rsid w:val="EF7F0D12"/>
    <w:rsid w:val="EF995AC1"/>
    <w:rsid w:val="EF9FCBAF"/>
    <w:rsid w:val="EFA70C80"/>
    <w:rsid w:val="EFAD5772"/>
    <w:rsid w:val="EFB37416"/>
    <w:rsid w:val="EFBE5199"/>
    <w:rsid w:val="EFCA7C54"/>
    <w:rsid w:val="EFCB5822"/>
    <w:rsid w:val="EFDD2462"/>
    <w:rsid w:val="EFF38F7F"/>
    <w:rsid w:val="EFF7E79C"/>
    <w:rsid w:val="EFF7EEC4"/>
    <w:rsid w:val="EFFC930C"/>
    <w:rsid w:val="EFFD14C7"/>
    <w:rsid w:val="EFFD19B5"/>
    <w:rsid w:val="EFFE0E91"/>
    <w:rsid w:val="EFFE1072"/>
    <w:rsid w:val="EFFE4854"/>
    <w:rsid w:val="EFFE9ADB"/>
    <w:rsid w:val="EFFFBF8B"/>
    <w:rsid w:val="EFFFDEA6"/>
    <w:rsid w:val="EFFFF8D3"/>
    <w:rsid w:val="EFFFFB17"/>
    <w:rsid w:val="F0F5519B"/>
    <w:rsid w:val="F167CAB1"/>
    <w:rsid w:val="F1BFE9ED"/>
    <w:rsid w:val="F1E37086"/>
    <w:rsid w:val="F1ED405F"/>
    <w:rsid w:val="F27BD834"/>
    <w:rsid w:val="F2BF58D8"/>
    <w:rsid w:val="F2FB57BD"/>
    <w:rsid w:val="F2FF7BA2"/>
    <w:rsid w:val="F31FC317"/>
    <w:rsid w:val="F37F4FEE"/>
    <w:rsid w:val="F39B163C"/>
    <w:rsid w:val="F3BE7DE3"/>
    <w:rsid w:val="F3DFC48A"/>
    <w:rsid w:val="F3DFCAE4"/>
    <w:rsid w:val="F3DFF222"/>
    <w:rsid w:val="F3EB2583"/>
    <w:rsid w:val="F3FD1286"/>
    <w:rsid w:val="F47D5AF7"/>
    <w:rsid w:val="F4BF0967"/>
    <w:rsid w:val="F4BFB974"/>
    <w:rsid w:val="F56F22EA"/>
    <w:rsid w:val="F56F86AE"/>
    <w:rsid w:val="F578C90D"/>
    <w:rsid w:val="F57FF291"/>
    <w:rsid w:val="F5BA7558"/>
    <w:rsid w:val="F5C7FA36"/>
    <w:rsid w:val="F5ED3376"/>
    <w:rsid w:val="F5EFA01E"/>
    <w:rsid w:val="F5F87707"/>
    <w:rsid w:val="F5F9F206"/>
    <w:rsid w:val="F5FF167F"/>
    <w:rsid w:val="F5FF8AA0"/>
    <w:rsid w:val="F5FFAC7B"/>
    <w:rsid w:val="F5FFB075"/>
    <w:rsid w:val="F5FFEF8A"/>
    <w:rsid w:val="F6BB0101"/>
    <w:rsid w:val="F6FC556E"/>
    <w:rsid w:val="F6FDDB1D"/>
    <w:rsid w:val="F6FF8109"/>
    <w:rsid w:val="F6FFB558"/>
    <w:rsid w:val="F73291CF"/>
    <w:rsid w:val="F75EF2F1"/>
    <w:rsid w:val="F76749FE"/>
    <w:rsid w:val="F77D5A68"/>
    <w:rsid w:val="F77F0F55"/>
    <w:rsid w:val="F7B598AD"/>
    <w:rsid w:val="F7B7705E"/>
    <w:rsid w:val="F7B7989D"/>
    <w:rsid w:val="F7BE2F5C"/>
    <w:rsid w:val="F7BFD072"/>
    <w:rsid w:val="F7DF7E8F"/>
    <w:rsid w:val="F7EC0D58"/>
    <w:rsid w:val="F7EC7BB3"/>
    <w:rsid w:val="F7EEC53B"/>
    <w:rsid w:val="F7EFBBEC"/>
    <w:rsid w:val="F7F6DB64"/>
    <w:rsid w:val="F7F79B7A"/>
    <w:rsid w:val="F7FB8AFB"/>
    <w:rsid w:val="F7FEAB6A"/>
    <w:rsid w:val="F7FFAFAC"/>
    <w:rsid w:val="F7FFF598"/>
    <w:rsid w:val="F7FFFEA2"/>
    <w:rsid w:val="F87B109A"/>
    <w:rsid w:val="F8E701ED"/>
    <w:rsid w:val="F8F7D448"/>
    <w:rsid w:val="F8FF5DE6"/>
    <w:rsid w:val="F935474C"/>
    <w:rsid w:val="F973E303"/>
    <w:rsid w:val="F97BD2F7"/>
    <w:rsid w:val="F97E8FAD"/>
    <w:rsid w:val="F989BCE8"/>
    <w:rsid w:val="F9D5EEE4"/>
    <w:rsid w:val="F9EBAD40"/>
    <w:rsid w:val="F9FE34DA"/>
    <w:rsid w:val="FA3B60A2"/>
    <w:rsid w:val="FA67B7F9"/>
    <w:rsid w:val="FA6F3E70"/>
    <w:rsid w:val="FA7F2156"/>
    <w:rsid w:val="FABF5568"/>
    <w:rsid w:val="FAD5A73A"/>
    <w:rsid w:val="FAE6603B"/>
    <w:rsid w:val="FAE7269E"/>
    <w:rsid w:val="FAEF0ACD"/>
    <w:rsid w:val="FAEFD81C"/>
    <w:rsid w:val="FAFBDDD8"/>
    <w:rsid w:val="FAFD88EB"/>
    <w:rsid w:val="FAFE7B2C"/>
    <w:rsid w:val="FB587594"/>
    <w:rsid w:val="FB6DB040"/>
    <w:rsid w:val="FB7ABBD4"/>
    <w:rsid w:val="FB7DFB10"/>
    <w:rsid w:val="FB7F4B15"/>
    <w:rsid w:val="FB7FDA2F"/>
    <w:rsid w:val="FB997A69"/>
    <w:rsid w:val="FBAF1493"/>
    <w:rsid w:val="FBB3EAC1"/>
    <w:rsid w:val="FBBB231F"/>
    <w:rsid w:val="FBBB7E16"/>
    <w:rsid w:val="FBBF0695"/>
    <w:rsid w:val="FBC192C2"/>
    <w:rsid w:val="FBC2B7E7"/>
    <w:rsid w:val="FBC70928"/>
    <w:rsid w:val="FBDBFF00"/>
    <w:rsid w:val="FBE0C1FC"/>
    <w:rsid w:val="FBE2E6C1"/>
    <w:rsid w:val="FBF0ABF8"/>
    <w:rsid w:val="FBF32540"/>
    <w:rsid w:val="FBF6935F"/>
    <w:rsid w:val="FBF76111"/>
    <w:rsid w:val="FBF92603"/>
    <w:rsid w:val="FBFC4870"/>
    <w:rsid w:val="FBFD3067"/>
    <w:rsid w:val="FBFDF176"/>
    <w:rsid w:val="FBFE2CE0"/>
    <w:rsid w:val="FBFEC5B0"/>
    <w:rsid w:val="FBFEEE2D"/>
    <w:rsid w:val="FBFF0D31"/>
    <w:rsid w:val="FBFFC873"/>
    <w:rsid w:val="FBFFF2F4"/>
    <w:rsid w:val="FC55BFA8"/>
    <w:rsid w:val="FC575829"/>
    <w:rsid w:val="FC7898D7"/>
    <w:rsid w:val="FC7F5D0D"/>
    <w:rsid w:val="FCB1D545"/>
    <w:rsid w:val="FCB75032"/>
    <w:rsid w:val="FCBFE769"/>
    <w:rsid w:val="FCDED1FF"/>
    <w:rsid w:val="FCDF580D"/>
    <w:rsid w:val="FCFE1A13"/>
    <w:rsid w:val="FCFE7E79"/>
    <w:rsid w:val="FCFF30AB"/>
    <w:rsid w:val="FD45B524"/>
    <w:rsid w:val="FD754BBA"/>
    <w:rsid w:val="FD7AC442"/>
    <w:rsid w:val="FD7E939C"/>
    <w:rsid w:val="FD7F05A4"/>
    <w:rsid w:val="FD7FF3C1"/>
    <w:rsid w:val="FD8F70B2"/>
    <w:rsid w:val="FDCF27B9"/>
    <w:rsid w:val="FDD5A136"/>
    <w:rsid w:val="FDDABDF9"/>
    <w:rsid w:val="FDDADE22"/>
    <w:rsid w:val="FDDB76C7"/>
    <w:rsid w:val="FDE7330F"/>
    <w:rsid w:val="FDEB3DFF"/>
    <w:rsid w:val="FDEB9D10"/>
    <w:rsid w:val="FDECD6F2"/>
    <w:rsid w:val="FDEDC709"/>
    <w:rsid w:val="FDEF56BA"/>
    <w:rsid w:val="FDF2B6F1"/>
    <w:rsid w:val="FDF36DC7"/>
    <w:rsid w:val="FDF63529"/>
    <w:rsid w:val="FDF74124"/>
    <w:rsid w:val="FDF75B62"/>
    <w:rsid w:val="FDFB2A11"/>
    <w:rsid w:val="FDFD2422"/>
    <w:rsid w:val="FDFD9D19"/>
    <w:rsid w:val="FDFDE6BA"/>
    <w:rsid w:val="FDFEA790"/>
    <w:rsid w:val="FDFF7EAF"/>
    <w:rsid w:val="FDFF94C4"/>
    <w:rsid w:val="FDFFE98A"/>
    <w:rsid w:val="FE1FE7D7"/>
    <w:rsid w:val="FE36DAA5"/>
    <w:rsid w:val="FE53CFCF"/>
    <w:rsid w:val="FE7D59FF"/>
    <w:rsid w:val="FE7E4CB6"/>
    <w:rsid w:val="FE7F97BA"/>
    <w:rsid w:val="FE9B7309"/>
    <w:rsid w:val="FE9EA74D"/>
    <w:rsid w:val="FE9FDBD7"/>
    <w:rsid w:val="FEABB1FD"/>
    <w:rsid w:val="FEB772AB"/>
    <w:rsid w:val="FED94C7D"/>
    <w:rsid w:val="FEDF20A8"/>
    <w:rsid w:val="FEE7520C"/>
    <w:rsid w:val="FEE7C03F"/>
    <w:rsid w:val="FEECB418"/>
    <w:rsid w:val="FEEF16D9"/>
    <w:rsid w:val="FEEF310D"/>
    <w:rsid w:val="FEF7557B"/>
    <w:rsid w:val="FEF8EB3B"/>
    <w:rsid w:val="FEFCF7D4"/>
    <w:rsid w:val="FEFD7249"/>
    <w:rsid w:val="FEFE6B30"/>
    <w:rsid w:val="FEFF4BB5"/>
    <w:rsid w:val="FF2B7C5F"/>
    <w:rsid w:val="FF2D0EBC"/>
    <w:rsid w:val="FF372FFF"/>
    <w:rsid w:val="FF3A91E1"/>
    <w:rsid w:val="FF3FBE0C"/>
    <w:rsid w:val="FF5509FB"/>
    <w:rsid w:val="FF5757B8"/>
    <w:rsid w:val="FF5F2F33"/>
    <w:rsid w:val="FF63452B"/>
    <w:rsid w:val="FF6B77E7"/>
    <w:rsid w:val="FF6F8271"/>
    <w:rsid w:val="FF6FC3D0"/>
    <w:rsid w:val="FF7753CC"/>
    <w:rsid w:val="FF77A231"/>
    <w:rsid w:val="FF7D6919"/>
    <w:rsid w:val="FF7F23FD"/>
    <w:rsid w:val="FF7F32C1"/>
    <w:rsid w:val="FF7F5935"/>
    <w:rsid w:val="FF7F68AE"/>
    <w:rsid w:val="FF7F7A0B"/>
    <w:rsid w:val="FF7F7BA5"/>
    <w:rsid w:val="FF7F97B9"/>
    <w:rsid w:val="FF8FAA62"/>
    <w:rsid w:val="FF8FB52A"/>
    <w:rsid w:val="FF940639"/>
    <w:rsid w:val="FF9B26FD"/>
    <w:rsid w:val="FFA5E8BF"/>
    <w:rsid w:val="FFAE5AAE"/>
    <w:rsid w:val="FFAF258A"/>
    <w:rsid w:val="FFAF41C6"/>
    <w:rsid w:val="FFAFC2A5"/>
    <w:rsid w:val="FFAFE52E"/>
    <w:rsid w:val="FFB2807B"/>
    <w:rsid w:val="FFB7AD4D"/>
    <w:rsid w:val="FFBD3C71"/>
    <w:rsid w:val="FFBE0ACA"/>
    <w:rsid w:val="FFBEB288"/>
    <w:rsid w:val="FFBF4905"/>
    <w:rsid w:val="FFBF6738"/>
    <w:rsid w:val="FFBF8D58"/>
    <w:rsid w:val="FFC2A09D"/>
    <w:rsid w:val="FFC7DDBF"/>
    <w:rsid w:val="FFCB4822"/>
    <w:rsid w:val="FFCE12C2"/>
    <w:rsid w:val="FFCF2151"/>
    <w:rsid w:val="FFCFFEFE"/>
    <w:rsid w:val="FFD36876"/>
    <w:rsid w:val="FFD6FE28"/>
    <w:rsid w:val="FFD97AF0"/>
    <w:rsid w:val="FFDDEB4A"/>
    <w:rsid w:val="FFDF2B71"/>
    <w:rsid w:val="FFDF65FC"/>
    <w:rsid w:val="FFDF79E6"/>
    <w:rsid w:val="FFDF82FC"/>
    <w:rsid w:val="FFDFCCA9"/>
    <w:rsid w:val="FFDFD518"/>
    <w:rsid w:val="FFDFDAB5"/>
    <w:rsid w:val="FFDFE918"/>
    <w:rsid w:val="FFE3CB32"/>
    <w:rsid w:val="FFE75944"/>
    <w:rsid w:val="FFE940FA"/>
    <w:rsid w:val="FFE9E2B2"/>
    <w:rsid w:val="FFEA3193"/>
    <w:rsid w:val="FFEB7173"/>
    <w:rsid w:val="FFEBF2A3"/>
    <w:rsid w:val="FFEC6AC9"/>
    <w:rsid w:val="FFED513F"/>
    <w:rsid w:val="FFEDEFE3"/>
    <w:rsid w:val="FFEF28CC"/>
    <w:rsid w:val="FFEF8DD2"/>
    <w:rsid w:val="FFF15A00"/>
    <w:rsid w:val="FFF39CAC"/>
    <w:rsid w:val="FFF67C4B"/>
    <w:rsid w:val="FFF71217"/>
    <w:rsid w:val="FFF71AB4"/>
    <w:rsid w:val="FFF721F4"/>
    <w:rsid w:val="FFF9166F"/>
    <w:rsid w:val="FFF9F249"/>
    <w:rsid w:val="FFFA0E8C"/>
    <w:rsid w:val="FFFA551F"/>
    <w:rsid w:val="FFFC5155"/>
    <w:rsid w:val="FFFCBBC5"/>
    <w:rsid w:val="FFFD7161"/>
    <w:rsid w:val="FFFD7DAB"/>
    <w:rsid w:val="FFFD8445"/>
    <w:rsid w:val="FFFE50EF"/>
    <w:rsid w:val="FFFE612D"/>
    <w:rsid w:val="FFFE94BE"/>
    <w:rsid w:val="FFFF0927"/>
    <w:rsid w:val="FFFF0E25"/>
    <w:rsid w:val="FFFF0E34"/>
    <w:rsid w:val="FFFF72D0"/>
    <w:rsid w:val="FFFF77C1"/>
    <w:rsid w:val="FFFFB04E"/>
    <w:rsid w:val="FFFFC286"/>
    <w:rsid w:val="FFFFD8F8"/>
    <w:rsid w:val="FFFFDB02"/>
    <w:rsid w:val="FFFFE83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588" w:lineRule="exact"/>
      <w:ind w:firstLine="200" w:firstLineChars="200"/>
      <w:jc w:val="both"/>
    </w:pPr>
    <w:rPr>
      <w:rFonts w:ascii="宋体" w:hAnsi="宋体" w:eastAsia="仿宋_GB2312" w:cs="Times New Roman"/>
      <w:kern w:val="2"/>
      <w:sz w:val="32"/>
      <w:szCs w:val="22"/>
      <w:lang w:val="en-US" w:eastAsia="zh-CN" w:bidi="ar-SA"/>
    </w:rPr>
  </w:style>
  <w:style w:type="paragraph" w:styleId="2">
    <w:name w:val="heading 1"/>
    <w:next w:val="1"/>
    <w:link w:val="40"/>
    <w:qFormat/>
    <w:uiPriority w:val="9"/>
    <w:pPr>
      <w:keepNext/>
      <w:keepLines/>
      <w:numPr>
        <w:ilvl w:val="0"/>
        <w:numId w:val="1"/>
      </w:numPr>
      <w:adjustRightInd w:val="0"/>
      <w:snapToGrid w:val="0"/>
      <w:spacing w:before="150" w:beforeLines="150" w:after="150" w:afterLines="150"/>
      <w:ind w:left="0"/>
      <w:jc w:val="center"/>
      <w:outlineLvl w:val="0"/>
    </w:pPr>
    <w:rPr>
      <w:rFonts w:ascii="方正小标宋简体" w:hAnsi="方正小标宋简体" w:eastAsia="方正小标宋简体" w:cs="方正小标宋简体"/>
      <w:bCs/>
      <w:kern w:val="44"/>
      <w:sz w:val="36"/>
      <w:szCs w:val="36"/>
      <w:lang w:val="en-US" w:eastAsia="zh-CN" w:bidi="ar-SA"/>
    </w:rPr>
  </w:style>
  <w:style w:type="paragraph" w:styleId="3">
    <w:name w:val="heading 2"/>
    <w:next w:val="1"/>
    <w:link w:val="41"/>
    <w:qFormat/>
    <w:uiPriority w:val="9"/>
    <w:pPr>
      <w:keepNext/>
      <w:keepLines/>
      <w:numPr>
        <w:ilvl w:val="1"/>
        <w:numId w:val="1"/>
      </w:numPr>
      <w:adjustRightInd w:val="0"/>
      <w:snapToGrid w:val="0"/>
      <w:spacing w:before="200" w:after="200"/>
      <w:ind w:left="0"/>
      <w:jc w:val="center"/>
      <w:outlineLvl w:val="1"/>
    </w:pPr>
    <w:rPr>
      <w:rFonts w:ascii="黑体" w:hAnsi="Cambria" w:eastAsia="黑体" w:cs="Times New Roman"/>
      <w:bCs/>
      <w:kern w:val="2"/>
      <w:sz w:val="32"/>
      <w:szCs w:val="30"/>
      <w:lang w:val="en-US" w:eastAsia="zh-CN" w:bidi="ar-SA"/>
    </w:rPr>
  </w:style>
  <w:style w:type="paragraph" w:styleId="4">
    <w:name w:val="heading 3"/>
    <w:next w:val="1"/>
    <w:link w:val="42"/>
    <w:qFormat/>
    <w:uiPriority w:val="9"/>
    <w:pPr>
      <w:keepNext/>
      <w:keepLines/>
      <w:numPr>
        <w:ilvl w:val="2"/>
        <w:numId w:val="1"/>
      </w:numPr>
      <w:adjustRightInd w:val="0"/>
      <w:snapToGrid w:val="0"/>
      <w:spacing w:line="588" w:lineRule="exact"/>
      <w:outlineLvl w:val="2"/>
    </w:pPr>
    <w:rPr>
      <w:rFonts w:ascii="楷体" w:hAnsi="楷体" w:eastAsia="楷体" w:cs="楷体"/>
      <w:bCs/>
      <w:kern w:val="2"/>
      <w:sz w:val="32"/>
      <w:szCs w:val="32"/>
      <w:lang w:val="en-US" w:eastAsia="zh-CN" w:bidi="ar-SA"/>
    </w:rPr>
  </w:style>
  <w:style w:type="paragraph" w:styleId="5">
    <w:name w:val="heading 4"/>
    <w:next w:val="1"/>
    <w:link w:val="43"/>
    <w:qFormat/>
    <w:uiPriority w:val="9"/>
    <w:pPr>
      <w:keepNext/>
      <w:keepLines/>
      <w:numPr>
        <w:ilvl w:val="3"/>
        <w:numId w:val="1"/>
      </w:numPr>
      <w:adjustRightInd w:val="0"/>
      <w:snapToGrid w:val="0"/>
      <w:spacing w:line="560" w:lineRule="exact"/>
      <w:ind w:left="0" w:firstLine="200" w:firstLineChars="200"/>
      <w:outlineLvl w:val="3"/>
    </w:pPr>
    <w:rPr>
      <w:rFonts w:ascii="仿宋_GB2312" w:hAnsi="仿宋_GB2312" w:eastAsia="仿宋_GB2312" w:cs="仿宋_GB2312"/>
      <w:bCs/>
      <w:kern w:val="2"/>
      <w:sz w:val="32"/>
      <w:szCs w:val="32"/>
      <w:lang w:val="en-US" w:eastAsia="zh-CN" w:bidi="ar-SA"/>
    </w:rPr>
  </w:style>
  <w:style w:type="paragraph" w:styleId="6">
    <w:name w:val="heading 5"/>
    <w:basedOn w:val="5"/>
    <w:next w:val="1"/>
    <w:link w:val="44"/>
    <w:qFormat/>
    <w:uiPriority w:val="9"/>
    <w:pPr>
      <w:numPr>
        <w:ilvl w:val="4"/>
      </w:numPr>
      <w:outlineLvl w:val="4"/>
    </w:pPr>
  </w:style>
  <w:style w:type="paragraph" w:styleId="7">
    <w:name w:val="heading 6"/>
    <w:basedOn w:val="1"/>
    <w:next w:val="1"/>
    <w:link w:val="45"/>
    <w:qFormat/>
    <w:uiPriority w:val="9"/>
    <w:pPr>
      <w:keepNext/>
      <w:keepLines/>
      <w:spacing w:before="240" w:after="64" w:line="320" w:lineRule="auto"/>
      <w:ind w:firstLine="0" w:firstLineChars="0"/>
      <w:outlineLvl w:val="5"/>
    </w:pPr>
    <w:rPr>
      <w:rFonts w:ascii="Cambria" w:hAnsi="Cambria"/>
      <w:b/>
      <w:bCs/>
      <w:szCs w:val="24"/>
    </w:rPr>
  </w:style>
  <w:style w:type="paragraph" w:styleId="8">
    <w:name w:val="heading 7"/>
    <w:basedOn w:val="1"/>
    <w:next w:val="1"/>
    <w:link w:val="46"/>
    <w:qFormat/>
    <w:uiPriority w:val="9"/>
    <w:pPr>
      <w:keepNext/>
      <w:keepLines/>
      <w:spacing w:before="240" w:after="64" w:line="320" w:lineRule="auto"/>
      <w:ind w:firstLine="0" w:firstLineChars="0"/>
      <w:outlineLvl w:val="6"/>
    </w:pPr>
    <w:rPr>
      <w:b/>
      <w:bCs/>
      <w:szCs w:val="24"/>
    </w:rPr>
  </w:style>
  <w:style w:type="paragraph" w:styleId="9">
    <w:name w:val="heading 8"/>
    <w:basedOn w:val="1"/>
    <w:next w:val="1"/>
    <w:link w:val="47"/>
    <w:qFormat/>
    <w:uiPriority w:val="9"/>
    <w:pPr>
      <w:keepNext/>
      <w:keepLines/>
      <w:numPr>
        <w:ilvl w:val="7"/>
        <w:numId w:val="1"/>
      </w:numPr>
      <w:spacing w:before="240" w:after="64" w:line="320" w:lineRule="auto"/>
      <w:ind w:firstLine="0" w:firstLineChars="0"/>
      <w:outlineLvl w:val="7"/>
    </w:pPr>
    <w:rPr>
      <w:rFonts w:ascii="Cambria" w:hAnsi="Cambria"/>
      <w:szCs w:val="24"/>
    </w:rPr>
  </w:style>
  <w:style w:type="paragraph" w:styleId="10">
    <w:name w:val="heading 9"/>
    <w:basedOn w:val="1"/>
    <w:next w:val="1"/>
    <w:link w:val="48"/>
    <w:qFormat/>
    <w:uiPriority w:val="9"/>
    <w:pPr>
      <w:keepNext/>
      <w:keepLines/>
      <w:numPr>
        <w:ilvl w:val="8"/>
        <w:numId w:val="1"/>
      </w:numPr>
      <w:spacing w:before="240" w:after="64" w:line="320" w:lineRule="auto"/>
      <w:ind w:firstLine="0" w:firstLineChars="0"/>
      <w:outlineLvl w:val="8"/>
    </w:pPr>
    <w:rPr>
      <w:rFonts w:ascii="Cambria" w:hAnsi="Cambria"/>
      <w:szCs w:val="21"/>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widowControl w:val="0"/>
      <w:adjustRightInd/>
      <w:snapToGrid/>
      <w:spacing w:line="240" w:lineRule="auto"/>
      <w:ind w:left="2520" w:leftChars="1200" w:firstLine="0" w:firstLineChars="0"/>
    </w:pPr>
    <w:rPr>
      <w:rFonts w:asciiTheme="minorHAnsi" w:hAnsiTheme="minorHAnsi" w:eastAsiaTheme="minorEastAsia" w:cstheme="minorBidi"/>
      <w:sz w:val="21"/>
    </w:rPr>
  </w:style>
  <w:style w:type="paragraph" w:styleId="12">
    <w:name w:val="caption"/>
    <w:basedOn w:val="1"/>
    <w:next w:val="1"/>
    <w:link w:val="95"/>
    <w:qFormat/>
    <w:uiPriority w:val="35"/>
    <w:pPr>
      <w:widowControl w:val="0"/>
      <w:adjustRightInd/>
      <w:snapToGrid/>
    </w:pPr>
    <w:rPr>
      <w:rFonts w:ascii="等线 Light" w:hAnsi="等线 Light" w:eastAsia="黑体"/>
      <w:sz w:val="20"/>
      <w:szCs w:val="20"/>
    </w:rPr>
  </w:style>
  <w:style w:type="paragraph" w:styleId="13">
    <w:name w:val="annotation text"/>
    <w:basedOn w:val="1"/>
    <w:link w:val="65"/>
    <w:unhideWhenUsed/>
    <w:qFormat/>
    <w:uiPriority w:val="99"/>
    <w:pPr>
      <w:jc w:val="left"/>
    </w:pPr>
  </w:style>
  <w:style w:type="paragraph" w:styleId="14">
    <w:name w:val="Body Text"/>
    <w:basedOn w:val="1"/>
    <w:link w:val="80"/>
    <w:unhideWhenUsed/>
    <w:qFormat/>
    <w:uiPriority w:val="1"/>
    <w:pPr>
      <w:widowControl w:val="0"/>
      <w:spacing w:after="120"/>
    </w:pPr>
    <w:rPr>
      <w:rFonts w:ascii="Times New Roman"/>
      <w:sz w:val="28"/>
      <w:szCs w:val="24"/>
    </w:rPr>
  </w:style>
  <w:style w:type="paragraph" w:styleId="15">
    <w:name w:val="Body Text Indent"/>
    <w:basedOn w:val="1"/>
    <w:link w:val="75"/>
    <w:unhideWhenUsed/>
    <w:qFormat/>
    <w:uiPriority w:val="99"/>
    <w:pPr>
      <w:spacing w:after="120"/>
      <w:ind w:left="420" w:leftChars="200"/>
    </w:pPr>
  </w:style>
  <w:style w:type="paragraph" w:styleId="16">
    <w:name w:val="toc 5"/>
    <w:basedOn w:val="1"/>
    <w:next w:val="1"/>
    <w:unhideWhenUsed/>
    <w:qFormat/>
    <w:uiPriority w:val="39"/>
    <w:pPr>
      <w:widowControl w:val="0"/>
      <w:adjustRightInd/>
      <w:snapToGrid/>
      <w:spacing w:line="240" w:lineRule="auto"/>
      <w:ind w:left="1680" w:leftChars="800" w:firstLine="0" w:firstLineChars="0"/>
    </w:pPr>
    <w:rPr>
      <w:rFonts w:asciiTheme="minorHAnsi" w:hAnsiTheme="minorHAnsi" w:eastAsiaTheme="minorEastAsia" w:cstheme="minorBidi"/>
      <w:sz w:val="21"/>
    </w:rPr>
  </w:style>
  <w:style w:type="paragraph" w:styleId="17">
    <w:name w:val="toc 3"/>
    <w:next w:val="1"/>
    <w:unhideWhenUsed/>
    <w:qFormat/>
    <w:uiPriority w:val="39"/>
    <w:pPr>
      <w:adjustRightInd w:val="0"/>
      <w:snapToGrid w:val="0"/>
      <w:spacing w:before="50" w:beforeLines="50" w:after="50" w:afterLines="50"/>
      <w:ind w:left="680"/>
      <w:jc w:val="both"/>
    </w:pPr>
    <w:rPr>
      <w:rFonts w:ascii="等线" w:hAnsi="等线" w:eastAsia="黑体" w:cs="Times New Roman"/>
      <w:sz w:val="24"/>
      <w:szCs w:val="22"/>
      <w:lang w:val="en-US" w:eastAsia="zh-CN" w:bidi="ar-SA"/>
    </w:rPr>
  </w:style>
  <w:style w:type="paragraph" w:styleId="18">
    <w:name w:val="toc 8"/>
    <w:basedOn w:val="1"/>
    <w:next w:val="1"/>
    <w:unhideWhenUsed/>
    <w:qFormat/>
    <w:uiPriority w:val="39"/>
    <w:pPr>
      <w:widowControl w:val="0"/>
      <w:adjustRightInd/>
      <w:snapToGrid/>
      <w:spacing w:line="240" w:lineRule="auto"/>
      <w:ind w:left="2940" w:leftChars="1400" w:firstLine="0" w:firstLineChars="0"/>
    </w:pPr>
    <w:rPr>
      <w:rFonts w:asciiTheme="minorHAnsi" w:hAnsiTheme="minorHAnsi" w:eastAsiaTheme="minorEastAsia" w:cstheme="minorBidi"/>
      <w:sz w:val="21"/>
    </w:rPr>
  </w:style>
  <w:style w:type="paragraph" w:styleId="19">
    <w:name w:val="Balloon Text"/>
    <w:basedOn w:val="1"/>
    <w:link w:val="70"/>
    <w:unhideWhenUsed/>
    <w:qFormat/>
    <w:uiPriority w:val="99"/>
    <w:pPr>
      <w:widowControl w:val="0"/>
      <w:adjustRightInd/>
      <w:snapToGrid/>
      <w:spacing w:afterLines="50" w:line="240" w:lineRule="auto"/>
      <w:ind w:firstLine="480"/>
    </w:pPr>
    <w:rPr>
      <w:rFonts w:asciiTheme="minorHAnsi" w:hAnsiTheme="minorHAnsi" w:eastAsiaTheme="minorEastAsia" w:cstheme="minorBidi"/>
      <w:sz w:val="18"/>
      <w:szCs w:val="18"/>
    </w:rPr>
  </w:style>
  <w:style w:type="paragraph" w:styleId="20">
    <w:name w:val="footer"/>
    <w:basedOn w:val="1"/>
    <w:link w:val="51"/>
    <w:unhideWhenUsed/>
    <w:qFormat/>
    <w:uiPriority w:val="99"/>
    <w:pPr>
      <w:tabs>
        <w:tab w:val="center" w:pos="4153"/>
        <w:tab w:val="right" w:pos="8306"/>
      </w:tabs>
      <w:jc w:val="left"/>
    </w:pPr>
    <w:rPr>
      <w:rFonts w:asciiTheme="minorHAnsi" w:hAnsiTheme="minorHAnsi" w:eastAsiaTheme="minorEastAsia" w:cstheme="minorBidi"/>
      <w:sz w:val="18"/>
      <w:szCs w:val="18"/>
    </w:rPr>
  </w:style>
  <w:style w:type="paragraph" w:styleId="21">
    <w:name w:val="header"/>
    <w:link w:val="58"/>
    <w:unhideWhenUsed/>
    <w:qFormat/>
    <w:uiPriority w:val="99"/>
    <w:pPr>
      <w:pBdr>
        <w:bottom w:val="single" w:color="auto" w:sz="6" w:space="1"/>
      </w:pBdr>
      <w:adjustRightInd w:val="0"/>
      <w:snapToGrid w:val="0"/>
    </w:pPr>
    <w:rPr>
      <w:rFonts w:ascii="宋体" w:eastAsia="宋体" w:hAnsiTheme="minorHAnsi" w:cstheme="minorBidi"/>
      <w:kern w:val="2"/>
      <w:sz w:val="18"/>
      <w:szCs w:val="18"/>
      <w:lang w:val="en-US" w:eastAsia="zh-CN" w:bidi="ar-SA"/>
    </w:rPr>
  </w:style>
  <w:style w:type="paragraph" w:styleId="22">
    <w:name w:val="toc 1"/>
    <w:next w:val="1"/>
    <w:unhideWhenUsed/>
    <w:qFormat/>
    <w:uiPriority w:val="39"/>
    <w:pPr>
      <w:adjustRightInd w:val="0"/>
      <w:snapToGrid w:val="0"/>
      <w:spacing w:line="500" w:lineRule="exact"/>
      <w:jc w:val="both"/>
    </w:pPr>
    <w:rPr>
      <w:rFonts w:ascii="楷体" w:hAnsi="楷体" w:eastAsia="楷体" w:cs="楷体"/>
      <w:b/>
      <w:sz w:val="32"/>
      <w:szCs w:val="32"/>
      <w:lang w:val="en-US" w:eastAsia="zh-CN" w:bidi="ar-SA"/>
    </w:rPr>
  </w:style>
  <w:style w:type="paragraph" w:styleId="23">
    <w:name w:val="toc 4"/>
    <w:basedOn w:val="1"/>
    <w:next w:val="1"/>
    <w:unhideWhenUsed/>
    <w:qFormat/>
    <w:uiPriority w:val="39"/>
    <w:pPr>
      <w:widowControl w:val="0"/>
      <w:adjustRightInd/>
      <w:snapToGrid/>
      <w:spacing w:line="240" w:lineRule="auto"/>
      <w:ind w:left="1260" w:leftChars="600" w:firstLine="0" w:firstLineChars="0"/>
    </w:pPr>
    <w:rPr>
      <w:rFonts w:asciiTheme="minorHAnsi" w:hAnsiTheme="minorHAnsi" w:eastAsiaTheme="minorEastAsia" w:cstheme="minorBidi"/>
      <w:sz w:val="21"/>
    </w:rPr>
  </w:style>
  <w:style w:type="paragraph" w:styleId="24">
    <w:name w:val="toc 6"/>
    <w:basedOn w:val="1"/>
    <w:next w:val="1"/>
    <w:unhideWhenUsed/>
    <w:qFormat/>
    <w:uiPriority w:val="39"/>
    <w:pPr>
      <w:widowControl w:val="0"/>
      <w:adjustRightInd/>
      <w:snapToGrid/>
      <w:spacing w:line="240" w:lineRule="auto"/>
      <w:ind w:left="2100" w:leftChars="1000" w:firstLine="0" w:firstLineChars="0"/>
    </w:pPr>
    <w:rPr>
      <w:rFonts w:asciiTheme="minorHAnsi" w:hAnsiTheme="minorHAnsi" w:eastAsiaTheme="minorEastAsia" w:cstheme="minorBidi"/>
      <w:sz w:val="21"/>
    </w:rPr>
  </w:style>
  <w:style w:type="paragraph" w:styleId="25">
    <w:name w:val="toc 2"/>
    <w:next w:val="1"/>
    <w:unhideWhenUsed/>
    <w:qFormat/>
    <w:uiPriority w:val="39"/>
    <w:pPr>
      <w:adjustRightInd w:val="0"/>
      <w:snapToGrid w:val="0"/>
      <w:spacing w:line="500" w:lineRule="exact"/>
      <w:ind w:left="454"/>
      <w:jc w:val="both"/>
    </w:pPr>
    <w:rPr>
      <w:rFonts w:ascii="楷体" w:hAnsi="楷体" w:eastAsia="楷体" w:cs="楷体"/>
      <w:sz w:val="32"/>
      <w:szCs w:val="32"/>
      <w:lang w:val="en-US" w:eastAsia="zh-CN" w:bidi="ar-SA"/>
    </w:rPr>
  </w:style>
  <w:style w:type="paragraph" w:styleId="26">
    <w:name w:val="toc 9"/>
    <w:basedOn w:val="1"/>
    <w:next w:val="1"/>
    <w:unhideWhenUsed/>
    <w:qFormat/>
    <w:uiPriority w:val="39"/>
    <w:pPr>
      <w:widowControl w:val="0"/>
      <w:adjustRightInd/>
      <w:snapToGrid/>
      <w:spacing w:line="240" w:lineRule="auto"/>
      <w:ind w:left="3360" w:leftChars="1600" w:firstLine="0" w:firstLineChars="0"/>
    </w:pPr>
    <w:rPr>
      <w:rFonts w:asciiTheme="minorHAnsi" w:hAnsiTheme="minorHAnsi" w:eastAsiaTheme="minorEastAsia" w:cstheme="minorBidi"/>
      <w:sz w:val="21"/>
    </w:rPr>
  </w:style>
  <w:style w:type="paragraph" w:styleId="27">
    <w:name w:val="HTML Preformatted"/>
    <w:basedOn w:val="1"/>
    <w:link w:val="74"/>
    <w:unhideWhenUsed/>
    <w:qFormat/>
    <w:uiPriority w:val="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before="156" w:after="156" w:afterLines="50"/>
      <w:ind w:firstLine="480"/>
      <w:jc w:val="left"/>
    </w:pPr>
    <w:rPr>
      <w:rFonts w:hint="eastAsia"/>
      <w:kern w:val="0"/>
      <w:szCs w:val="24"/>
    </w:rPr>
  </w:style>
  <w:style w:type="paragraph" w:styleId="28">
    <w:name w:val="Normal (Web)"/>
    <w:basedOn w:val="1"/>
    <w:unhideWhenUsed/>
    <w:qFormat/>
    <w:uiPriority w:val="99"/>
    <w:pPr>
      <w:widowControl w:val="0"/>
      <w:adjustRightInd/>
      <w:snapToGrid/>
      <w:spacing w:afterLines="50"/>
      <w:ind w:firstLine="480"/>
      <w:jc w:val="left"/>
    </w:pPr>
    <w:rPr>
      <w:kern w:val="0"/>
    </w:rPr>
  </w:style>
  <w:style w:type="paragraph" w:styleId="29">
    <w:name w:val="annotation subject"/>
    <w:basedOn w:val="13"/>
    <w:next w:val="13"/>
    <w:link w:val="66"/>
    <w:unhideWhenUsed/>
    <w:qFormat/>
    <w:uiPriority w:val="99"/>
    <w:rPr>
      <w:b/>
      <w:bCs/>
    </w:rPr>
  </w:style>
  <w:style w:type="table" w:styleId="31">
    <w:name w:val="Table Grid"/>
    <w:basedOn w:val="3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uiPriority w:val="22"/>
    <w:rPr>
      <w:b/>
      <w:bCs/>
    </w:rPr>
  </w:style>
  <w:style w:type="character" w:styleId="34">
    <w:name w:val="FollowedHyperlink"/>
    <w:basedOn w:val="32"/>
    <w:semiHidden/>
    <w:unhideWhenUsed/>
    <w:qFormat/>
    <w:uiPriority w:val="99"/>
    <w:rPr>
      <w:color w:val="954F72"/>
      <w:u w:val="single"/>
    </w:rPr>
  </w:style>
  <w:style w:type="character" w:styleId="35">
    <w:name w:val="Emphasis"/>
    <w:qFormat/>
    <w:uiPriority w:val="20"/>
    <w:rPr>
      <w:i/>
      <w:iCs/>
    </w:rPr>
  </w:style>
  <w:style w:type="character" w:styleId="36">
    <w:name w:val="Hyperlink"/>
    <w:unhideWhenUsed/>
    <w:qFormat/>
    <w:uiPriority w:val="99"/>
    <w:rPr>
      <w:color w:val="0563C1"/>
      <w:u w:val="single"/>
    </w:rPr>
  </w:style>
  <w:style w:type="character" w:styleId="37">
    <w:name w:val="annotation reference"/>
    <w:unhideWhenUsed/>
    <w:qFormat/>
    <w:uiPriority w:val="99"/>
    <w:rPr>
      <w:sz w:val="21"/>
      <w:szCs w:val="21"/>
    </w:rPr>
  </w:style>
  <w:style w:type="character" w:customStyle="1" w:styleId="38">
    <w:name w:val="无间隔 字符"/>
    <w:link w:val="39"/>
    <w:qFormat/>
    <w:uiPriority w:val="1"/>
    <w:rPr>
      <w:sz w:val="24"/>
      <w:szCs w:val="32"/>
    </w:rPr>
  </w:style>
  <w:style w:type="paragraph" w:styleId="39">
    <w:name w:val="No Spacing"/>
    <w:link w:val="38"/>
    <w:qFormat/>
    <w:uiPriority w:val="1"/>
    <w:pPr>
      <w:widowControl w:val="0"/>
      <w:jc w:val="both"/>
    </w:pPr>
    <w:rPr>
      <w:rFonts w:asciiTheme="minorHAnsi" w:hAnsiTheme="minorHAnsi" w:eastAsiaTheme="minorEastAsia" w:cstheme="minorBidi"/>
      <w:kern w:val="2"/>
      <w:sz w:val="24"/>
      <w:szCs w:val="32"/>
      <w:lang w:val="en-US" w:eastAsia="zh-CN" w:bidi="ar-SA"/>
    </w:rPr>
  </w:style>
  <w:style w:type="character" w:customStyle="1" w:styleId="40">
    <w:name w:val="标题 1 字符"/>
    <w:basedOn w:val="32"/>
    <w:link w:val="2"/>
    <w:qFormat/>
    <w:uiPriority w:val="9"/>
    <w:rPr>
      <w:rFonts w:ascii="方正小标宋简体" w:hAnsi="方正小标宋简体" w:eastAsia="方正小标宋简体" w:cs="方正小标宋简体"/>
      <w:bCs/>
      <w:kern w:val="44"/>
      <w:sz w:val="36"/>
      <w:szCs w:val="36"/>
    </w:rPr>
  </w:style>
  <w:style w:type="character" w:customStyle="1" w:styleId="41">
    <w:name w:val="标题 2 字符"/>
    <w:basedOn w:val="32"/>
    <w:link w:val="3"/>
    <w:qFormat/>
    <w:uiPriority w:val="9"/>
    <w:rPr>
      <w:rFonts w:ascii="黑体" w:hAnsi="Cambria" w:eastAsia="黑体"/>
      <w:bCs/>
      <w:kern w:val="2"/>
      <w:sz w:val="32"/>
      <w:szCs w:val="30"/>
    </w:rPr>
  </w:style>
  <w:style w:type="character" w:customStyle="1" w:styleId="42">
    <w:name w:val="标题 3 字符"/>
    <w:basedOn w:val="32"/>
    <w:link w:val="4"/>
    <w:qFormat/>
    <w:uiPriority w:val="9"/>
    <w:rPr>
      <w:rFonts w:ascii="楷体" w:hAnsi="楷体" w:eastAsia="楷体" w:cs="楷体"/>
      <w:bCs/>
      <w:kern w:val="2"/>
      <w:sz w:val="32"/>
      <w:szCs w:val="32"/>
    </w:rPr>
  </w:style>
  <w:style w:type="character" w:customStyle="1" w:styleId="43">
    <w:name w:val="标题 4 字符"/>
    <w:basedOn w:val="32"/>
    <w:link w:val="5"/>
    <w:qFormat/>
    <w:uiPriority w:val="9"/>
    <w:rPr>
      <w:rFonts w:ascii="仿宋_GB2312" w:hAnsi="仿宋_GB2312" w:eastAsia="仿宋_GB2312" w:cs="仿宋_GB2312"/>
      <w:bCs/>
      <w:kern w:val="2"/>
      <w:sz w:val="32"/>
      <w:szCs w:val="32"/>
    </w:rPr>
  </w:style>
  <w:style w:type="character" w:customStyle="1" w:styleId="44">
    <w:name w:val="标题 5 字符"/>
    <w:basedOn w:val="32"/>
    <w:link w:val="6"/>
    <w:qFormat/>
    <w:uiPriority w:val="9"/>
    <w:rPr>
      <w:rFonts w:ascii="仿宋_GB2312" w:hAnsi="仿宋_GB2312" w:eastAsia="仿宋_GB2312" w:cs="仿宋_GB2312"/>
      <w:bCs/>
      <w:kern w:val="2"/>
      <w:sz w:val="32"/>
      <w:szCs w:val="32"/>
    </w:rPr>
  </w:style>
  <w:style w:type="character" w:customStyle="1" w:styleId="45">
    <w:name w:val="标题 6 字符"/>
    <w:basedOn w:val="32"/>
    <w:link w:val="7"/>
    <w:qFormat/>
    <w:uiPriority w:val="9"/>
    <w:rPr>
      <w:rFonts w:ascii="Cambria" w:hAnsi="Cambria" w:eastAsia="宋体" w:cs="Times New Roman"/>
      <w:b/>
      <w:bCs/>
      <w:sz w:val="24"/>
      <w:szCs w:val="24"/>
    </w:rPr>
  </w:style>
  <w:style w:type="character" w:customStyle="1" w:styleId="46">
    <w:name w:val="标题 7 字符"/>
    <w:basedOn w:val="32"/>
    <w:link w:val="8"/>
    <w:qFormat/>
    <w:uiPriority w:val="9"/>
    <w:rPr>
      <w:rFonts w:ascii="Times New Roman" w:hAnsi="Times New Roman" w:eastAsia="宋体" w:cs="Times New Roman"/>
      <w:b/>
      <w:bCs/>
      <w:sz w:val="24"/>
      <w:szCs w:val="24"/>
    </w:rPr>
  </w:style>
  <w:style w:type="character" w:customStyle="1" w:styleId="47">
    <w:name w:val="标题 8 字符"/>
    <w:basedOn w:val="32"/>
    <w:link w:val="9"/>
    <w:qFormat/>
    <w:uiPriority w:val="9"/>
    <w:rPr>
      <w:rFonts w:ascii="Cambria" w:hAnsi="Cambria" w:eastAsia="仿宋_GB2312"/>
      <w:kern w:val="2"/>
      <w:sz w:val="32"/>
      <w:szCs w:val="24"/>
    </w:rPr>
  </w:style>
  <w:style w:type="character" w:customStyle="1" w:styleId="48">
    <w:name w:val="标题 9 字符"/>
    <w:basedOn w:val="32"/>
    <w:link w:val="10"/>
    <w:qFormat/>
    <w:uiPriority w:val="9"/>
    <w:rPr>
      <w:rFonts w:ascii="Cambria" w:hAnsi="Cambria" w:eastAsia="仿宋_GB2312"/>
      <w:kern w:val="2"/>
      <w:sz w:val="32"/>
      <w:szCs w:val="21"/>
    </w:rPr>
  </w:style>
  <w:style w:type="character" w:customStyle="1" w:styleId="49">
    <w:name w:val="表格正文 字符"/>
    <w:link w:val="50"/>
    <w:qFormat/>
    <w:uiPriority w:val="0"/>
    <w:rPr>
      <w:rFonts w:ascii="仿宋_GB2312" w:hAnsi="仿宋_GB2312" w:eastAsia="仿宋_GB2312" w:cs="仿宋_GB2312"/>
      <w:kern w:val="2"/>
      <w:sz w:val="28"/>
      <w:szCs w:val="22"/>
    </w:rPr>
  </w:style>
  <w:style w:type="paragraph" w:customStyle="1" w:styleId="50">
    <w:name w:val="表格正文"/>
    <w:link w:val="49"/>
    <w:qFormat/>
    <w:uiPriority w:val="0"/>
    <w:pPr>
      <w:adjustRightInd w:val="0"/>
      <w:snapToGrid w:val="0"/>
      <w:spacing w:line="500" w:lineRule="exact"/>
      <w:ind w:firstLine="200" w:firstLineChars="200"/>
    </w:pPr>
    <w:rPr>
      <w:rFonts w:ascii="仿宋_GB2312" w:hAnsi="仿宋_GB2312" w:eastAsia="仿宋_GB2312" w:cs="仿宋_GB2312"/>
      <w:kern w:val="2"/>
      <w:sz w:val="28"/>
      <w:szCs w:val="22"/>
      <w:lang w:val="en-US" w:eastAsia="zh-CN" w:bidi="ar-SA"/>
    </w:rPr>
  </w:style>
  <w:style w:type="character" w:customStyle="1" w:styleId="51">
    <w:name w:val="页脚 字符"/>
    <w:link w:val="20"/>
    <w:qFormat/>
    <w:uiPriority w:val="99"/>
    <w:rPr>
      <w:sz w:val="18"/>
      <w:szCs w:val="18"/>
    </w:rPr>
  </w:style>
  <w:style w:type="character" w:customStyle="1" w:styleId="52">
    <w:name w:val="页脚 字符1"/>
    <w:basedOn w:val="32"/>
    <w:semiHidden/>
    <w:qFormat/>
    <w:uiPriority w:val="99"/>
    <w:rPr>
      <w:rFonts w:ascii="Times New Roman" w:hAnsi="Times New Roman" w:eastAsia="宋体" w:cs="Times New Roman"/>
      <w:sz w:val="18"/>
      <w:szCs w:val="18"/>
    </w:rPr>
  </w:style>
  <w:style w:type="paragraph" w:customStyle="1" w:styleId="53">
    <w:name w:val="封面"/>
    <w:basedOn w:val="1"/>
    <w:link w:val="54"/>
    <w:qFormat/>
    <w:uiPriority w:val="0"/>
    <w:pPr>
      <w:spacing w:before="400" w:beforeLines="400"/>
      <w:ind w:firstLine="0" w:firstLineChars="0"/>
      <w:jc w:val="center"/>
    </w:pPr>
    <w:rPr>
      <w:rFonts w:ascii="黑体" w:eastAsia="黑体"/>
      <w:b/>
      <w:spacing w:val="80"/>
      <w:sz w:val="72"/>
      <w:szCs w:val="72"/>
    </w:rPr>
  </w:style>
  <w:style w:type="character" w:customStyle="1" w:styleId="54">
    <w:name w:val="封面 字符"/>
    <w:link w:val="53"/>
    <w:qFormat/>
    <w:uiPriority w:val="0"/>
    <w:rPr>
      <w:rFonts w:ascii="黑体" w:hAnsi="Times New Roman" w:eastAsia="黑体" w:cs="Times New Roman"/>
      <w:b/>
      <w:spacing w:val="80"/>
      <w:sz w:val="72"/>
      <w:szCs w:val="72"/>
    </w:rPr>
  </w:style>
  <w:style w:type="character" w:customStyle="1" w:styleId="55">
    <w:name w:val="明显强调1"/>
    <w:qFormat/>
    <w:uiPriority w:val="21"/>
    <w:rPr>
      <w:i/>
      <w:iCs/>
      <w:color w:val="4472C4"/>
    </w:rPr>
  </w:style>
  <w:style w:type="paragraph" w:customStyle="1" w:styleId="56">
    <w:name w:val="附表"/>
    <w:next w:val="1"/>
    <w:link w:val="57"/>
    <w:qFormat/>
    <w:uiPriority w:val="0"/>
    <w:pPr>
      <w:keepNext/>
      <w:pageBreakBefore/>
      <w:adjustRightInd w:val="0"/>
      <w:snapToGrid w:val="0"/>
      <w:spacing w:before="100" w:beforeLines="100"/>
      <w:jc w:val="both"/>
      <w:outlineLvl w:val="0"/>
    </w:pPr>
    <w:rPr>
      <w:rFonts w:ascii="黑体" w:hAnsi="Times New Roman" w:eastAsia="黑体" w:cs="Times New Roman"/>
      <w:b/>
      <w:bCs/>
      <w:kern w:val="44"/>
      <w:sz w:val="36"/>
      <w:szCs w:val="44"/>
      <w:lang w:val="en-US" w:eastAsia="zh-CN" w:bidi="ar-SA"/>
    </w:rPr>
  </w:style>
  <w:style w:type="character" w:customStyle="1" w:styleId="57">
    <w:name w:val="附表 字符"/>
    <w:link w:val="56"/>
    <w:qFormat/>
    <w:uiPriority w:val="0"/>
    <w:rPr>
      <w:rFonts w:ascii="黑体" w:hAnsi="Times New Roman" w:eastAsia="黑体" w:cs="Times New Roman"/>
      <w:b/>
      <w:bCs/>
      <w:kern w:val="44"/>
      <w:sz w:val="36"/>
      <w:szCs w:val="44"/>
    </w:rPr>
  </w:style>
  <w:style w:type="character" w:customStyle="1" w:styleId="58">
    <w:name w:val="页眉 字符"/>
    <w:link w:val="21"/>
    <w:qFormat/>
    <w:uiPriority w:val="99"/>
    <w:rPr>
      <w:rFonts w:ascii="宋体" w:eastAsia="宋体"/>
      <w:sz w:val="18"/>
      <w:szCs w:val="18"/>
    </w:rPr>
  </w:style>
  <w:style w:type="character" w:customStyle="1" w:styleId="59">
    <w:name w:val="页眉 字符1"/>
    <w:basedOn w:val="32"/>
    <w:semiHidden/>
    <w:qFormat/>
    <w:uiPriority w:val="99"/>
    <w:rPr>
      <w:rFonts w:ascii="Times New Roman" w:hAnsi="Times New Roman" w:eastAsia="宋体" w:cs="Times New Roman"/>
      <w:sz w:val="18"/>
      <w:szCs w:val="18"/>
    </w:rPr>
  </w:style>
  <w:style w:type="table" w:customStyle="1" w:styleId="60">
    <w:name w:val="样式1"/>
    <w:basedOn w:val="30"/>
    <w:qFormat/>
    <w:uiPriority w:val="99"/>
    <w:pPr>
      <w:adjustRightInd w:val="0"/>
      <w:snapToGrid w:val="0"/>
      <w:jc w:val="center"/>
    </w:pPr>
    <w:rPr>
      <w:rFonts w:ascii="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cantSplit/>
    </w:trPr>
    <w:tcPr>
      <w:vAlign w:val="center"/>
    </w:tcPr>
    <w:tblStylePr w:type="firstRow">
      <w:pPr>
        <w:keepNext/>
        <w:keepLines w:val="0"/>
        <w:pageBreakBefore w:val="0"/>
        <w:widowControl/>
        <w:suppressLineNumbers w:val="0"/>
        <w:suppressAutoHyphens w:val="0"/>
        <w:kinsoku/>
        <w:wordWrap/>
        <w:overflowPunct/>
        <w:topLinePunct w:val="0"/>
        <w:autoSpaceDE/>
        <w:autoSpaceDN/>
        <w:adjustRightInd w:val="0"/>
        <w:snapToGrid w:val="0"/>
        <w:contextualSpacing w:val="0"/>
        <w:jc w:val="center"/>
      </w:pPr>
      <w:rPr>
        <w:rFonts w:eastAsia="宋体"/>
        <w:b/>
        <w:sz w:val="21"/>
      </w:rPr>
      <w:tblPr/>
      <w:trPr>
        <w:tblHeader/>
      </w:trPr>
      <w:tcPr>
        <w:shd w:val="clear" w:color="auto" w:fill="BFBFBF"/>
      </w:tcPr>
    </w:tblStylePr>
  </w:style>
  <w:style w:type="paragraph" w:customStyle="1" w:styleId="61">
    <w:name w:val="TOC 标题1"/>
    <w:basedOn w:val="2"/>
    <w:next w:val="1"/>
    <w:qFormat/>
    <w:uiPriority w:val="39"/>
    <w:pPr>
      <w:numPr>
        <w:numId w:val="0"/>
      </w:numPr>
      <w:spacing w:beforeLines="0" w:beforeAutospacing="1"/>
      <w:outlineLvl w:val="9"/>
    </w:pPr>
    <w:rPr>
      <w:rFonts w:ascii="等线 Light" w:hAnsi="等线 Light"/>
      <w:b/>
      <w:bCs w:val="0"/>
      <w:kern w:val="0"/>
      <w:sz w:val="44"/>
      <w:szCs w:val="32"/>
    </w:rPr>
  </w:style>
  <w:style w:type="paragraph" w:customStyle="1" w:styleId="62">
    <w:name w:val="图名"/>
    <w:basedOn w:val="63"/>
    <w:next w:val="1"/>
    <w:link w:val="64"/>
    <w:qFormat/>
    <w:uiPriority w:val="0"/>
    <w:pPr>
      <w:keepNext w:val="0"/>
    </w:pPr>
  </w:style>
  <w:style w:type="paragraph" w:customStyle="1" w:styleId="63">
    <w:name w:val="表名"/>
    <w:next w:val="50"/>
    <w:link w:val="76"/>
    <w:qFormat/>
    <w:uiPriority w:val="0"/>
    <w:pPr>
      <w:keepNext/>
      <w:keepLines/>
      <w:numPr>
        <w:ilvl w:val="5"/>
        <w:numId w:val="1"/>
      </w:numPr>
      <w:adjustRightInd w:val="0"/>
      <w:snapToGrid w:val="0"/>
      <w:spacing w:before="100" w:beforeLines="100" w:after="50" w:afterLines="50"/>
      <w:jc w:val="center"/>
      <w:outlineLvl w:val="1"/>
    </w:pPr>
    <w:rPr>
      <w:rFonts w:ascii="黑体" w:hAnsi="黑体" w:eastAsia="仿宋_GB2312" w:cs="Times New Roman"/>
      <w:b/>
      <w:bCs/>
      <w:kern w:val="44"/>
      <w:sz w:val="24"/>
      <w:szCs w:val="44"/>
      <w:lang w:val="en-US" w:eastAsia="zh-CN" w:bidi="ar-SA"/>
    </w:rPr>
  </w:style>
  <w:style w:type="character" w:customStyle="1" w:styleId="64">
    <w:name w:val="图名 字符"/>
    <w:link w:val="62"/>
    <w:qFormat/>
    <w:uiPriority w:val="0"/>
    <w:rPr>
      <w:rFonts w:ascii="黑体" w:hAnsi="黑体" w:eastAsia="仿宋_GB2312"/>
      <w:b/>
      <w:bCs/>
      <w:kern w:val="44"/>
      <w:sz w:val="24"/>
      <w:szCs w:val="44"/>
    </w:rPr>
  </w:style>
  <w:style w:type="character" w:customStyle="1" w:styleId="65">
    <w:name w:val="批注文字 字符"/>
    <w:basedOn w:val="32"/>
    <w:link w:val="13"/>
    <w:qFormat/>
    <w:uiPriority w:val="99"/>
    <w:rPr>
      <w:rFonts w:ascii="Times New Roman" w:hAnsi="Times New Roman" w:eastAsia="宋体" w:cs="Times New Roman"/>
      <w:sz w:val="24"/>
    </w:rPr>
  </w:style>
  <w:style w:type="character" w:customStyle="1" w:styleId="66">
    <w:name w:val="批注主题 字符"/>
    <w:basedOn w:val="65"/>
    <w:link w:val="29"/>
    <w:qFormat/>
    <w:uiPriority w:val="99"/>
    <w:rPr>
      <w:rFonts w:ascii="Times New Roman" w:hAnsi="Times New Roman" w:eastAsia="宋体" w:cs="Times New Roman"/>
      <w:b/>
      <w:bCs/>
      <w:sz w:val="24"/>
    </w:rPr>
  </w:style>
  <w:style w:type="paragraph" w:customStyle="1" w:styleId="67">
    <w:name w:val="图片"/>
    <w:next w:val="62"/>
    <w:link w:val="68"/>
    <w:qFormat/>
    <w:uiPriority w:val="0"/>
    <w:pPr>
      <w:keepNext/>
      <w:widowControl w:val="0"/>
      <w:adjustRightInd w:val="0"/>
      <w:snapToGrid w:val="0"/>
      <w:spacing w:before="100" w:beforeLines="100" w:after="50" w:afterLines="50"/>
      <w:jc w:val="center"/>
    </w:pPr>
    <w:rPr>
      <w:rFonts w:ascii="Times New Roman" w:hAnsi="Times New Roman" w:eastAsia="宋体" w:cs="Times New Roman"/>
      <w:kern w:val="2"/>
      <w:sz w:val="24"/>
      <w:szCs w:val="22"/>
      <w:lang w:val="en-US" w:eastAsia="zh-CN" w:bidi="ar-SA"/>
    </w:rPr>
  </w:style>
  <w:style w:type="character" w:customStyle="1" w:styleId="68">
    <w:name w:val="图片 字符"/>
    <w:link w:val="67"/>
    <w:qFormat/>
    <w:uiPriority w:val="0"/>
    <w:rPr>
      <w:rFonts w:ascii="Times New Roman" w:hAnsi="Times New Roman" w:eastAsia="宋体" w:cs="Times New Roman"/>
      <w:sz w:val="24"/>
    </w:rPr>
  </w:style>
  <w:style w:type="character" w:customStyle="1" w:styleId="69">
    <w:name w:val="正文文本首行缩进 字符"/>
    <w:semiHidden/>
    <w:qFormat/>
    <w:uiPriority w:val="99"/>
  </w:style>
  <w:style w:type="character" w:customStyle="1" w:styleId="70">
    <w:name w:val="批注框文本 字符"/>
    <w:link w:val="19"/>
    <w:qFormat/>
    <w:uiPriority w:val="99"/>
    <w:rPr>
      <w:sz w:val="18"/>
      <w:szCs w:val="18"/>
    </w:rPr>
  </w:style>
  <w:style w:type="character" w:customStyle="1" w:styleId="71">
    <w:name w:val="批注框文本 字符1"/>
    <w:basedOn w:val="32"/>
    <w:semiHidden/>
    <w:qFormat/>
    <w:uiPriority w:val="99"/>
    <w:rPr>
      <w:rFonts w:ascii="Times New Roman" w:hAnsi="Times New Roman" w:eastAsia="宋体" w:cs="Times New Roman"/>
      <w:sz w:val="18"/>
      <w:szCs w:val="18"/>
    </w:rPr>
  </w:style>
  <w:style w:type="paragraph" w:styleId="72">
    <w:name w:val="List Paragraph"/>
    <w:basedOn w:val="1"/>
    <w:link w:val="73"/>
    <w:qFormat/>
    <w:uiPriority w:val="34"/>
    <w:pPr>
      <w:widowControl w:val="0"/>
      <w:adjustRightInd/>
      <w:snapToGrid/>
      <w:ind w:firstLine="420"/>
    </w:pPr>
  </w:style>
  <w:style w:type="character" w:customStyle="1" w:styleId="73">
    <w:name w:val="列表段落 字符"/>
    <w:link w:val="72"/>
    <w:qFormat/>
    <w:uiPriority w:val="34"/>
    <w:rPr>
      <w:rFonts w:ascii="Times New Roman" w:hAnsi="Times New Roman" w:eastAsia="宋体" w:cs="Times New Roman"/>
      <w:sz w:val="24"/>
    </w:rPr>
  </w:style>
  <w:style w:type="character" w:customStyle="1" w:styleId="74">
    <w:name w:val="HTML 预设格式 字符"/>
    <w:basedOn w:val="32"/>
    <w:link w:val="27"/>
    <w:qFormat/>
    <w:uiPriority w:val="99"/>
    <w:rPr>
      <w:rFonts w:ascii="宋体" w:hAnsi="宋体" w:eastAsia="宋体" w:cs="Times New Roman"/>
      <w:kern w:val="0"/>
      <w:sz w:val="24"/>
      <w:szCs w:val="24"/>
    </w:rPr>
  </w:style>
  <w:style w:type="character" w:customStyle="1" w:styleId="75">
    <w:name w:val="正文文本缩进 字符"/>
    <w:basedOn w:val="32"/>
    <w:link w:val="15"/>
    <w:qFormat/>
    <w:uiPriority w:val="99"/>
    <w:rPr>
      <w:rFonts w:ascii="Times New Roman" w:hAnsi="Times New Roman" w:eastAsia="宋体" w:cs="Times New Roman"/>
      <w:sz w:val="24"/>
    </w:rPr>
  </w:style>
  <w:style w:type="character" w:customStyle="1" w:styleId="76">
    <w:name w:val="表名 字符"/>
    <w:basedOn w:val="64"/>
    <w:link w:val="63"/>
    <w:qFormat/>
    <w:uiPriority w:val="0"/>
    <w:rPr>
      <w:rFonts w:ascii="黑体" w:hAnsi="黑体" w:eastAsia="仿宋_GB2312"/>
      <w:kern w:val="44"/>
      <w:sz w:val="24"/>
      <w:szCs w:val="44"/>
    </w:rPr>
  </w:style>
  <w:style w:type="character" w:customStyle="1" w:styleId="77">
    <w:name w:val="未处理的提及1"/>
    <w:basedOn w:val="32"/>
    <w:semiHidden/>
    <w:unhideWhenUsed/>
    <w:qFormat/>
    <w:uiPriority w:val="99"/>
    <w:rPr>
      <w:color w:val="605E5C"/>
      <w:shd w:val="clear" w:color="auto" w:fill="E1DFDD"/>
    </w:rPr>
  </w:style>
  <w:style w:type="table" w:customStyle="1" w:styleId="78">
    <w:name w:val="网格型浅色1"/>
    <w:basedOn w:val="30"/>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79">
    <w:name w:val="正文首行缩进 Char"/>
    <w:basedOn w:val="32"/>
    <w:qFormat/>
    <w:uiPriority w:val="0"/>
    <w:rPr>
      <w:rFonts w:hint="eastAsia" w:ascii="黑体" w:hAnsi="宋体" w:eastAsia="黑体" w:cs="黑体"/>
      <w:color w:val="000000"/>
      <w:kern w:val="2"/>
      <w:sz w:val="28"/>
      <w:szCs w:val="24"/>
      <w:lang w:val="en-US" w:eastAsia="zh-CN" w:bidi="ar"/>
    </w:rPr>
  </w:style>
  <w:style w:type="character" w:customStyle="1" w:styleId="80">
    <w:name w:val="正文文本 字符"/>
    <w:basedOn w:val="32"/>
    <w:link w:val="14"/>
    <w:qFormat/>
    <w:uiPriority w:val="1"/>
    <w:rPr>
      <w:rFonts w:hint="eastAsia" w:ascii="黑体" w:hAnsi="宋体" w:eastAsia="黑体" w:cs="黑体"/>
      <w:color w:val="000000"/>
      <w:kern w:val="2"/>
      <w:sz w:val="21"/>
      <w:szCs w:val="24"/>
      <w:lang w:val="en-US" w:eastAsia="zh-CN" w:bidi="ar"/>
    </w:rPr>
  </w:style>
  <w:style w:type="character" w:customStyle="1" w:styleId="81">
    <w:name w:val="正文01 字符"/>
    <w:basedOn w:val="32"/>
    <w:link w:val="82"/>
    <w:qFormat/>
    <w:uiPriority w:val="0"/>
    <w:rPr>
      <w:rFonts w:hint="eastAsia" w:ascii="宋体" w:hAnsi="宋体" w:eastAsia="宋体" w:cs="宋体"/>
      <w:kern w:val="2"/>
      <w:sz w:val="24"/>
      <w:szCs w:val="24"/>
    </w:rPr>
  </w:style>
  <w:style w:type="paragraph" w:customStyle="1" w:styleId="82">
    <w:name w:val="正文01"/>
    <w:basedOn w:val="1"/>
    <w:link w:val="81"/>
    <w:qFormat/>
    <w:uiPriority w:val="0"/>
    <w:pPr>
      <w:widowControl w:val="0"/>
      <w:ind w:firstLine="480"/>
    </w:pPr>
    <w:rPr>
      <w:rFonts w:hint="eastAsia"/>
      <w:szCs w:val="24"/>
    </w:rPr>
  </w:style>
  <w:style w:type="paragraph" w:customStyle="1" w:styleId="83">
    <w:name w:val="msonormal"/>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4">
    <w:name w:val="font5"/>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5">
    <w:name w:val="font6"/>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6">
    <w:name w:val="xl65"/>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7">
    <w:name w:val="xl6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8">
    <w:name w:val="xl67"/>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9">
    <w:name w:val="xl68"/>
    <w:basedOn w:val="1"/>
    <w:qFormat/>
    <w:uiPriority w:val="0"/>
    <w:pP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90">
    <w:name w:val="4级要点"/>
    <w:next w:val="1"/>
    <w:qFormat/>
    <w:uiPriority w:val="0"/>
    <w:pPr>
      <w:keepNext/>
      <w:adjustRightInd w:val="0"/>
      <w:snapToGrid w:val="0"/>
      <w:spacing w:before="163" w:beforeLines="50" w:after="163" w:afterLines="50" w:line="360" w:lineRule="auto"/>
      <w:ind w:left="85" w:firstLine="340"/>
    </w:pPr>
    <w:rPr>
      <w:rFonts w:ascii="宋体" w:hAnsi="Times New Roman" w:eastAsia="宋体" w:cs="Times New Roman"/>
      <w:b/>
      <w:kern w:val="2"/>
      <w:sz w:val="24"/>
      <w:szCs w:val="22"/>
      <w:lang w:val="en-US" w:eastAsia="zh-CN" w:bidi="ar-SA"/>
    </w:rPr>
  </w:style>
  <w:style w:type="paragraph" w:customStyle="1" w:styleId="91">
    <w:name w:val="5级要点"/>
    <w:next w:val="1"/>
    <w:qFormat/>
    <w:uiPriority w:val="0"/>
    <w:pPr>
      <w:adjustRightInd w:val="0"/>
      <w:snapToGrid w:val="0"/>
      <w:spacing w:before="50" w:beforeLines="50" w:after="50" w:afterLines="50" w:line="360" w:lineRule="auto"/>
      <w:ind w:firstLine="567"/>
    </w:pPr>
    <w:rPr>
      <w:rFonts w:ascii="宋体" w:hAnsi="Times New Roman" w:eastAsia="宋体" w:cs="Times New Roman"/>
      <w:b/>
      <w:kern w:val="2"/>
      <w:sz w:val="24"/>
      <w:szCs w:val="22"/>
      <w:lang w:val="en-US" w:eastAsia="zh-CN" w:bidi="ar-SA"/>
    </w:rPr>
  </w:style>
  <w:style w:type="paragraph" w:customStyle="1" w:styleId="92">
    <w:name w:val="Default"/>
    <w:qFormat/>
    <w:uiPriority w:val="0"/>
    <w:pPr>
      <w:widowControl w:val="0"/>
      <w:autoSpaceDE w:val="0"/>
      <w:autoSpaceDN w:val="0"/>
      <w:adjustRightInd w:val="0"/>
    </w:pPr>
    <w:rPr>
      <w:rFonts w:ascii="黑体" w:hAnsi="黑体" w:eastAsia="宋体" w:cs="黑体"/>
      <w:color w:val="000000"/>
      <w:sz w:val="24"/>
      <w:szCs w:val="24"/>
      <w:lang w:val="en-US" w:eastAsia="zh-CN" w:bidi="ar-SA"/>
    </w:rPr>
  </w:style>
  <w:style w:type="character" w:customStyle="1" w:styleId="93">
    <w:name w:val="表 字符"/>
    <w:link w:val="94"/>
    <w:qFormat/>
    <w:locked/>
    <w:uiPriority w:val="0"/>
    <w:rPr>
      <w:rFonts w:ascii="宋体" w:hAnsi="宋体"/>
      <w:kern w:val="2"/>
      <w:sz w:val="21"/>
      <w:szCs w:val="21"/>
    </w:rPr>
  </w:style>
  <w:style w:type="paragraph" w:customStyle="1" w:styleId="94">
    <w:name w:val="表"/>
    <w:basedOn w:val="39"/>
    <w:link w:val="93"/>
    <w:qFormat/>
    <w:uiPriority w:val="0"/>
    <w:rPr>
      <w:sz w:val="21"/>
      <w:szCs w:val="21"/>
    </w:rPr>
  </w:style>
  <w:style w:type="character" w:customStyle="1" w:styleId="95">
    <w:name w:val="题注 字符"/>
    <w:link w:val="12"/>
    <w:qFormat/>
    <w:locked/>
    <w:uiPriority w:val="35"/>
    <w:rPr>
      <w:rFonts w:ascii="等线 Light" w:hAnsi="等线 Light" w:eastAsia="黑体"/>
      <w:kern w:val="2"/>
    </w:rPr>
  </w:style>
  <w:style w:type="paragraph" w:customStyle="1" w:styleId="96">
    <w:name w:val="表格"/>
    <w:basedOn w:val="1"/>
    <w:link w:val="97"/>
    <w:qFormat/>
    <w:uiPriority w:val="0"/>
    <w:pPr>
      <w:widowControl w:val="0"/>
      <w:adjustRightInd/>
      <w:snapToGrid/>
      <w:spacing w:line="580" w:lineRule="exact"/>
      <w:ind w:firstLine="0" w:firstLineChars="0"/>
      <w:jc w:val="center"/>
    </w:pPr>
    <w:rPr>
      <w:sz w:val="24"/>
      <w:szCs w:val="21"/>
    </w:rPr>
  </w:style>
  <w:style w:type="character" w:customStyle="1" w:styleId="97">
    <w:name w:val="表格 Char"/>
    <w:link w:val="96"/>
    <w:qFormat/>
    <w:locked/>
    <w:uiPriority w:val="0"/>
    <w:rPr>
      <w:rFonts w:ascii="宋体" w:hAnsi="宋体" w:eastAsia="仿宋_GB2312"/>
      <w:kern w:val="2"/>
      <w:sz w:val="24"/>
      <w:szCs w:val="21"/>
    </w:rPr>
  </w:style>
  <w:style w:type="paragraph" w:customStyle="1" w:styleId="98">
    <w:name w:val="专栏标题"/>
    <w:basedOn w:val="1"/>
    <w:link w:val="99"/>
    <w:qFormat/>
    <w:uiPriority w:val="0"/>
    <w:pPr>
      <w:spacing w:line="500" w:lineRule="exact"/>
      <w:ind w:firstLine="0" w:firstLineChars="0"/>
      <w:jc w:val="center"/>
    </w:pPr>
    <w:rPr>
      <w:b/>
      <w:bCs/>
      <w:sz w:val="28"/>
      <w:szCs w:val="20"/>
    </w:rPr>
  </w:style>
  <w:style w:type="character" w:customStyle="1" w:styleId="99">
    <w:name w:val="专栏标题 字符"/>
    <w:basedOn w:val="32"/>
    <w:link w:val="98"/>
    <w:qFormat/>
    <w:uiPriority w:val="0"/>
    <w:rPr>
      <w:rFonts w:ascii="宋体" w:hAnsi="宋体" w:eastAsia="仿宋_GB2312"/>
      <w:b/>
      <w:bCs/>
      <w:kern w:val="2"/>
      <w:sz w:val="28"/>
    </w:rPr>
  </w:style>
  <w:style w:type="paragraph" w:customStyle="1" w:styleId="100">
    <w:name w:val="_Style 2"/>
    <w:qFormat/>
    <w:uiPriority w:val="1"/>
    <w:pPr>
      <w:widowControl w:val="0"/>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01">
    <w:name w:val="专栏文字"/>
    <w:basedOn w:val="1"/>
    <w:link w:val="102"/>
    <w:qFormat/>
    <w:uiPriority w:val="0"/>
    <w:pPr>
      <w:widowControl w:val="0"/>
      <w:ind w:firstLine="420"/>
    </w:pPr>
    <w:rPr>
      <w:rFonts w:ascii="Times New Roman" w:hAnsi="Times New Roman"/>
      <w:sz w:val="21"/>
      <w:szCs w:val="20"/>
    </w:rPr>
  </w:style>
  <w:style w:type="character" w:customStyle="1" w:styleId="102">
    <w:name w:val="专栏文字 字符"/>
    <w:basedOn w:val="32"/>
    <w:link w:val="101"/>
    <w:qFormat/>
    <w:uiPriority w:val="0"/>
    <w:rPr>
      <w:rFonts w:eastAsia="仿宋_GB2312"/>
      <w:kern w:val="2"/>
      <w:sz w:val="21"/>
    </w:rPr>
  </w:style>
  <w:style w:type="paragraph" w:customStyle="1" w:styleId="103">
    <w:name w:val="专栏内容"/>
    <w:basedOn w:val="1"/>
    <w:link w:val="104"/>
    <w:qFormat/>
    <w:uiPriority w:val="0"/>
    <w:pPr>
      <w:widowControl w:val="0"/>
      <w:ind w:firstLine="422"/>
    </w:pPr>
    <w:rPr>
      <w:rFonts w:ascii="Times New Roman" w:hAnsi="Times New Roman"/>
      <w:bCs/>
      <w:sz w:val="21"/>
      <w:szCs w:val="20"/>
    </w:rPr>
  </w:style>
  <w:style w:type="character" w:customStyle="1" w:styleId="104">
    <w:name w:val="专栏内容 字符"/>
    <w:basedOn w:val="32"/>
    <w:link w:val="103"/>
    <w:qFormat/>
    <w:uiPriority w:val="0"/>
    <w:rPr>
      <w:rFonts w:eastAsia="仿宋_GB2312"/>
      <w:bCs/>
      <w:kern w:val="2"/>
      <w:sz w:val="21"/>
    </w:rPr>
  </w:style>
  <w:style w:type="paragraph" w:customStyle="1" w:styleId="105">
    <w:name w:val="注脚"/>
    <w:basedOn w:val="1"/>
    <w:link w:val="106"/>
    <w:qFormat/>
    <w:uiPriority w:val="0"/>
    <w:pPr>
      <w:ind w:firstLine="0" w:firstLineChars="0"/>
    </w:pPr>
    <w:rPr>
      <w:rFonts w:ascii="楷体_GB2312" w:eastAsia="楷体_GB2312"/>
      <w:sz w:val="24"/>
      <w:szCs w:val="20"/>
    </w:rPr>
  </w:style>
  <w:style w:type="character" w:customStyle="1" w:styleId="106">
    <w:name w:val="注脚 字符"/>
    <w:basedOn w:val="32"/>
    <w:link w:val="105"/>
    <w:qFormat/>
    <w:uiPriority w:val="0"/>
    <w:rPr>
      <w:rFonts w:ascii="楷体_GB2312" w:hAnsi="宋体" w:eastAsia="楷体_GB2312"/>
      <w:kern w:val="2"/>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104</Pages>
  <Words>6420</Words>
  <Characters>36598</Characters>
  <Lines>304</Lines>
  <Paragraphs>85</Paragraphs>
  <TotalTime>17</TotalTime>
  <ScaleCrop>false</ScaleCrop>
  <LinksUpToDate>false</LinksUpToDate>
  <CharactersWithSpaces>42933</CharactersWithSpaces>
  <Application>WPS Office_11.8.2.9980_F1E327BC-269C-435d-A152-05C5408002CA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2025-10-28T09:49:00Z</dcterms:created>
  <dc:creator>Lee wintersweet</dc:creator>
  <cp:lastModifiedBy>kylin</cp:lastModifiedBy>
  <cp:lastPrinted>2025-10-23T09:51:00Z</cp:lastPrinted>
  <dcterms:modified xsi:type="dcterms:W3CDTF">2026-02-05T15:46:09Z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2052-11.8.2.9980</vt:lpwstr>
  </property>
  <property fmtid="{D5CDD505-2E9C-101B-9397-08002B2CF9AE}" pid="3" name="ICV">
    <vt:lpwstr>CC32A8A839C84B26BCCA4409561D4E04</vt:lpwstr>
  </property>
</Properties>
</file>