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pPr>
    </w:p>
    <w:p>
      <w:pPr>
        <w:ind w:firstLine="640"/>
      </w:pPr>
    </w:p>
    <w:p>
      <w:pPr>
        <w:ind w:firstLine="640"/>
      </w:pPr>
    </w:p>
    <w:p>
      <w:pPr>
        <w:ind w:firstLine="640"/>
      </w:pPr>
    </w:p>
    <w:p>
      <w:pPr>
        <w:tabs>
          <w:tab w:val="left" w:pos="229"/>
          <w:tab w:val="center" w:pos="4264"/>
        </w:tabs>
        <w:spacing w:line="240" w:lineRule="auto"/>
        <w:ind w:firstLine="0" w:firstLineChars="0"/>
        <w:jc w:val="center"/>
        <w:rPr>
          <w:rFonts w:ascii="方正小标宋简体" w:hAnsi="黑体" w:eastAsia="方正小标宋简体"/>
          <w:bCs/>
          <w:sz w:val="48"/>
          <w:szCs w:val="48"/>
        </w:rPr>
      </w:pPr>
      <w:r>
        <w:rPr>
          <w:rFonts w:hint="eastAsia" w:ascii="方正小标宋简体" w:hAnsi="黑体" w:eastAsia="方正小标宋简体"/>
          <w:bCs/>
          <w:sz w:val="48"/>
          <w:szCs w:val="48"/>
        </w:rPr>
        <w:t>内乡县夏馆镇国土空间总体规划</w:t>
      </w:r>
    </w:p>
    <w:p>
      <w:pPr>
        <w:widowControl w:val="0"/>
        <w:adjustRightInd/>
        <w:snapToGrid/>
        <w:spacing w:line="240" w:lineRule="auto"/>
        <w:ind w:firstLine="0" w:firstLineChars="0"/>
        <w:jc w:val="center"/>
        <w:rPr>
          <w:rFonts w:ascii="方正小标宋简体" w:hAnsi="黑体" w:eastAsia="方正小标宋简体"/>
          <w:bCs/>
          <w:sz w:val="48"/>
          <w:szCs w:val="48"/>
        </w:rPr>
      </w:pPr>
      <w:r>
        <w:rPr>
          <w:rFonts w:hint="eastAsia" w:ascii="方正小标宋简体" w:hAnsi="黑体" w:eastAsia="方正小标宋简体"/>
          <w:bCs/>
          <w:sz w:val="48"/>
          <w:szCs w:val="48"/>
        </w:rPr>
        <w:t>（2021-2035年）</w:t>
      </w:r>
    </w:p>
    <w:p>
      <w:pPr>
        <w:spacing w:before="65"/>
        <w:ind w:firstLine="0" w:firstLineChars="0"/>
        <w:jc w:val="center"/>
        <w:rPr>
          <w:rFonts w:eastAsia="微软雅黑"/>
          <w:bCs/>
          <w:sz w:val="36"/>
        </w:rPr>
      </w:pPr>
    </w:p>
    <w:p>
      <w:pPr>
        <w:spacing w:before="65"/>
        <w:ind w:firstLine="0" w:firstLineChars="0"/>
        <w:jc w:val="center"/>
        <w:rPr>
          <w:rFonts w:ascii="方正小标宋简体" w:eastAsia="方正小标宋简体"/>
          <w:bCs/>
        </w:rPr>
      </w:pPr>
      <w:r>
        <w:rPr>
          <w:rFonts w:hint="eastAsia" w:ascii="方正小标宋简体" w:eastAsia="方正小标宋简体"/>
          <w:bCs/>
          <w:sz w:val="44"/>
          <w:szCs w:val="44"/>
        </w:rPr>
        <w:t>文  本</w:t>
      </w:r>
    </w:p>
    <w:p>
      <w:pPr>
        <w:spacing w:before="65"/>
        <w:ind w:firstLine="0" w:firstLineChars="0"/>
        <w:jc w:val="center"/>
        <w:rPr>
          <w:rFonts w:ascii="楷体" w:hAnsi="楷体" w:eastAsia="楷体" w:cs="楷体"/>
          <w:bCs/>
          <w:sz w:val="44"/>
          <w:szCs w:val="44"/>
        </w:rPr>
      </w:pPr>
      <w:bookmarkStart w:id="0" w:name="_Hlk196901031"/>
      <w:r>
        <w:rPr>
          <w:rFonts w:hint="eastAsia" w:ascii="楷体" w:hAnsi="楷体" w:eastAsia="楷体" w:cs="楷体"/>
          <w:bCs/>
          <w:sz w:val="44"/>
          <w:szCs w:val="44"/>
        </w:rPr>
        <w:t>（公示稿）</w:t>
      </w:r>
    </w:p>
    <w:bookmarkEnd w:id="0"/>
    <w:p>
      <w:pPr>
        <w:spacing w:before="65"/>
        <w:ind w:firstLine="0" w:firstLineChars="0"/>
        <w:jc w:val="center"/>
        <w:rPr>
          <w:rFonts w:ascii="楷体_GB2312" w:eastAsia="楷体_GB2312"/>
          <w:b/>
          <w:sz w:val="36"/>
          <w:szCs w:val="36"/>
        </w:rP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rPr>
          <w:rFonts w:ascii="楷体" w:hAnsi="楷体" w:eastAsia="楷体"/>
        </w:rPr>
      </w:pPr>
    </w:p>
    <w:p>
      <w:pPr>
        <w:spacing w:line="240" w:lineRule="auto"/>
        <w:ind w:firstLine="0" w:firstLineChars="0"/>
        <w:jc w:val="center"/>
        <w:rPr>
          <w:rFonts w:ascii="黑体" w:hAnsi="黑体" w:eastAsia="黑体"/>
          <w:szCs w:val="32"/>
        </w:rPr>
      </w:pPr>
      <w:r>
        <w:rPr>
          <w:rFonts w:hint="eastAsia" w:ascii="黑体" w:hAnsi="黑体" w:eastAsia="黑体"/>
          <w:szCs w:val="32"/>
        </w:rPr>
        <w:t>内乡县夏馆镇人民政府</w:t>
      </w:r>
    </w:p>
    <w:p>
      <w:pPr>
        <w:spacing w:before="65"/>
        <w:ind w:firstLine="0" w:firstLineChars="0"/>
        <w:jc w:val="center"/>
        <w:rPr>
          <w:rFonts w:ascii="黑体" w:hAnsi="黑体" w:eastAsia="黑体"/>
          <w:szCs w:val="32"/>
        </w:rPr>
      </w:pPr>
      <w:r>
        <w:rPr>
          <w:rFonts w:hint="eastAsia" w:ascii="黑体" w:hAnsi="黑体" w:eastAsia="黑体"/>
          <w:szCs w:val="32"/>
        </w:rPr>
        <w:t>2</w:t>
      </w:r>
      <w:r>
        <w:rPr>
          <w:rFonts w:ascii="黑体" w:hAnsi="黑体" w:eastAsia="黑体"/>
          <w:szCs w:val="32"/>
        </w:rPr>
        <w:t>026</w:t>
      </w:r>
      <w:r>
        <w:rPr>
          <w:rFonts w:hint="eastAsia" w:ascii="黑体" w:hAnsi="黑体" w:eastAsia="黑体"/>
          <w:szCs w:val="32"/>
        </w:rPr>
        <w:t>年</w:t>
      </w:r>
      <w:r>
        <w:rPr>
          <w:rFonts w:ascii="黑体" w:hAnsi="黑体" w:eastAsia="黑体"/>
          <w:szCs w:val="32"/>
        </w:rPr>
        <w:t>1</w:t>
      </w:r>
      <w:r>
        <w:rPr>
          <w:rFonts w:hint="eastAsia" w:ascii="黑体" w:hAnsi="黑体" w:eastAsia="黑体"/>
          <w:szCs w:val="32"/>
        </w:rPr>
        <w:t>月</w:t>
      </w:r>
    </w:p>
    <w:p>
      <w:pPr>
        <w:ind w:firstLine="640"/>
      </w:pPr>
    </w:p>
    <w:p>
      <w:pPr>
        <w:pStyle w:val="53"/>
        <w:spacing w:before="652" w:beforeLines="200" w:after="163"/>
        <w:jc w:val="both"/>
        <w:rPr>
          <w:b w:val="0"/>
          <w:bCs/>
          <w:spacing w:val="0"/>
          <w:sz w:val="36"/>
          <w:szCs w:val="36"/>
        </w:rPr>
        <w:sectPr>
          <w:headerReference r:id="rId7" w:type="first"/>
          <w:footerReference r:id="rId10" w:type="first"/>
          <w:headerReference r:id="rId5" w:type="default"/>
          <w:footerReference r:id="rId8" w:type="default"/>
          <w:headerReference r:id="rId6" w:type="even"/>
          <w:footerReference r:id="rId9" w:type="even"/>
          <w:pgSz w:w="11907" w:h="16839"/>
          <w:pgMar w:top="1440" w:right="1800" w:bottom="1440" w:left="1800" w:header="851" w:footer="992" w:gutter="0"/>
          <w:pgNumType w:start="1"/>
          <w:cols w:space="1137" w:num="1"/>
          <w:docGrid w:type="lines" w:linePitch="326" w:charSpace="0"/>
        </w:sectPr>
      </w:pPr>
    </w:p>
    <w:sdt>
      <w:sdtPr>
        <w:rPr>
          <w:rFonts w:hint="eastAsia" w:ascii="黑体" w:hAnsi="黑体" w:eastAsia="黑体" w:cs="黑体"/>
          <w:b/>
          <w:bCs/>
          <w:szCs w:val="32"/>
          <w:lang w:val="zh-CN"/>
        </w:rPr>
        <w:id w:val="-1"/>
        <w:docPartObj>
          <w:docPartGallery w:val="Table of Contents"/>
          <w:docPartUnique/>
        </w:docPartObj>
      </w:sdtPr>
      <w:sdtEndPr>
        <w:rPr>
          <w:rFonts w:hint="eastAsia" w:ascii="宋体" w:hAnsi="黑体" w:eastAsia="黑体" w:cs="黑体"/>
          <w:b/>
          <w:bCs/>
          <w:sz w:val="40"/>
          <w:szCs w:val="36"/>
          <w:lang w:val="zh-CN"/>
        </w:rPr>
      </w:sdtEndPr>
      <w:sdtContent>
        <w:p>
          <w:pPr>
            <w:spacing w:line="240" w:lineRule="auto"/>
            <w:ind w:firstLine="0" w:firstLineChars="0"/>
            <w:jc w:val="center"/>
            <w:rPr>
              <w:rFonts w:ascii="黑体" w:hAnsi="黑体" w:eastAsia="黑体"/>
              <w:sz w:val="44"/>
              <w:szCs w:val="44"/>
            </w:rPr>
          </w:pPr>
          <w:r>
            <w:rPr>
              <w:rFonts w:hint="eastAsia" w:ascii="黑体" w:hAnsi="黑体" w:eastAsia="黑体"/>
              <w:b/>
              <w:bCs/>
              <w:sz w:val="44"/>
              <w:szCs w:val="44"/>
            </w:rPr>
            <w:t>目 录</w:t>
          </w:r>
        </w:p>
        <w:p>
          <w:pPr>
            <w:pStyle w:val="22"/>
            <w:tabs>
              <w:tab w:val="right" w:leader="dot" w:pos="8297"/>
            </w:tabs>
            <w:rPr>
              <w:rFonts w:asciiTheme="minorHAnsi" w:hAnsiTheme="minorHAnsi" w:eastAsiaTheme="minorEastAsia" w:cstheme="minorBidi"/>
              <w:kern w:val="2"/>
              <w:sz w:val="21"/>
              <w:szCs w:val="22"/>
            </w:rPr>
          </w:pPr>
          <w:r>
            <w:rPr>
              <w:b/>
              <w:bCs/>
            </w:rPr>
            <w:fldChar w:fldCharType="begin"/>
          </w:r>
          <w:r>
            <w:rPr>
              <w:b/>
              <w:bCs/>
            </w:rPr>
            <w:instrText xml:space="preserve"> TOC \o "1-1" \h \z \u </w:instrText>
          </w:r>
          <w:r>
            <w:rPr>
              <w:b/>
              <w:bCs/>
            </w:rPr>
            <w:fldChar w:fldCharType="separate"/>
          </w:r>
          <w:r>
            <w:fldChar w:fldCharType="begin"/>
          </w:r>
          <w:r>
            <w:instrText xml:space="preserve"> HYPERLINK \l "_Toc221006216" </w:instrText>
          </w:r>
          <w:r>
            <w:fldChar w:fldCharType="separate"/>
          </w:r>
          <w:r>
            <w:rPr>
              <w:rStyle w:val="36"/>
            </w:rPr>
            <w:t>第一章 规划总则</w:t>
          </w:r>
          <w:r>
            <w:tab/>
          </w:r>
          <w:r>
            <w:fldChar w:fldCharType="begin"/>
          </w:r>
          <w:r>
            <w:instrText xml:space="preserve"> PAGEREF _Toc221006216 \h </w:instrText>
          </w:r>
          <w:r>
            <w:fldChar w:fldCharType="separate"/>
          </w:r>
          <w:r>
            <w:t>1</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"_Toc221006217" </w:instrText>
          </w:r>
          <w:r>
            <w:fldChar w:fldCharType="separate"/>
          </w:r>
          <w:r>
            <w:rPr>
              <w:rStyle w:val="36"/>
            </w:rPr>
            <w:t>第二章 现状分析</w:t>
          </w:r>
          <w:r>
            <w:tab/>
          </w:r>
          <w:r>
            <w:fldChar w:fldCharType="begin"/>
          </w:r>
          <w:r>
            <w:instrText xml:space="preserve"> PAGEREF _Toc221006217 \h </w:instrText>
          </w:r>
          <w:r>
            <w:fldChar w:fldCharType="separate"/>
          </w:r>
          <w:r>
            <w:t>4</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"_Toc221006218" </w:instrText>
          </w:r>
          <w:r>
            <w:fldChar w:fldCharType="separate"/>
          </w:r>
          <w:r>
            <w:rPr>
              <w:rStyle w:val="36"/>
            </w:rPr>
            <w:t>第三章 发展定位与目标</w:t>
          </w:r>
          <w:r>
            <w:tab/>
          </w:r>
          <w:r>
            <w:fldChar w:fldCharType="begin"/>
          </w:r>
          <w:r>
            <w:instrText xml:space="preserve"> PAGEREF _Toc221006218 \h </w:instrText>
          </w:r>
          <w:r>
            <w:fldChar w:fldCharType="separate"/>
          </w:r>
          <w:r>
            <w:t>11</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"_Toc221006219" </w:instrText>
          </w:r>
          <w:r>
            <w:fldChar w:fldCharType="separate"/>
          </w:r>
          <w:r>
            <w:rPr>
              <w:rStyle w:val="36"/>
            </w:rPr>
            <w:t>第四章 底线约束</w:t>
          </w:r>
          <w:r>
            <w:tab/>
          </w:r>
          <w:r>
            <w:fldChar w:fldCharType="begin"/>
          </w:r>
          <w:r>
            <w:instrText xml:space="preserve"> PAGEREF _Toc221006219 \h </w:instrText>
          </w:r>
          <w:r>
            <w:fldChar w:fldCharType="separate"/>
          </w:r>
          <w:r>
            <w:t>14</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"_Toc221006220" </w:instrText>
          </w:r>
          <w:r>
            <w:fldChar w:fldCharType="separate"/>
          </w:r>
          <w:r>
            <w:rPr>
              <w:rStyle w:val="36"/>
            </w:rPr>
            <w:t>第五章 规划分区</w:t>
          </w:r>
          <w:r>
            <w:tab/>
          </w:r>
          <w:r>
            <w:fldChar w:fldCharType="begin"/>
          </w:r>
          <w:r>
            <w:instrText xml:space="preserve"> PAGEREF _Toc221006220 \h </w:instrText>
          </w:r>
          <w:r>
            <w:fldChar w:fldCharType="separate"/>
          </w:r>
          <w:r>
            <w:t>17</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"_Toc221006221" </w:instrText>
          </w:r>
          <w:r>
            <w:fldChar w:fldCharType="separate"/>
          </w:r>
          <w:r>
            <w:rPr>
              <w:rStyle w:val="36"/>
            </w:rPr>
            <w:t>第六章 国土空间功能结构调整</w:t>
          </w:r>
          <w:r>
            <w:tab/>
          </w:r>
          <w:r>
            <w:fldChar w:fldCharType="begin"/>
          </w:r>
          <w:r>
            <w:instrText xml:space="preserve"> PAGEREF _Toc221006221 \h </w:instrText>
          </w:r>
          <w:r>
            <w:fldChar w:fldCharType="separate"/>
          </w:r>
          <w:r>
            <w:t>27</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"_Toc221006222" </w:instrText>
          </w:r>
          <w:r>
            <w:fldChar w:fldCharType="separate"/>
          </w:r>
          <w:r>
            <w:rPr>
              <w:rStyle w:val="36"/>
            </w:rPr>
            <w:t>第七章 自然资源保护与利用</w:t>
          </w:r>
          <w:r>
            <w:tab/>
          </w:r>
          <w:r>
            <w:fldChar w:fldCharType="begin"/>
          </w:r>
          <w:r>
            <w:instrText xml:space="preserve"> PAGEREF _Toc221006222 \h </w:instrText>
          </w:r>
          <w:r>
            <w:fldChar w:fldCharType="separate"/>
          </w:r>
          <w:r>
            <w:t>30</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"_Toc221006223" </w:instrText>
          </w:r>
          <w:r>
            <w:fldChar w:fldCharType="separate"/>
          </w:r>
          <w:r>
            <w:rPr>
              <w:rStyle w:val="36"/>
            </w:rPr>
            <w:t>第八章 产业规划</w:t>
          </w:r>
          <w:r>
            <w:tab/>
          </w:r>
          <w:r>
            <w:fldChar w:fldCharType="begin"/>
          </w:r>
          <w:r>
            <w:instrText xml:space="preserve"> PAGEREF _Toc221006223 \h </w:instrText>
          </w:r>
          <w:r>
            <w:fldChar w:fldCharType="separate"/>
          </w:r>
          <w:r>
            <w:t>43</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"_Toc221006224" </w:instrText>
          </w:r>
          <w:r>
            <w:fldChar w:fldCharType="separate"/>
          </w:r>
          <w:r>
            <w:rPr>
              <w:rStyle w:val="36"/>
            </w:rPr>
            <w:t>第九章 村庄布局</w:t>
          </w:r>
          <w:r>
            <w:tab/>
          </w:r>
          <w:r>
            <w:fldChar w:fldCharType="begin"/>
          </w:r>
          <w:r>
            <w:instrText xml:space="preserve"> PAGEREF _Toc221006224 \h </w:instrText>
          </w:r>
          <w:r>
            <w:fldChar w:fldCharType="separate"/>
          </w:r>
          <w:r>
            <w:t>47</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"_Toc221006225" </w:instrText>
          </w:r>
          <w:r>
            <w:fldChar w:fldCharType="separate"/>
          </w:r>
          <w:r>
            <w:rPr>
              <w:rStyle w:val="36"/>
            </w:rPr>
            <w:t>第十章 支撑体系规划</w:t>
          </w:r>
          <w:r>
            <w:tab/>
          </w:r>
          <w:r>
            <w:fldChar w:fldCharType="begin"/>
          </w:r>
          <w:r>
            <w:instrText xml:space="preserve"> PAGEREF _Toc221006225 \h </w:instrText>
          </w:r>
          <w:r>
            <w:fldChar w:fldCharType="separate"/>
          </w:r>
          <w:r>
            <w:t>53</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"_Toc221006226" </w:instrText>
          </w:r>
          <w:r>
            <w:fldChar w:fldCharType="separate"/>
          </w:r>
          <w:r>
            <w:rPr>
              <w:rStyle w:val="36"/>
            </w:rPr>
            <w:t>第十一章 历史文化与景观风貌规划</w:t>
          </w:r>
          <w:r>
            <w:tab/>
          </w:r>
          <w:r>
            <w:fldChar w:fldCharType="begin"/>
          </w:r>
          <w:r>
            <w:instrText xml:space="preserve"> PAGEREF _Toc221006226 \h </w:instrText>
          </w:r>
          <w:r>
            <w:fldChar w:fldCharType="separate"/>
          </w:r>
          <w:r>
            <w:t>64</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"_Toc221006227" </w:instrText>
          </w:r>
          <w:r>
            <w:fldChar w:fldCharType="separate"/>
          </w:r>
          <w:r>
            <w:rPr>
              <w:rStyle w:val="36"/>
            </w:rPr>
            <w:t>第十二章 乡镇政府驻地规划</w:t>
          </w:r>
          <w:r>
            <w:tab/>
          </w:r>
          <w:r>
            <w:fldChar w:fldCharType="begin"/>
          </w:r>
          <w:r>
            <w:instrText xml:space="preserve"> PAGEREF _Toc221006227 \h </w:instrText>
          </w:r>
          <w:r>
            <w:fldChar w:fldCharType="separate"/>
          </w:r>
          <w:r>
            <w:t>68</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"_Toc221006228" </w:instrText>
          </w:r>
          <w:r>
            <w:fldChar w:fldCharType="separate"/>
          </w:r>
          <w:r>
            <w:rPr>
              <w:rStyle w:val="36"/>
            </w:rPr>
            <w:t>第十三章 土地综合整治与生态修复</w:t>
          </w:r>
          <w:r>
            <w:tab/>
          </w:r>
          <w:r>
            <w:fldChar w:fldCharType="begin"/>
          </w:r>
          <w:r>
            <w:instrText xml:space="preserve"> PAGEREF _Toc221006228 \h </w:instrText>
          </w:r>
          <w:r>
            <w:fldChar w:fldCharType="separate"/>
          </w:r>
          <w:r>
            <w:t>85</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"_Toc221006229" </w:instrText>
          </w:r>
          <w:r>
            <w:fldChar w:fldCharType="separate"/>
          </w:r>
          <w:r>
            <w:rPr>
              <w:rStyle w:val="36"/>
            </w:rPr>
            <w:t>第十四章 规划传导</w:t>
          </w:r>
          <w:r>
            <w:tab/>
          </w:r>
          <w:r>
            <w:fldChar w:fldCharType="begin"/>
          </w:r>
          <w:r>
            <w:instrText xml:space="preserve"> PAGEREF _Toc221006229 \h </w:instrText>
          </w:r>
          <w:r>
            <w:fldChar w:fldCharType="separate"/>
          </w:r>
          <w:r>
            <w:t>89</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"_Toc221006230" </w:instrText>
          </w:r>
          <w:r>
            <w:fldChar w:fldCharType="separate"/>
          </w:r>
          <w:r>
            <w:rPr>
              <w:rStyle w:val="36"/>
            </w:rPr>
            <w:t>第十五章 实施保障</w:t>
          </w:r>
          <w:r>
            <w:tab/>
          </w:r>
          <w:r>
            <w:fldChar w:fldCharType="begin"/>
          </w:r>
          <w:r>
            <w:instrText xml:space="preserve"> PAGEREF _Toc221006230 \h </w:instrText>
          </w:r>
          <w:r>
            <w:fldChar w:fldCharType="separate"/>
          </w:r>
          <w:r>
            <w:t>111</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"_Toc221006231" </w:instrText>
          </w:r>
          <w:r>
            <w:fldChar w:fldCharType="separate"/>
          </w:r>
          <w:r>
            <w:rPr>
              <w:rStyle w:val="36"/>
            </w:rPr>
            <w:t>第十六章 “通则式”村庄规划管理规定</w:t>
          </w:r>
          <w:r>
            <w:tab/>
          </w:r>
          <w:r>
            <w:fldChar w:fldCharType="begin"/>
          </w:r>
          <w:r>
            <w:instrText xml:space="preserve"> PAGEREF _Toc221006231 \h </w:instrText>
          </w:r>
          <w:r>
            <w:fldChar w:fldCharType="separate"/>
          </w:r>
          <w:r>
            <w:t>114</w:t>
          </w:r>
          <w:r>
            <w:fldChar w:fldCharType="end"/>
          </w:r>
          <w:r>
            <w:fldChar w:fldCharType="end"/>
          </w:r>
        </w:p>
        <w:p>
          <w:pPr>
            <w:spacing w:before="65" w:after="163" w:line="600" w:lineRule="exact"/>
            <w:ind w:firstLine="0" w:firstLineChars="0"/>
          </w:pPr>
          <w:r>
            <w:rPr>
              <w:rFonts w:ascii="楷体" w:hAnsi="楷体" w:eastAsia="楷体" w:cs="楷体"/>
              <w:b/>
              <w:bCs/>
              <w:kern w:val="0"/>
              <w:szCs w:val="32"/>
            </w:rPr>
            <w:fldChar w:fldCharType="end"/>
          </w:r>
        </w:p>
      </w:sdtContent>
    </w:sdt>
    <w:p>
      <w:pPr>
        <w:spacing w:before="65" w:after="163"/>
        <w:ind w:firstLine="640"/>
      </w:pPr>
    </w:p>
    <w:p>
      <w:pPr>
        <w:spacing w:before="65" w:after="163"/>
        <w:ind w:firstLine="640"/>
        <w:sectPr>
          <w:pgSz w:w="11907" w:h="16839"/>
          <w:pgMar w:top="1440" w:right="1800" w:bottom="1440" w:left="1800" w:header="851" w:footer="992" w:gutter="0"/>
          <w:pgNumType w:start="1"/>
          <w:cols w:space="1137" w:num="1"/>
          <w:docGrid w:type="lines" w:linePitch="326" w:charSpace="0"/>
        </w:sectPr>
      </w:pPr>
    </w:p>
    <w:p>
      <w:pPr>
        <w:ind w:firstLine="640"/>
      </w:pPr>
      <w:bookmarkStart w:id="1" w:name="_Toc183017764"/>
      <w:bookmarkStart w:id="2" w:name="_Toc127432230"/>
      <w:bookmarkStart w:id="3" w:name="_Toc129339489"/>
    </w:p>
    <w:p>
      <w:pPr>
        <w:pStyle w:val="2"/>
        <w:spacing w:before="489" w:beforeLines="150" w:after="489" w:afterLines="150"/>
      </w:pPr>
      <w:bookmarkStart w:id="4" w:name="_Toc211259320"/>
      <w:bookmarkStart w:id="5" w:name="_Toc221006216"/>
      <w:r>
        <w:rPr>
          <w:rFonts w:hint="eastAsia"/>
        </w:rPr>
        <w:t>规划总则</w:t>
      </w:r>
      <w:bookmarkEnd w:id="1"/>
      <w:bookmarkEnd w:id="4"/>
      <w:bookmarkEnd w:id="5"/>
    </w:p>
    <w:p>
      <w:pPr>
        <w:pStyle w:val="4"/>
        <w:spacing w:before="195" w:after="195"/>
      </w:pPr>
      <w:r>
        <w:rPr>
          <w:rFonts w:hint="eastAsia"/>
        </w:rPr>
        <w:t>规划目的</w:t>
      </w:r>
    </w:p>
    <w:p>
      <w:pPr>
        <w:spacing w:before="65"/>
        <w:ind w:firstLine="640"/>
      </w:pPr>
      <w:bookmarkStart w:id="6" w:name="_Hlk221110262"/>
      <w:r>
        <w:rPr>
          <w:rFonts w:hint="eastAsia"/>
        </w:rPr>
        <w:t>为落实习近平生态文明思想和总体国家安全观，贯彻《中共中央国务院关于建立国土空间规划体系并监督实施的若干意见》要求，细化落实</w:t>
      </w:r>
      <w:r>
        <w:t>《</w:t>
      </w:r>
      <w:r>
        <w:rPr>
          <w:rFonts w:hint="eastAsia"/>
        </w:rPr>
        <w:t>内乡县</w:t>
      </w:r>
      <w:r>
        <w:t>国土空间总体规划（2021-2035年）》，科学有序地推进</w:t>
      </w:r>
      <w:r>
        <w:rPr>
          <w:rFonts w:hint="eastAsia"/>
        </w:rPr>
        <w:t>夏馆镇</w:t>
      </w:r>
      <w:r>
        <w:t>国土空间开发保护的总体安排和综合部署，统筹</w:t>
      </w:r>
      <w:r>
        <w:rPr>
          <w:rFonts w:hint="eastAsia"/>
        </w:rPr>
        <w:t>夏馆镇</w:t>
      </w:r>
      <w:r>
        <w:t>的农业、生态、城镇空间，全面提升</w:t>
      </w:r>
      <w:r>
        <w:rPr>
          <w:rFonts w:hint="eastAsia"/>
        </w:rPr>
        <w:t>夏馆镇</w:t>
      </w:r>
      <w:r>
        <w:t>国土空间治理体系和治理能力现代化水平，特编制《</w:t>
      </w:r>
      <w:r>
        <w:rPr>
          <w:rFonts w:hint="eastAsia"/>
        </w:rPr>
        <w:t>内乡县夏馆镇</w:t>
      </w:r>
      <w:r>
        <w:t>国土空间总体规划（2021-2035年）》（以下简称本规划）</w:t>
      </w:r>
      <w:bookmarkEnd w:id="6"/>
      <w:r>
        <w:rPr>
          <w:rFonts w:hint="eastAsia"/>
        </w:rPr>
        <w:t>。</w:t>
      </w:r>
    </w:p>
    <w:p>
      <w:pPr>
        <w:pStyle w:val="4"/>
        <w:spacing w:before="195" w:after="195"/>
      </w:pPr>
      <w:r>
        <w:rPr>
          <w:rFonts w:hint="eastAsia"/>
        </w:rPr>
        <w:t>指导思想</w:t>
      </w:r>
    </w:p>
    <w:p>
      <w:pPr>
        <w:ind w:firstLine="640"/>
      </w:pPr>
      <w:r>
        <w:rPr>
          <w:rFonts w:hint="eastAsia"/>
        </w:rPr>
        <w:t>以习近平新时代中国特色社会主义思想为指导，紧紧围绕统筹推进“五位一体”总体布局和协调推进“四个全面”战略布局，践行“两高四着力”重大要求，优化国土空间开发格局，加快构建科学有序的国土空间布局体系，统筹安排国土空间开发、资源环境保护、国土综合整治、生态修复和保障体系建设，提升国土空间品质和利用效率，提高国土空间治理能力，推进乡村振兴，促进夏馆镇经济社会发展更高质量、更有效率、更加公平、更可持续。</w:t>
      </w:r>
    </w:p>
    <w:p>
      <w:pPr>
        <w:pStyle w:val="4"/>
        <w:spacing w:before="195" w:after="195"/>
      </w:pPr>
      <w:r>
        <w:rPr>
          <w:rFonts w:hint="eastAsia"/>
        </w:rPr>
        <w:t>规划原则</w:t>
      </w:r>
    </w:p>
    <w:p>
      <w:pPr>
        <w:pStyle w:val="5"/>
        <w:spacing w:before="97" w:after="97"/>
        <w:ind w:firstLine="640"/>
      </w:pPr>
      <w:r>
        <w:rPr>
          <w:rFonts w:hint="eastAsia"/>
        </w:rPr>
        <w:t>生态优先、绿色发展</w:t>
      </w:r>
    </w:p>
    <w:p>
      <w:pPr>
        <w:spacing w:before="65"/>
        <w:ind w:firstLine="640"/>
      </w:pPr>
      <w:r>
        <w:rPr>
          <w:rFonts w:hint="eastAsia"/>
        </w:rPr>
        <w:t>贯彻新时代新要求，坚持内涵式、集约型、绿色化的高质量发展新路子，在资源环境紧约束下编制规划，推动形成绿色发展方式和生活方式，形成发展新的增长点和竞争力。</w:t>
      </w:r>
    </w:p>
    <w:p>
      <w:pPr>
        <w:pStyle w:val="5"/>
        <w:spacing w:before="97" w:after="97"/>
        <w:ind w:firstLine="640"/>
      </w:pPr>
      <w:r>
        <w:rPr>
          <w:rFonts w:hint="eastAsia"/>
        </w:rPr>
        <w:t>以人为本、品质提升</w:t>
      </w:r>
    </w:p>
    <w:p>
      <w:pPr>
        <w:spacing w:before="65"/>
        <w:ind w:firstLine="640"/>
      </w:pPr>
      <w:r>
        <w:rPr>
          <w:rFonts w:hint="eastAsia"/>
        </w:rPr>
        <w:t>坚持以人民为中心，塑造高品质人居环境，着力破解各类民生问题，不断提升人民群众的获得感、幸福感、安全感。</w:t>
      </w:r>
    </w:p>
    <w:p>
      <w:pPr>
        <w:pStyle w:val="5"/>
        <w:spacing w:before="97" w:after="97"/>
        <w:ind w:firstLine="640"/>
      </w:pPr>
      <w:r>
        <w:rPr>
          <w:rFonts w:hint="eastAsia"/>
        </w:rPr>
        <w:t>全域统筹、城乡融合</w:t>
      </w:r>
    </w:p>
    <w:p>
      <w:pPr>
        <w:spacing w:before="65"/>
        <w:ind w:firstLine="640"/>
      </w:pPr>
      <w:r>
        <w:rPr>
          <w:rFonts w:hint="eastAsia"/>
        </w:rPr>
        <w:t>结合本地实际，发挥本地特色和优势，落实乡村振兴、区域协调发展、可持续发展等空间发展战略，推动形成开放协调的空间发展格局。</w:t>
      </w:r>
    </w:p>
    <w:p>
      <w:pPr>
        <w:pStyle w:val="5"/>
        <w:spacing w:before="97" w:after="97"/>
        <w:ind w:firstLine="640"/>
      </w:pPr>
      <w:r>
        <w:rPr>
          <w:rFonts w:hint="eastAsia"/>
        </w:rPr>
        <w:t>问题导向、目标导向</w:t>
      </w:r>
    </w:p>
    <w:p>
      <w:pPr>
        <w:spacing w:before="65"/>
        <w:ind w:firstLine="640"/>
      </w:pPr>
      <w:r>
        <w:rPr>
          <w:rFonts w:hint="eastAsia"/>
        </w:rPr>
        <w:t>按照“问题-目标-策略-机制”的逻辑，因地制宜制定规划方案和实施措施，充分发挥乡镇级总规在空间治理中的基础作用，确保规划能用、管用、好用。</w:t>
      </w:r>
    </w:p>
    <w:p>
      <w:pPr>
        <w:pStyle w:val="4"/>
        <w:spacing w:before="195" w:beforeLines="60" w:after="195" w:afterLines="60" w:line="240" w:lineRule="auto"/>
      </w:pPr>
      <w:r>
        <w:rPr>
          <w:rFonts w:hint="eastAsia"/>
        </w:rPr>
        <w:t>规划范围</w:t>
      </w:r>
    </w:p>
    <w:p>
      <w:pPr>
        <w:spacing w:before="65"/>
        <w:ind w:firstLine="640"/>
      </w:pPr>
      <w:r>
        <w:rPr>
          <w:rFonts w:hint="eastAsia"/>
        </w:rPr>
        <w:t>规划范围为夏馆镇行政辖区内全部国土空间，包含镇域和镇区两个层次。其中：</w:t>
      </w:r>
    </w:p>
    <w:p>
      <w:pPr>
        <w:spacing w:before="65"/>
        <w:ind w:firstLine="640"/>
      </w:pPr>
      <w:r>
        <w:rPr>
          <w:rFonts w:hint="eastAsia"/>
        </w:rPr>
        <w:t>镇域范围为夏馆镇行政辖区内全部国土空间，总面积</w:t>
      </w:r>
      <w:r>
        <w:t>358.25</w:t>
      </w:r>
      <w:r>
        <w:rPr>
          <w:rFonts w:hint="eastAsia"/>
        </w:rPr>
        <w:t>平方公里。</w:t>
      </w:r>
    </w:p>
    <w:p>
      <w:pPr>
        <w:spacing w:before="65"/>
        <w:ind w:firstLine="640"/>
      </w:pPr>
      <w:r>
        <w:rPr>
          <w:rFonts w:hint="eastAsia"/>
        </w:rPr>
        <w:t>镇区范围为夏馆镇政府驻地周边，</w:t>
      </w:r>
      <w:r>
        <w:rPr>
          <w:rFonts w:hint="eastAsia"/>
          <w:lang w:bidi="ar"/>
        </w:rPr>
        <w:t>国道2</w:t>
      </w:r>
      <w:r>
        <w:rPr>
          <w:lang w:bidi="ar"/>
        </w:rPr>
        <w:t>41</w:t>
      </w:r>
      <w:r>
        <w:rPr>
          <w:rFonts w:hint="eastAsia"/>
          <w:lang w:bidi="ar"/>
        </w:rPr>
        <w:t>两侧城镇开发边界范围内，总面积</w:t>
      </w:r>
      <w:r>
        <w:rPr>
          <w:lang w:bidi="ar"/>
        </w:rPr>
        <w:t>83.40</w:t>
      </w:r>
      <w:r>
        <w:rPr>
          <w:rFonts w:hint="eastAsia"/>
          <w:lang w:bidi="ar"/>
        </w:rPr>
        <w:t>公顷。</w:t>
      </w:r>
    </w:p>
    <w:p>
      <w:pPr>
        <w:pStyle w:val="4"/>
        <w:spacing w:before="195" w:beforeLines="60" w:after="195" w:afterLines="60" w:line="240" w:lineRule="auto"/>
      </w:pPr>
      <w:r>
        <w:rPr>
          <w:rFonts w:hint="eastAsia"/>
        </w:rPr>
        <w:t>规划期限</w:t>
      </w:r>
    </w:p>
    <w:p>
      <w:pPr>
        <w:spacing w:before="65"/>
        <w:ind w:firstLine="640"/>
      </w:pPr>
      <w:r>
        <w:rPr>
          <w:rFonts w:hint="eastAsia"/>
        </w:rPr>
        <w:t>规划期限为2</w:t>
      </w:r>
      <w:r>
        <w:t>021</w:t>
      </w:r>
      <w:r>
        <w:rPr>
          <w:rFonts w:hint="eastAsia"/>
        </w:rPr>
        <w:t>年至2</w:t>
      </w:r>
      <w:r>
        <w:t>035</w:t>
      </w:r>
      <w:r>
        <w:rPr>
          <w:rFonts w:hint="eastAsia"/>
        </w:rPr>
        <w:t>年。</w:t>
      </w:r>
    </w:p>
    <w:p>
      <w:pPr>
        <w:spacing w:before="65"/>
        <w:ind w:firstLine="640"/>
      </w:pPr>
      <w:r>
        <w:rPr>
          <w:rFonts w:hint="eastAsia"/>
        </w:rPr>
        <w:t>基期年为2</w:t>
      </w:r>
      <w:r>
        <w:t>020</w:t>
      </w:r>
      <w:r>
        <w:rPr>
          <w:rFonts w:hint="eastAsia"/>
        </w:rPr>
        <w:t>年，近期至2</w:t>
      </w:r>
      <w:r>
        <w:t>025</w:t>
      </w:r>
      <w:r>
        <w:rPr>
          <w:rFonts w:hint="eastAsia"/>
        </w:rPr>
        <w:t>年，</w:t>
      </w:r>
      <w:r>
        <w:t>远期至2035年，</w:t>
      </w:r>
      <w:r>
        <w:rPr>
          <w:rFonts w:hint="eastAsia"/>
        </w:rPr>
        <w:t>远景展望至2</w:t>
      </w:r>
      <w:r>
        <w:t>050</w:t>
      </w:r>
      <w:r>
        <w:rPr>
          <w:rFonts w:hint="eastAsia"/>
        </w:rPr>
        <w:t>年。</w:t>
      </w:r>
    </w:p>
    <w:p>
      <w:pPr>
        <w:pStyle w:val="4"/>
        <w:spacing w:before="195" w:beforeLines="60" w:after="195" w:afterLines="60" w:line="240" w:lineRule="auto"/>
      </w:pPr>
      <w:r>
        <w:rPr>
          <w:rFonts w:hint="eastAsia"/>
        </w:rPr>
        <w:t>规划成果</w:t>
      </w:r>
    </w:p>
    <w:p>
      <w:pPr>
        <w:spacing w:before="65"/>
        <w:ind w:firstLine="640"/>
      </w:pPr>
      <w:r>
        <w:rPr>
          <w:rFonts w:hint="eastAsia"/>
        </w:rPr>
        <w:t>规划成果包括规划文本、图集、数据库和附件。附件包括规划说明、征求意见采纳情况、专家论证意见等其他材料。其中，规划文本、图件是法定文件。规划说明和相关附件是支撑法定性文件的论证依据。</w:t>
      </w:r>
    </w:p>
    <w:p>
      <w:pPr>
        <w:pStyle w:val="4"/>
      </w:pPr>
      <w:r>
        <w:rPr>
          <w:rFonts w:hint="eastAsia"/>
        </w:rPr>
        <w:t>强制性内容</w:t>
      </w:r>
    </w:p>
    <w:p>
      <w:pPr>
        <w:spacing w:before="65"/>
        <w:ind w:firstLine="640"/>
      </w:pPr>
      <w:r>
        <w:rPr>
          <w:rFonts w:hint="eastAsia"/>
        </w:rPr>
        <w:t>文本条款中下划线部分为强制性内容，应严格遵守落实。规划实施管理不得违背强制性内容，调整强制性内容必须按照相关法定程序执行。</w:t>
      </w:r>
    </w:p>
    <w:p>
      <w:pPr>
        <w:spacing w:before="65"/>
        <w:ind w:firstLine="640"/>
      </w:pPr>
    </w:p>
    <w:p>
      <w:pPr>
        <w:ind w:firstLine="640"/>
      </w:pPr>
      <w:bookmarkStart w:id="7" w:name="_Toc183017765"/>
      <w:r>
        <w:br w:type="page"/>
      </w:r>
    </w:p>
    <w:p>
      <w:pPr>
        <w:ind w:firstLine="640"/>
      </w:pPr>
    </w:p>
    <w:p>
      <w:pPr>
        <w:pStyle w:val="2"/>
        <w:spacing w:before="489" w:beforeLines="150" w:after="489" w:afterLines="150"/>
      </w:pPr>
      <w:bookmarkStart w:id="8" w:name="_Toc221006217"/>
      <w:bookmarkStart w:id="9" w:name="_Toc211259321"/>
      <w:r>
        <w:rPr>
          <w:rFonts w:hint="eastAsia"/>
        </w:rPr>
        <w:t>现状分析</w:t>
      </w:r>
      <w:bookmarkEnd w:id="7"/>
      <w:bookmarkEnd w:id="8"/>
      <w:bookmarkEnd w:id="9"/>
    </w:p>
    <w:p>
      <w:pPr>
        <w:pStyle w:val="3"/>
        <w:spacing w:before="326" w:beforeLines="100" w:after="326" w:afterLines="100"/>
      </w:pPr>
      <w:bookmarkStart w:id="10" w:name="_Toc183017766"/>
      <w:r>
        <w:rPr>
          <w:rFonts w:hint="eastAsia"/>
        </w:rPr>
        <w:t>自然地理格局和资源禀赋</w:t>
      </w:r>
      <w:bookmarkEnd w:id="10"/>
    </w:p>
    <w:p>
      <w:pPr>
        <w:pStyle w:val="4"/>
        <w:spacing w:before="195" w:beforeLines="60" w:after="195" w:afterLines="60" w:line="240" w:lineRule="auto"/>
      </w:pPr>
      <w:r>
        <w:rPr>
          <w:rFonts w:hint="eastAsia"/>
        </w:rPr>
        <w:t>自然地理格局</w:t>
      </w:r>
    </w:p>
    <w:p>
      <w:pPr>
        <w:spacing w:before="65"/>
        <w:ind w:firstLine="640"/>
      </w:pPr>
      <w:r>
        <w:rPr>
          <w:rFonts w:hint="eastAsia"/>
        </w:rPr>
        <w:t>夏馆境处暖温带向北亚热带过渡地带，为本区气候属大陆性季风气候。气候温和湿润，四季分明，夏季炎热，雨量集中，冬季较冷，雨雪偏少。但是，由于境内南北地势的高低悬殊，气候在一定程度出现了偏差。由于本区山体高大，地形复杂，相对高差</w:t>
      </w:r>
      <w:r>
        <w:t>1000M，对太阳辐射、气温、降水等气候要素有明显再分配作用，呈现出典型小气候</w:t>
      </w:r>
      <w:bookmarkStart w:id="11" w:name="_Hlk181973278"/>
      <w:r>
        <w:rPr>
          <w:rFonts w:hint="eastAsia"/>
        </w:rPr>
        <w:t>型</w:t>
      </w:r>
      <w:bookmarkEnd w:id="11"/>
      <w:r>
        <w:t>，夏季最热时也仅25度。</w:t>
      </w:r>
    </w:p>
    <w:p>
      <w:pPr>
        <w:spacing w:before="65"/>
        <w:ind w:firstLine="640"/>
      </w:pPr>
      <w:r>
        <w:rPr>
          <w:rFonts w:hint="eastAsia"/>
        </w:rPr>
        <w:t>一月份，南部平均气温为</w:t>
      </w:r>
      <w:r>
        <w:t>0°C左右，北部平均气温为0°C—-3°C，南北差距为3°C；七月份，南部平均气温32°C，北部只有25°C左右，南北气温差距达7°C，极端最高气温为42.1°C，极端最低气温为-14.4°C。</w:t>
      </w:r>
      <w:r>
        <w:rPr>
          <w:rFonts w:hint="eastAsia"/>
        </w:rPr>
        <w:t>全镇平均降水量为</w:t>
      </w:r>
      <w:r>
        <w:t>850—900毫米，最低为570.7毫米，最高为1449.2毫米。</w:t>
      </w:r>
      <w:r>
        <w:rPr>
          <w:rFonts w:hint="eastAsia"/>
        </w:rPr>
        <w:t>年平均日照总时数为</w:t>
      </w:r>
      <w:r>
        <w:t>1945.9小时，平均光照率为43%。</w:t>
      </w:r>
      <w:r>
        <w:rPr>
          <w:rFonts w:hint="eastAsia"/>
        </w:rPr>
        <w:t>南部无霜期为</w:t>
      </w:r>
      <w:r>
        <w:t>220天，北部无霜期为180天。</w:t>
      </w:r>
    </w:p>
    <w:p>
      <w:pPr>
        <w:pStyle w:val="4"/>
        <w:spacing w:before="195" w:beforeLines="60" w:after="195" w:afterLines="60" w:line="240" w:lineRule="auto"/>
      </w:pPr>
      <w:r>
        <w:rPr>
          <w:rFonts w:hint="eastAsia"/>
        </w:rPr>
        <w:t>自然资源禀赋</w:t>
      </w:r>
    </w:p>
    <w:p>
      <w:pPr>
        <w:ind w:firstLine="640"/>
      </w:pPr>
      <w:r>
        <w:rPr>
          <w:rFonts w:hint="eastAsia"/>
        </w:rPr>
        <w:t>夏馆镇位于内乡县北部，全镇是八山一水半分田，半分道路和村庄的山区乡镇。夏馆镇地处伏牛山区，位于秦岭纬向构造带东段南支—伏牛山南坡，境内群山巍巍，险峰突兀，地形复杂，地质结构层次丰富，西北高，东南低。城镇整体南北长，东西短，呈不规则形状。整体地势北高南低，呈两谷一盆地的地势形态，交通网络和居民点也依托两谷一盆地而修建。夏馆镇水资源较为丰富，地表水系主要有湍河、白崖河、黄靳河、鱼道河，其中湍河、白崖河、黄靳河发源于本镇。</w:t>
      </w:r>
    </w:p>
    <w:p>
      <w:pPr>
        <w:ind w:firstLine="640"/>
      </w:pPr>
      <w:r>
        <w:rPr>
          <w:rFonts w:hint="eastAsia"/>
        </w:rPr>
        <w:t>夏馆镇位于伏牛山腹地，湍河水源发源地，宝天曼自然保护区中心地。镇域内有河南宝天曼国家级自然保护区、河南伏牛山国家级自然保护区、河南内乡宝天曼国家地质公园、河南内乡湍河湿地省级自然保护区四个保护区。作为内乡县湍河水源发源地、森林覆盖率达</w:t>
      </w:r>
      <w:r>
        <w:t>96.6%以上的省级生态镇，夏馆镇按照生态统揽、开放合作、培育产业、转型发展的战略定位，以保护水源、涵养水源、确保水质达标作为政治任务，以发展绿色高效生态农业和第三产业为主攻方向，把改善民生作为着力点，加快第三产业发展，突出第三产业和环境污染防治这两项重点工作</w:t>
      </w:r>
      <w:r>
        <w:rPr>
          <w:rFonts w:hint="eastAsia"/>
        </w:rPr>
        <w:t>，加强生态环境保护力度</w:t>
      </w:r>
      <w:r>
        <w:t>。</w:t>
      </w:r>
    </w:p>
    <w:p>
      <w:pPr>
        <w:pStyle w:val="4"/>
        <w:spacing w:before="195" w:beforeLines="60" w:after="195" w:afterLines="60" w:line="240" w:lineRule="auto"/>
      </w:pPr>
      <w:r>
        <w:rPr>
          <w:rFonts w:hint="eastAsia"/>
        </w:rPr>
        <w:t>国土空间用地现状</w:t>
      </w:r>
    </w:p>
    <w:p>
      <w:pPr>
        <w:spacing w:before="65"/>
        <w:ind w:firstLine="640"/>
      </w:pPr>
      <w:r>
        <w:rPr>
          <w:rFonts w:hint="eastAsia"/>
        </w:rPr>
        <w:t>根据</w:t>
      </w:r>
      <w:r>
        <w:t>2020年国土变更调查数据，夏馆镇镇域</w:t>
      </w:r>
      <w:r>
        <w:rPr>
          <w:rFonts w:hint="eastAsia"/>
        </w:rPr>
        <w:t>总面积为</w:t>
      </w:r>
      <w:r>
        <w:t>35825.31公顷，其中，耕地569.44公顷，占比1.59%</w:t>
      </w:r>
      <w:r>
        <w:rPr>
          <w:rFonts w:hint="eastAsia"/>
        </w:rPr>
        <w:t>；</w:t>
      </w:r>
      <w:r>
        <w:t>园地897.72公顷，占比2.51%</w:t>
      </w:r>
      <w:r>
        <w:rPr>
          <w:rFonts w:hint="eastAsia"/>
        </w:rPr>
        <w:t>；</w:t>
      </w:r>
      <w:r>
        <w:t>林地32358.25公顷，占比90.32%</w:t>
      </w:r>
      <w:r>
        <w:rPr>
          <w:rFonts w:hint="eastAsia"/>
        </w:rPr>
        <w:t>；</w:t>
      </w:r>
      <w:r>
        <w:t>草地231.94公顷，占比0.65%</w:t>
      </w:r>
      <w:r>
        <w:rPr>
          <w:rFonts w:hint="eastAsia"/>
        </w:rPr>
        <w:t>；</w:t>
      </w:r>
      <w:r>
        <w:t>湿地15.57公顷，占比0.04%</w:t>
      </w:r>
      <w:r>
        <w:rPr>
          <w:rFonts w:hint="eastAsia"/>
        </w:rPr>
        <w:t>；</w:t>
      </w:r>
      <w:r>
        <w:t>农业设施建设用地173.99公顷，占比0.49%</w:t>
      </w:r>
      <w:r>
        <w:rPr>
          <w:rFonts w:hint="eastAsia"/>
        </w:rPr>
        <w:t>；</w:t>
      </w:r>
      <w:r>
        <w:t>城镇用地86.50公顷，占比0.24%</w:t>
      </w:r>
      <w:r>
        <w:rPr>
          <w:rFonts w:hint="eastAsia"/>
        </w:rPr>
        <w:t>；</w:t>
      </w:r>
      <w:r>
        <w:t>村庄用地567.40公顷，占比1.58%</w:t>
      </w:r>
      <w:r>
        <w:rPr>
          <w:rFonts w:hint="eastAsia"/>
        </w:rPr>
        <w:t>；</w:t>
      </w:r>
      <w:r>
        <w:t>区域基础设施用地111.38公顷，占比0.31%</w:t>
      </w:r>
      <w:r>
        <w:rPr>
          <w:rFonts w:hint="eastAsia"/>
        </w:rPr>
        <w:t>；</w:t>
      </w:r>
      <w:r>
        <w:t>其他建设用地114.95公顷，占比0.32%</w:t>
      </w:r>
      <w:r>
        <w:rPr>
          <w:rFonts w:hint="eastAsia"/>
        </w:rPr>
        <w:t>；</w:t>
      </w:r>
      <w:r>
        <w:t>陆地水域623.00公顷，占比1.74%</w:t>
      </w:r>
      <w:r>
        <w:rPr>
          <w:rFonts w:hint="eastAsia"/>
        </w:rPr>
        <w:t>；</w:t>
      </w:r>
      <w:r>
        <w:t>其他土地75.17公顷，占比0.21%。</w:t>
      </w:r>
    </w:p>
    <w:p>
      <w:pPr>
        <w:pStyle w:val="3"/>
        <w:spacing w:before="326" w:beforeLines="100" w:after="326" w:afterLines="100"/>
      </w:pPr>
      <w:bookmarkStart w:id="12" w:name="_Toc183017767"/>
      <w:r>
        <w:rPr>
          <w:rFonts w:hint="eastAsia"/>
        </w:rPr>
        <w:t>资源环境承载</w:t>
      </w:r>
      <w:r>
        <w:t>能</w:t>
      </w:r>
      <w:r>
        <w:rPr>
          <w:rFonts w:hint="eastAsia"/>
        </w:rPr>
        <w:t>力和国土空间开发适宜性评价</w:t>
      </w:r>
      <w:bookmarkEnd w:id="12"/>
    </w:p>
    <w:p>
      <w:pPr>
        <w:pStyle w:val="4"/>
        <w:spacing w:before="195" w:beforeLines="60" w:after="195" w:afterLines="60" w:line="240" w:lineRule="auto"/>
      </w:pPr>
      <w:r>
        <w:rPr>
          <w:rFonts w:hint="eastAsia"/>
        </w:rPr>
        <w:t>生态保护重要性评价</w:t>
      </w:r>
    </w:p>
    <w:p>
      <w:pPr>
        <w:spacing w:before="65"/>
        <w:ind w:firstLine="640"/>
      </w:pPr>
      <w:r>
        <w:rPr>
          <w:rFonts w:hint="eastAsia"/>
          <w:lang w:bidi="ar"/>
        </w:rPr>
        <w:t>全镇生态保护极重要、重要区占比极高，占镇域面积的</w:t>
      </w:r>
      <w:r>
        <w:rPr>
          <w:lang w:bidi="ar"/>
        </w:rPr>
        <w:t>94.06%。全镇生态保护极重要区面积为20125.61公顷，占全县面积的56.18%；生态保护重要区面积为13572.41公顷，占全县面积的37.88%；主要集中在镇域北部山区、西部丘陵和河流水库两岸。</w:t>
      </w:r>
    </w:p>
    <w:p>
      <w:pPr>
        <w:pStyle w:val="4"/>
        <w:spacing w:before="195" w:beforeLines="60" w:after="195" w:afterLines="60" w:line="240" w:lineRule="auto"/>
      </w:pPr>
      <w:r>
        <w:rPr>
          <w:rFonts w:hint="eastAsia"/>
        </w:rPr>
        <w:t>农业生产适宜性评价</w:t>
      </w:r>
    </w:p>
    <w:p>
      <w:pPr>
        <w:spacing w:before="65"/>
        <w:ind w:firstLine="640"/>
      </w:pPr>
      <w:r>
        <w:rPr>
          <w:rFonts w:hint="eastAsia"/>
          <w:lang w:bidi="ar"/>
        </w:rPr>
        <w:t>全镇农业生产适宜区占比相对较低，占镇域面积的</w:t>
      </w:r>
      <w:r>
        <w:rPr>
          <w:lang w:bidi="ar"/>
        </w:rPr>
        <w:t>2.19%，远低于全县的33.67%。全镇农业生产（种植业）适宜区面积为785.42公顷，占全镇面积的2.19%。主要分布在镇区平原区域</w:t>
      </w:r>
      <w:r>
        <w:rPr>
          <w:rFonts w:hint="eastAsia"/>
          <w:lang w:bidi="ar"/>
        </w:rPr>
        <w:t>。</w:t>
      </w:r>
    </w:p>
    <w:p>
      <w:pPr>
        <w:pStyle w:val="4"/>
        <w:spacing w:before="195" w:beforeLines="60" w:after="195" w:afterLines="60" w:line="240" w:lineRule="auto"/>
      </w:pPr>
      <w:r>
        <w:rPr>
          <w:rFonts w:hint="eastAsia"/>
        </w:rPr>
        <w:t>城镇建设适宜性评价</w:t>
      </w:r>
    </w:p>
    <w:p>
      <w:pPr>
        <w:spacing w:before="65"/>
        <w:ind w:firstLine="640"/>
      </w:pPr>
      <w:r>
        <w:rPr>
          <w:rFonts w:hint="eastAsia"/>
          <w:lang w:bidi="ar"/>
        </w:rPr>
        <w:t>全镇城镇建设适宜区面积为</w:t>
      </w:r>
      <w:r>
        <w:rPr>
          <w:lang w:bidi="ar"/>
        </w:rPr>
        <w:t>15699.71公顷，占全县面积的43.82%。主要分布在镇域西南平原、浅山地带</w:t>
      </w:r>
      <w:r>
        <w:rPr>
          <w:rFonts w:hint="eastAsia"/>
          <w:lang w:bidi="ar"/>
        </w:rPr>
        <w:t>。</w:t>
      </w:r>
    </w:p>
    <w:p>
      <w:pPr>
        <w:pStyle w:val="3"/>
        <w:spacing w:before="326" w:beforeLines="100" w:after="326" w:afterLines="100"/>
      </w:pPr>
      <w:bookmarkStart w:id="13" w:name="_Toc183017768"/>
      <w:r>
        <w:rPr>
          <w:rFonts w:hint="eastAsia"/>
        </w:rPr>
        <w:t>发展现状与发展成效</w:t>
      </w:r>
      <w:bookmarkEnd w:id="13"/>
    </w:p>
    <w:p>
      <w:pPr>
        <w:pStyle w:val="4"/>
        <w:spacing w:before="195" w:beforeLines="60" w:after="195" w:afterLines="60" w:line="240" w:lineRule="auto"/>
      </w:pPr>
      <w:r>
        <w:rPr>
          <w:rFonts w:hint="eastAsia"/>
        </w:rPr>
        <w:t>发展现状与成效</w:t>
      </w:r>
    </w:p>
    <w:p>
      <w:pPr>
        <w:spacing w:before="65"/>
        <w:ind w:firstLine="640"/>
      </w:pPr>
      <w:r>
        <w:rPr>
          <w:rFonts w:hint="eastAsia"/>
        </w:rPr>
        <w:t>生态林业方面，境内有河南省宝天曼世界地质公园、宝天曼国家级自然保护区。自然保护区内保留着天然次生植被和原生植物群落，有原始森林和野生动物，有“物种基因库”“动植物王国”的美誉，于</w:t>
      </w:r>
      <w:r>
        <w:t>2001年被授予“世界生物圈保护区”称号。区内共有植物2911种，是河南省珍稀植物最集中的地区之一。有脊椎动物201种，包括金钱豹、金雕、斑羚、中华虎凤蝶等25种国家重点保护动物。全镇有林地面积48万余亩，其中国家级公益林面积15万亩，省级公益林面积9万余亩，天保林面积22万余亩，森林覆盖率达89%，是内乡县林地面积最大乡镇。近年来</w:t>
      </w:r>
      <w:r>
        <w:rPr>
          <w:rFonts w:hint="eastAsia"/>
        </w:rPr>
        <w:t>，镇党委政府确立构建内乡北部“生态绿地、产业高地、文旅胜地、康养福地”的发展目标后，带领全镇干部群众深入践行习近平总书记“绿水青山就是金山银山”的生态文明理念。防污染、战荒山、搞生态修复等工作全面推进，使夏馆大地，天更蓝山更绿水更清。</w:t>
      </w:r>
    </w:p>
    <w:p>
      <w:pPr>
        <w:spacing w:before="65"/>
        <w:ind w:firstLine="640"/>
      </w:pPr>
      <w:r>
        <w:rPr>
          <w:rFonts w:hint="eastAsia"/>
        </w:rPr>
        <w:t>夏馆镇以土地流转为突破口，大力整合土地资源，积极探索推广“一菇一果一药”产业发展模式，采用“政府引导、公司牵头、合作社运营、农民参股”的经营模式和发展方式，努力打造夏馆香菇、林果及中药材种植示范基地。</w:t>
      </w:r>
    </w:p>
    <w:p>
      <w:pPr>
        <w:spacing w:before="65"/>
        <w:ind w:firstLine="640"/>
      </w:pPr>
      <w:r>
        <w:rPr>
          <w:rFonts w:hint="eastAsia"/>
        </w:rPr>
        <w:t>一是稳固食用菌产业。按照县委”扩能、提质、增效”要求</w:t>
      </w:r>
      <w:r>
        <w:t>,扩大香菇示范基地引领带动作用，去冬今春已种植袋料香菇1800万袋以上，使传统的食用菌富民产业稳妥发展，确保居民收入更加稳定。</w:t>
      </w:r>
    </w:p>
    <w:p>
      <w:pPr>
        <w:spacing w:before="65"/>
        <w:ind w:firstLine="640"/>
      </w:pPr>
      <w:r>
        <w:rPr>
          <w:rFonts w:hint="eastAsia"/>
        </w:rPr>
        <w:t>二是大力发展林果业。入春以来，通过植树造林活动，全镇新发展速生杨、风景树等经济林面积</w:t>
      </w:r>
      <w:r>
        <w:t>1500亩，新增以黑李为主的林果面积达1800亩。其中，从湖北宜城、广西柳州引入大红袍李、日本太秋甜柿、八宝丹李等新品种，通过高接换头更新品种160余亩，使全镇林果种植面积达12000余亩。</w:t>
      </w:r>
    </w:p>
    <w:p>
      <w:pPr>
        <w:spacing w:before="65"/>
        <w:ind w:firstLine="640"/>
      </w:pPr>
      <w:r>
        <w:rPr>
          <w:rFonts w:hint="eastAsia"/>
        </w:rPr>
        <w:t>三是创新模式建基地。通过公司</w:t>
      </w:r>
      <w:r>
        <w:t>+基地+农户的模式积极与北京同仁堂联姻，全力打造北山7村35000亩山茱萸基地，为群众增收致富拓展了发展空间。同时，进一步加强林果、香菇、中药材为主的康之源食用菌基地、明辉食品加工基地、百果香林果基地、北京同仁堂山萸肉基地等10余家产业示范基地建设，确保1800多留守人员在家门口稳定就业。</w:t>
      </w:r>
    </w:p>
    <w:p>
      <w:pPr>
        <w:spacing w:before="65"/>
        <w:ind w:firstLine="640"/>
      </w:pPr>
      <w:r>
        <w:rPr>
          <w:rFonts w:hint="eastAsia"/>
        </w:rPr>
        <w:t>四是打造乡村文旅游。以宝天曼景区为依托，积极培育葛条爬村、万沟村、大块地村等村休闲农业田园综合体乡村旅游，不断提升农家乐的经营档次和经营理念，打造全域旅游，确保村集体、群众受益最大化，用真金白银示范带动更多村、更多农户参与其中，推动“一村一品”，助力乡村振兴。</w:t>
      </w:r>
    </w:p>
    <w:p>
      <w:pPr>
        <w:pStyle w:val="3"/>
        <w:spacing w:before="326" w:beforeLines="100" w:after="326" w:afterLines="100"/>
      </w:pPr>
      <w:bookmarkStart w:id="14" w:name="_Toc183017769"/>
      <w:r>
        <w:rPr>
          <w:rFonts w:hint="eastAsia"/>
        </w:rPr>
        <w:t>主要问题和风险挑战</w:t>
      </w:r>
      <w:bookmarkEnd w:id="14"/>
    </w:p>
    <w:p>
      <w:pPr>
        <w:pStyle w:val="4"/>
        <w:spacing w:before="195" w:beforeLines="60" w:after="195" w:afterLines="60" w:line="240" w:lineRule="auto"/>
      </w:pPr>
      <w:r>
        <w:rPr>
          <w:rFonts w:hint="eastAsia"/>
        </w:rPr>
        <w:t>主要问题</w:t>
      </w:r>
    </w:p>
    <w:p>
      <w:pPr>
        <w:spacing w:before="65"/>
        <w:ind w:firstLine="640"/>
        <w:rPr>
          <w:lang w:bidi="ar"/>
        </w:rPr>
      </w:pPr>
      <w:r>
        <w:rPr>
          <w:rFonts w:hint="eastAsia"/>
          <w:lang w:bidi="ar"/>
        </w:rPr>
        <w:t>镇域公共服务设施和基础设施建设有待加强。</w:t>
      </w:r>
      <w:r>
        <w:rPr>
          <w:lang w:bidi="ar"/>
        </w:rPr>
        <w:t>全镇公共服务设施配置尚可，但缺少</w:t>
      </w:r>
      <w:r>
        <w:rPr>
          <w:rFonts w:hint="eastAsia"/>
          <w:lang w:bidi="ar"/>
        </w:rPr>
        <w:t>养老、</w:t>
      </w:r>
      <w:r>
        <w:rPr>
          <w:lang w:bidi="ar"/>
        </w:rPr>
        <w:t>体育、公园绿地等。基础设施不够完善，排污、污水处理</w:t>
      </w:r>
      <w:r>
        <w:rPr>
          <w:rFonts w:hint="eastAsia"/>
          <w:lang w:bidi="ar"/>
        </w:rPr>
        <w:t>、农业基础设施</w:t>
      </w:r>
      <w:r>
        <w:rPr>
          <w:lang w:bidi="ar"/>
        </w:rPr>
        <w:t>等方面存在不足，基础设施建设有待进一步加强。</w:t>
      </w:r>
    </w:p>
    <w:p>
      <w:pPr>
        <w:spacing w:before="65"/>
        <w:ind w:firstLine="640"/>
      </w:pPr>
      <w:r>
        <w:rPr>
          <w:rFonts w:hint="eastAsia"/>
        </w:rPr>
        <w:t>资源丰富，旅游发展动力不足。夏馆镇拥有丰富的生态资源，发展潜力巨大，但目前第三产业占比较小，旅游发展动力不足，旅游配套设施缺乏，未针对目标人群形成特定的旅游线路，导致旅游发展有限。一二三产现状融合发展较弱，资源缺乏统一整合，旅游产业发展急需突破。</w:t>
      </w:r>
    </w:p>
    <w:p>
      <w:pPr>
        <w:spacing w:before="65"/>
        <w:ind w:firstLine="640"/>
      </w:pPr>
      <w:r>
        <w:rPr>
          <w:rFonts w:hint="eastAsia"/>
        </w:rPr>
        <w:t>镇域人居环境有待进一步提升。近年来夏馆镇积极开展镇域人居环境整治，实现农村垃圾社会化运行、全面推行厕所革命等，村庄人居环境得到有效提升，但仍存在污水胡乱排放、房前屋后杂物堆放、部分道路未硬化等方面的问题，需进一步加强人居环境整治，从而提升乡村风貌。</w:t>
      </w:r>
    </w:p>
    <w:p>
      <w:pPr>
        <w:spacing w:before="65"/>
        <w:ind w:firstLine="640"/>
        <w:rPr>
          <w:lang w:bidi="ar"/>
        </w:rPr>
      </w:pPr>
      <w:r>
        <w:rPr>
          <w:rFonts w:hint="eastAsia"/>
        </w:rPr>
        <w:t>建设用地集约利用水平不高。建设用地方面，</w:t>
      </w:r>
      <w:r>
        <w:t>2020年，全镇人均城乡建设用地面积324平方米，高于全县的282平方米，高于南阳市253平方米的平均水平，从人均城乡建设用地的水平来看，利用相对粗放</w:t>
      </w:r>
      <w:r>
        <w:rPr>
          <w:rFonts w:hint="eastAsia"/>
          <w:lang w:bidi="ar"/>
        </w:rPr>
        <w:t>。</w:t>
      </w:r>
    </w:p>
    <w:p>
      <w:pPr>
        <w:pStyle w:val="4"/>
        <w:spacing w:before="195" w:beforeLines="60" w:after="195" w:afterLines="60" w:line="240" w:lineRule="auto"/>
      </w:pPr>
      <w:r>
        <w:rPr>
          <w:rFonts w:hint="eastAsia"/>
        </w:rPr>
        <w:t>风险挑战</w:t>
      </w:r>
    </w:p>
    <w:p>
      <w:pPr>
        <w:spacing w:before="65"/>
        <w:ind w:firstLine="640"/>
      </w:pPr>
      <w:r>
        <w:rPr>
          <w:rFonts w:hint="eastAsia"/>
        </w:rPr>
        <w:t>夏馆镇镇区周边存在大量地质灾害高风险区，同时，在四台沟村、黄龙村、西河堂村等地存在崩塌灾害和滑坡灾害；这些对生产生活安全存在一定负面影响。</w:t>
      </w:r>
    </w:p>
    <w:p>
      <w:pPr>
        <w:spacing w:before="65"/>
        <w:ind w:firstLine="640"/>
      </w:pPr>
      <w:r>
        <w:rPr>
          <w:rFonts w:hint="eastAsia"/>
        </w:rPr>
        <w:t>镇域北侧受生态保护红线限制，中部受自然保护地限制，对乡镇产业发展存在比较大的制约风险。</w:t>
      </w:r>
    </w:p>
    <w:p>
      <w:pPr>
        <w:spacing w:before="65"/>
        <w:ind w:firstLine="640"/>
      </w:pPr>
      <w:r>
        <w:rPr>
          <w:rFonts w:hint="eastAsia"/>
        </w:rPr>
        <w:t>城镇化水平低，人口流出多。</w:t>
      </w:r>
      <w:r>
        <w:t>2020年，夏馆镇户籍人口约为2.70万人(依据统计局数据)，根据第七次人口普查数据，夏馆镇常住人口2.02万人，户籍人口与常住人口相对比，人口净流出0.68万人，占比高达25%，并且人口流出仍在持续。</w:t>
      </w:r>
      <w:r>
        <w:rPr>
          <w:rFonts w:hint="eastAsia"/>
        </w:rPr>
        <w:t>人口外流及人口老龄化风险。随着社会经济发展，</w:t>
      </w:r>
      <w:r>
        <w:t>区域要素流动将更加频繁，人口外流</w:t>
      </w:r>
      <w:r>
        <w:rPr>
          <w:rFonts w:hint="eastAsia"/>
        </w:rPr>
        <w:t>、人口老龄化</w:t>
      </w:r>
      <w:r>
        <w:t>对</w:t>
      </w:r>
      <w:r>
        <w:rPr>
          <w:rFonts w:hint="eastAsia"/>
        </w:rPr>
        <w:t>夏馆镇</w:t>
      </w:r>
      <w:r>
        <w:t>未来城镇化率和产业发展将产生重大影响，</w:t>
      </w:r>
      <w:r>
        <w:rPr>
          <w:rFonts w:hint="eastAsia"/>
        </w:rPr>
        <w:t>夏馆镇社会福利体系构建也存在一定压力</w:t>
      </w:r>
    </w:p>
    <w:p>
      <w:pPr>
        <w:ind w:firstLine="643"/>
        <w:rPr>
          <w:b/>
          <w:bCs/>
        </w:rPr>
      </w:pPr>
      <w:r>
        <w:rPr>
          <w:b/>
          <w:bCs/>
        </w:rPr>
        <w:br w:type="page"/>
      </w:r>
    </w:p>
    <w:p>
      <w:pPr>
        <w:ind w:firstLine="643"/>
        <w:rPr>
          <w:b/>
          <w:bCs/>
        </w:rPr>
      </w:pPr>
    </w:p>
    <w:p>
      <w:pPr>
        <w:pStyle w:val="2"/>
        <w:spacing w:before="489" w:beforeLines="150" w:after="489" w:afterLines="150"/>
      </w:pPr>
      <w:bookmarkStart w:id="15" w:name="_Toc183017771"/>
      <w:bookmarkStart w:id="16" w:name="_Toc221006218"/>
      <w:bookmarkStart w:id="17" w:name="_Toc211259322"/>
      <w:r>
        <w:rPr>
          <w:rFonts w:hint="eastAsia"/>
        </w:rPr>
        <w:t>发展定位与目标</w:t>
      </w:r>
      <w:bookmarkEnd w:id="15"/>
      <w:bookmarkEnd w:id="16"/>
      <w:bookmarkEnd w:id="17"/>
    </w:p>
    <w:p>
      <w:pPr>
        <w:pStyle w:val="3"/>
        <w:spacing w:before="326" w:beforeLines="100" w:after="326" w:afterLines="100"/>
      </w:pPr>
      <w:bookmarkStart w:id="18" w:name="_Toc183017772"/>
      <w:r>
        <w:rPr>
          <w:rFonts w:hint="eastAsia"/>
        </w:rPr>
        <w:t>发展定位</w:t>
      </w:r>
      <w:bookmarkEnd w:id="18"/>
    </w:p>
    <w:p>
      <w:pPr>
        <w:pStyle w:val="4"/>
        <w:spacing w:before="195" w:beforeLines="60" w:after="195" w:afterLines="60" w:line="240" w:lineRule="auto"/>
      </w:pPr>
      <w:r>
        <w:rPr>
          <w:rFonts w:hint="eastAsia"/>
        </w:rPr>
        <w:t>落实乡镇主体功能</w:t>
      </w:r>
    </w:p>
    <w:p>
      <w:pPr>
        <w:spacing w:before="65"/>
        <w:ind w:firstLine="640"/>
        <w:rPr>
          <w:u w:val="single"/>
        </w:rPr>
      </w:pPr>
      <w:r>
        <w:rPr>
          <w:rFonts w:hint="eastAsia"/>
          <w:u w:val="single"/>
          <w:lang w:bidi="ar"/>
        </w:rPr>
        <w:t>夏馆镇为重点生态功能区</w:t>
      </w:r>
      <w:r>
        <w:rPr>
          <w:rFonts w:hint="eastAsia"/>
          <w:u w:val="single"/>
        </w:rPr>
        <w:t>。</w:t>
      </w:r>
    </w:p>
    <w:p>
      <w:pPr>
        <w:pStyle w:val="4"/>
        <w:spacing w:before="195" w:beforeLines="60" w:after="195" w:afterLines="60" w:line="240" w:lineRule="auto"/>
      </w:pPr>
      <w:r>
        <w:rPr>
          <w:rFonts w:hint="eastAsia"/>
        </w:rPr>
        <w:t>发展定位</w:t>
      </w:r>
    </w:p>
    <w:p>
      <w:pPr>
        <w:spacing w:before="65"/>
        <w:ind w:firstLine="640"/>
      </w:pPr>
      <w:r>
        <w:rPr>
          <w:rFonts w:hint="eastAsia"/>
        </w:rPr>
        <w:t>伏牛山区特色生态镇，生态旅居康养区，生态农业发展区，内乡县北部山区综合服务中心。</w:t>
      </w:r>
    </w:p>
    <w:p>
      <w:pPr>
        <w:pStyle w:val="3"/>
        <w:spacing w:before="326" w:beforeLines="100" w:after="326" w:afterLines="100"/>
      </w:pPr>
      <w:bookmarkStart w:id="19" w:name="_Toc183017773"/>
      <w:r>
        <w:rPr>
          <w:rFonts w:hint="eastAsia"/>
        </w:rPr>
        <w:t>发展目标</w:t>
      </w:r>
      <w:bookmarkEnd w:id="19"/>
    </w:p>
    <w:p>
      <w:pPr>
        <w:pStyle w:val="4"/>
        <w:spacing w:before="195" w:beforeLines="60" w:after="195" w:afterLines="60" w:line="240" w:lineRule="auto"/>
      </w:pPr>
      <w:r>
        <w:rPr>
          <w:rFonts w:hint="eastAsia"/>
        </w:rPr>
        <w:t>发展目标</w:t>
      </w:r>
    </w:p>
    <w:p>
      <w:pPr>
        <w:ind w:firstLine="640"/>
      </w:pPr>
      <w:r>
        <w:t>1.2025</w:t>
      </w:r>
      <w:r>
        <w:rPr>
          <w:rFonts w:hint="eastAsia"/>
        </w:rPr>
        <w:t>年发展目标</w:t>
      </w:r>
    </w:p>
    <w:p>
      <w:pPr>
        <w:ind w:firstLine="640"/>
      </w:pPr>
      <w:r>
        <w:rPr>
          <w:rFonts w:hint="eastAsia"/>
        </w:rPr>
        <w:t>生态保护和生态修复取得初步成效；初步形成绿色特色、开放创新、三产融合的现代产业体系；乡村振兴取得有效推进，开展现代化建设，优化国土空间，完善基础设施，整合旅游资源，培育农旅融合发展机制，打造生态农旅产业基地。</w:t>
      </w:r>
    </w:p>
    <w:p>
      <w:pPr>
        <w:ind w:firstLine="640"/>
      </w:pPr>
      <w:r>
        <w:t>2.</w:t>
      </w:r>
      <w:r>
        <w:rPr>
          <w:rFonts w:hint="eastAsia"/>
        </w:rPr>
        <w:t>2035年发展目标</w:t>
      </w:r>
    </w:p>
    <w:p>
      <w:pPr>
        <w:ind w:firstLine="640"/>
      </w:pPr>
      <w:r>
        <w:rPr>
          <w:rFonts w:hint="eastAsia"/>
        </w:rPr>
        <w:t>以伏牛山生态保护与发展为指引，保障伏牛山生态安全，优化国土空间与产业布局，整合生态旅游、康养民宿、生态农业等产业，打造内乡县北部山区农旅型重点镇，建设“伏牛山生态康养小镇”。</w:t>
      </w:r>
    </w:p>
    <w:p>
      <w:pPr>
        <w:pStyle w:val="4"/>
        <w:spacing w:before="195" w:beforeLines="60" w:after="195" w:afterLines="60" w:line="240" w:lineRule="auto"/>
      </w:pPr>
      <w:r>
        <w:rPr>
          <w:rFonts w:hint="eastAsia"/>
        </w:rPr>
        <w:t>规划指标体系</w:t>
      </w:r>
    </w:p>
    <w:p>
      <w:pPr>
        <w:spacing w:before="65"/>
        <w:ind w:firstLine="640"/>
      </w:pPr>
      <w:r>
        <w:rPr>
          <w:rFonts w:hint="eastAsia"/>
        </w:rPr>
        <w:t>全镇国土空间规划指标体系涉及空间底线、空间结构与效率以及空间品质，共三大类</w:t>
      </w:r>
      <w:r>
        <w:t>17</w:t>
      </w:r>
      <w:r>
        <w:rPr>
          <w:rFonts w:hint="eastAsia"/>
        </w:rPr>
        <w:t>项，其中约束性指标（有条件约束性）</w:t>
      </w:r>
      <w:r>
        <w:t>7</w:t>
      </w:r>
      <w:r>
        <w:rPr>
          <w:rFonts w:hint="eastAsia"/>
        </w:rPr>
        <w:t>项，预期性指标</w:t>
      </w:r>
      <w:r>
        <w:t>12</w:t>
      </w:r>
      <w:r>
        <w:rPr>
          <w:rFonts w:hint="eastAsia"/>
        </w:rPr>
        <w:t>项。指标体系基于2</w:t>
      </w:r>
      <w:r>
        <w:t>020</w:t>
      </w:r>
      <w:r>
        <w:rPr>
          <w:rFonts w:hint="eastAsia"/>
        </w:rPr>
        <w:t>年为基期值，提出2</w:t>
      </w:r>
      <w:r>
        <w:t>025</w:t>
      </w:r>
      <w:r>
        <w:rPr>
          <w:rFonts w:hint="eastAsia"/>
        </w:rPr>
        <w:t>年和2</w:t>
      </w:r>
      <w:r>
        <w:t>035</w:t>
      </w:r>
      <w:r>
        <w:rPr>
          <w:rFonts w:hint="eastAsia"/>
        </w:rPr>
        <w:t>年目标值</w:t>
      </w:r>
      <w:r>
        <w:t>。</w:t>
      </w:r>
      <w:r>
        <w:rPr>
          <w:rFonts w:hint="eastAsia"/>
        </w:rPr>
        <w:t>详见附表</w:t>
      </w:r>
      <w:r>
        <w:t>1</w:t>
      </w:r>
      <w:r>
        <w:rPr>
          <w:rFonts w:hint="eastAsia"/>
        </w:rPr>
        <w:t>。</w:t>
      </w:r>
    </w:p>
    <w:p>
      <w:pPr>
        <w:pStyle w:val="3"/>
      </w:pPr>
      <w:r>
        <w:rPr>
          <w:rFonts w:hint="eastAsia"/>
        </w:rPr>
        <w:t>国土空间开发保护策略</w:t>
      </w:r>
    </w:p>
    <w:p>
      <w:pPr>
        <w:pStyle w:val="4"/>
        <w:spacing w:before="195" w:beforeLines="60" w:after="195" w:afterLines="60" w:line="240" w:lineRule="auto"/>
      </w:pPr>
      <w:bookmarkStart w:id="20" w:name="OLE_LINK5"/>
      <w:bookmarkStart w:id="21" w:name="_Hlk200529460"/>
      <w:r>
        <w:rPr>
          <w:rFonts w:hint="eastAsia"/>
        </w:rPr>
        <w:t>国土空间开发保护策略</w:t>
      </w:r>
    </w:p>
    <w:p>
      <w:pPr>
        <w:spacing w:before="65"/>
        <w:ind w:firstLine="640"/>
      </w:pPr>
      <w:r>
        <w:rPr>
          <w:rFonts w:hint="eastAsia"/>
        </w:rPr>
        <w:t>落实底线约束，确定空间格局。落实最严格的耕地保护制度、生态保护制度和节约用地制度。科学避让地质灾害风险，构建安全韧性国土空间，维护粮食安全、生态安全。</w:t>
      </w:r>
    </w:p>
    <w:p>
      <w:pPr>
        <w:spacing w:before="65"/>
        <w:ind w:firstLine="640"/>
      </w:pPr>
      <w:r>
        <w:rPr>
          <w:rFonts w:hint="eastAsia"/>
        </w:rPr>
        <w:t>开展土地综合整治，提升土地利用效率。加强生态修复，对林地植被、水生态等进行修复保护。预留建设用地机动指标优先保障难以确定选址的农村一二三产业融合等农村产业项目用地需求，在充分尊重农民意愿的前提下，盘活农村存量建设用地，腾挪空间用于支持农村产业融合发展和乡村振兴。对符合规划的存量集体建设用地积极探索农村集体经营性建设用地入市。</w:t>
      </w:r>
    </w:p>
    <w:p>
      <w:pPr>
        <w:spacing w:before="65"/>
        <w:ind w:firstLine="640"/>
      </w:pPr>
      <w:r>
        <w:rPr>
          <w:rFonts w:hint="eastAsia"/>
        </w:rPr>
        <w:t>产业融合发展，夯实全镇发展动能。大力发展富农产业，融入全域旅游线路，聚焦农文旅融合发展。发挥主导产业优势，提升产业集聚效应，实现扩容升级。</w:t>
      </w:r>
    </w:p>
    <w:p>
      <w:pPr>
        <w:spacing w:before="65"/>
        <w:ind w:firstLine="640"/>
      </w:pPr>
      <w:r>
        <w:rPr>
          <w:rFonts w:hint="eastAsia"/>
        </w:rPr>
        <w:t>完善设施配套，打造宜居夏馆。完善基础服务设施，助力乡村振兴。公服均等，设施共享</w:t>
      </w:r>
      <w:r>
        <w:t>，共建城乡生活圈。保</w:t>
      </w:r>
      <w:r>
        <w:rPr>
          <w:rFonts w:hint="eastAsia"/>
        </w:rPr>
        <w:t>护乡土氛围，对人居环境进行提质改造，风貌品质提升。</w:t>
      </w:r>
    </w:p>
    <w:bookmarkEnd w:id="20"/>
    <w:bookmarkEnd w:id="21"/>
    <w:p>
      <w:pPr>
        <w:spacing w:before="65"/>
        <w:ind w:firstLine="640"/>
      </w:pPr>
      <w:r>
        <w:br w:type="page"/>
      </w:r>
    </w:p>
    <w:p>
      <w:pPr>
        <w:spacing w:before="65"/>
        <w:ind w:firstLine="640"/>
      </w:pPr>
    </w:p>
    <w:p>
      <w:pPr>
        <w:pStyle w:val="2"/>
        <w:spacing w:before="489" w:beforeLines="150" w:after="489" w:afterLines="150"/>
      </w:pPr>
      <w:bookmarkStart w:id="22" w:name="_Toc221006219"/>
      <w:r>
        <w:rPr>
          <w:rFonts w:hint="eastAsia"/>
        </w:rPr>
        <w:t>底线约束</w:t>
      </w:r>
      <w:bookmarkEnd w:id="22"/>
    </w:p>
    <w:p>
      <w:pPr>
        <w:pStyle w:val="3"/>
        <w:spacing w:before="326" w:beforeLines="100" w:after="326" w:afterLines="100"/>
      </w:pPr>
      <w:bookmarkStart w:id="23" w:name="_Toc183017777"/>
      <w:r>
        <w:rPr>
          <w:rFonts w:hint="eastAsia"/>
        </w:rPr>
        <w:t>严格落实“三区三线”</w:t>
      </w:r>
      <w:bookmarkEnd w:id="23"/>
    </w:p>
    <w:p>
      <w:pPr>
        <w:pStyle w:val="4"/>
        <w:spacing w:before="195" w:beforeLines="60" w:after="195" w:afterLines="60" w:line="240" w:lineRule="auto"/>
      </w:pPr>
      <w:r>
        <w:rPr>
          <w:rFonts w:hint="eastAsia"/>
        </w:rPr>
        <w:t>严格落实</w:t>
      </w:r>
      <w:r>
        <w:t>耕地和</w:t>
      </w:r>
      <w:r>
        <w:rPr>
          <w:rFonts w:hint="eastAsia"/>
        </w:rPr>
        <w:t>永久基本农田</w:t>
      </w:r>
    </w:p>
    <w:p>
      <w:pPr>
        <w:spacing w:before="65"/>
        <w:ind w:firstLine="640"/>
      </w:pPr>
      <w:bookmarkStart w:id="24" w:name="_Hlk220577555"/>
      <w:bookmarkStart w:id="25" w:name="_Hlk220577023"/>
      <w:r>
        <w:rPr>
          <w:rFonts w:hint="eastAsia"/>
          <w:u w:val="single"/>
        </w:rPr>
        <w:t>根据内乡县级规划传导，夏馆镇下达耕地保护目标不低于</w:t>
      </w:r>
      <w:r>
        <w:rPr>
          <w:u w:val="single"/>
        </w:rPr>
        <w:t>557.56公顷，下达永久基本农田保护面积不低于392.69公顷。</w:t>
      </w:r>
      <w:r>
        <w:rPr>
          <w:rFonts w:hint="eastAsia"/>
          <w:u w:val="single"/>
        </w:rPr>
        <w:t>夏馆镇</w:t>
      </w:r>
      <w:r>
        <w:rPr>
          <w:u w:val="single"/>
        </w:rPr>
        <w:t>实际落实耕地保护面积不低于557.56公顷，</w:t>
      </w:r>
      <w:r>
        <w:t>根据永久基本农田核实处置成果，实际落实永久基本农田面积443.36公顷。</w:t>
      </w:r>
      <w:bookmarkEnd w:id="24"/>
    </w:p>
    <w:bookmarkEnd w:id="25"/>
    <w:p>
      <w:pPr>
        <w:pStyle w:val="4"/>
        <w:spacing w:before="195" w:beforeLines="60" w:after="195" w:afterLines="60" w:line="240" w:lineRule="auto"/>
      </w:pPr>
      <w:r>
        <w:rPr>
          <w:rFonts w:hint="eastAsia"/>
        </w:rPr>
        <w:t>严格落实生态保护红线</w:t>
      </w:r>
    </w:p>
    <w:p>
      <w:pPr>
        <w:spacing w:before="65" w:after="120"/>
        <w:ind w:firstLine="640"/>
      </w:pPr>
      <w:bookmarkStart w:id="26" w:name="_Hlk220576937"/>
      <w:r>
        <w:rPr>
          <w:rFonts w:hint="eastAsia"/>
          <w:u w:val="single"/>
        </w:rPr>
        <w:t>根据上位规划，全镇落实生态保护红线不低于</w:t>
      </w:r>
      <w:r>
        <w:rPr>
          <w:u w:val="single"/>
        </w:rPr>
        <w:t>12404.01公顷。</w:t>
      </w:r>
      <w:r>
        <w:rPr>
          <w:rFonts w:hint="eastAsia"/>
        </w:rPr>
        <w:t>夏馆镇镇域内的生态保护红线为伏牛山生物多样性、水源涵养生态保护红线，其中河南伏牛山国家级自然保护区面积为</w:t>
      </w:r>
      <w:r>
        <w:t>4936.38</w:t>
      </w:r>
      <w:r>
        <w:rPr>
          <w:rFonts w:hint="eastAsia"/>
        </w:rPr>
        <w:t>公顷，河南内乡湍河湿地省级自然保护区面积为</w:t>
      </w:r>
      <w:r>
        <w:t>248.58</w:t>
      </w:r>
      <w:r>
        <w:rPr>
          <w:rFonts w:hint="eastAsia"/>
        </w:rPr>
        <w:t>公顷，河南内乡宝天曼国家地质公园面积为</w:t>
      </w:r>
      <w:r>
        <w:t>2537.46</w:t>
      </w:r>
      <w:r>
        <w:rPr>
          <w:rFonts w:hint="eastAsia"/>
        </w:rPr>
        <w:t>公顷，河南宝天曼国家级自然保护区面积为</w:t>
      </w:r>
      <w:r>
        <w:t>2588.06</w:t>
      </w:r>
      <w:r>
        <w:rPr>
          <w:rFonts w:hint="eastAsia"/>
        </w:rPr>
        <w:t>公顷。</w:t>
      </w:r>
    </w:p>
    <w:bookmarkEnd w:id="26"/>
    <w:p>
      <w:pPr>
        <w:pStyle w:val="4"/>
        <w:spacing w:before="195" w:beforeLines="60" w:after="195" w:afterLines="60" w:line="240" w:lineRule="auto"/>
      </w:pPr>
      <w:r>
        <w:rPr>
          <w:rFonts w:hint="eastAsia"/>
        </w:rPr>
        <w:t>严格落实城镇开发边界</w:t>
      </w:r>
    </w:p>
    <w:p>
      <w:pPr>
        <w:spacing w:before="65" w:after="156"/>
        <w:ind w:firstLine="640"/>
      </w:pPr>
      <w:r>
        <w:rPr>
          <w:rFonts w:hint="eastAsia"/>
          <w:u w:val="single"/>
        </w:rPr>
        <w:t>根据上位规划，夏馆镇落实城镇开发边界面积为</w:t>
      </w:r>
      <w:r>
        <w:rPr>
          <w:u w:val="single"/>
        </w:rPr>
        <w:t>83.40公顷。</w:t>
      </w:r>
      <w:r>
        <w:t>镇区未布新增城镇开发边界指标</w:t>
      </w:r>
      <w:r>
        <w:rPr>
          <w:rFonts w:hint="eastAsia"/>
        </w:rPr>
        <w:t>。</w:t>
      </w:r>
    </w:p>
    <w:p>
      <w:pPr>
        <w:pStyle w:val="3"/>
        <w:spacing w:before="326" w:beforeLines="100" w:after="326" w:afterLines="100"/>
      </w:pPr>
      <w:bookmarkStart w:id="27" w:name="_Toc183017778"/>
      <w:r>
        <w:rPr>
          <w:rFonts w:hint="eastAsia"/>
        </w:rPr>
        <w:t>核准落实其他控制线</w:t>
      </w:r>
      <w:bookmarkEnd w:id="27"/>
    </w:p>
    <w:p>
      <w:pPr>
        <w:pStyle w:val="4"/>
        <w:spacing w:before="195" w:beforeLines="60" w:after="195" w:afterLines="60" w:line="240" w:lineRule="auto"/>
      </w:pPr>
      <w:r>
        <w:rPr>
          <w:rFonts w:hint="eastAsia"/>
        </w:rPr>
        <w:t>历史文化保护线</w:t>
      </w:r>
    </w:p>
    <w:p>
      <w:pPr>
        <w:spacing w:before="65" w:after="156"/>
        <w:ind w:firstLine="640"/>
      </w:pPr>
      <w:r>
        <w:rPr>
          <w:rFonts w:hint="eastAsia"/>
          <w:u w:val="single"/>
        </w:rPr>
        <w:t>全镇历史文化保护线</w:t>
      </w:r>
      <w:r>
        <w:rPr>
          <w:u w:val="single"/>
        </w:rPr>
        <w:t>6处，均为县级文物保护单位，分别是青山水库大坝遗址、夏馆古寨门、栗园恐龙蛋化石点、北庄刘意唐宅院、黄靳铜矿遗址和黄龙烈士牺牲纪念地，历史文化保护线总面积为142.95公顷。</w:t>
      </w:r>
      <w:r>
        <w:rPr>
          <w:rFonts w:hint="eastAsia"/>
        </w:rPr>
        <w:t>夏馆镇历史文化保护线结合镇域历史文化遗产保护范围和建设控制地带的划定情况，及时落实动态补划，纳入国土空间规划“一张图”进行管控。</w:t>
      </w:r>
    </w:p>
    <w:p>
      <w:pPr>
        <w:pStyle w:val="4"/>
        <w:spacing w:before="195" w:beforeLines="60" w:after="195" w:afterLines="60" w:line="240" w:lineRule="auto"/>
      </w:pPr>
      <w:r>
        <w:rPr>
          <w:rFonts w:hint="eastAsia"/>
        </w:rPr>
        <w:t>洪涝风险控制线</w:t>
      </w:r>
    </w:p>
    <w:p>
      <w:pPr>
        <w:spacing w:before="65" w:after="156"/>
        <w:ind w:firstLine="640"/>
      </w:pPr>
      <w:r>
        <w:rPr>
          <w:rFonts w:hint="eastAsia"/>
        </w:rPr>
        <w:t>按照河道管理范围，落实洪涝风险控制线，共落实河道管理范围</w:t>
      </w:r>
      <w:r>
        <w:t>8条，水库1座，面积642.61公顷，分别为夏馆河、酿河、湍河、鱼道河、栗坪河、小湍河、湍河、小红寺河、宝天漫漂流水库。</w:t>
      </w:r>
    </w:p>
    <w:p>
      <w:pPr>
        <w:pStyle w:val="4"/>
        <w:spacing w:before="195" w:beforeLines="60" w:after="195" w:afterLines="60" w:line="240" w:lineRule="auto"/>
      </w:pPr>
      <w:r>
        <w:rPr>
          <w:rFonts w:hint="eastAsia"/>
        </w:rPr>
        <w:t>矿产资源开采保护线</w:t>
      </w:r>
    </w:p>
    <w:p>
      <w:pPr>
        <w:spacing w:before="65"/>
        <w:ind w:firstLine="640"/>
      </w:pPr>
      <w:r>
        <w:rPr>
          <w:rFonts w:hint="eastAsia"/>
        </w:rPr>
        <w:t>全镇划定矿产资源开采保护线</w:t>
      </w:r>
      <w:r>
        <w:t>13处，全镇分布较广。为河南省内乡县板厂一带多金属矿详查（老虎山外围）、河南省内乡县板厂一带铜多金属矿详查、河南省内乡县金岭金多金属矿普查、河南省内乡县小青龙沟金矿普查、河南省内乡县叶坪—七里坪矿区石墨矿详查、河南省西峡县竹园沟-内乡县韭菜沟一带金多金属矿详查、内乡芦家坪银矿、内乡县七里坪乡石板沟硅石矿、内乡县夏馆镇东沟铅多金属矿普查、内乡县夏馆镇后坪矿区饰面大理岩矿、内乡县夏馆镇柳树沟硅石矿、内乡县夏馆镇小栗坪—大庄沟金银矿普查和西峡米坪重点开采区，涉及规模17945.91公顷。</w:t>
      </w:r>
    </w:p>
    <w:p>
      <w:pPr>
        <w:pStyle w:val="4"/>
        <w:spacing w:before="195" w:beforeLines="60" w:after="195" w:afterLines="60" w:line="240" w:lineRule="auto"/>
      </w:pPr>
      <w:r>
        <w:rPr>
          <w:rFonts w:hint="eastAsia"/>
        </w:rPr>
        <w:t>廊道控制线</w:t>
      </w:r>
    </w:p>
    <w:p>
      <w:pPr>
        <w:spacing w:before="65"/>
        <w:ind w:firstLine="640"/>
      </w:pPr>
      <w:r>
        <w:rPr>
          <w:rFonts w:hint="eastAsia"/>
        </w:rPr>
        <w:t>全镇交通控制廊道涉及高速公路：嵩内高速；国道：</w:t>
      </w:r>
      <w:r>
        <w:t>G241；省道：S243、S249；县道：X003、X034、X038；乡道：Y003、Y004、Y008、Y031、Y034，根据《公路安全保护条例》，在公路两侧修建永久性工程设施，其建筑物边缘与公路边沟外缘的间距为：国道不少于20米；省道不少于15米；县道不少于10米；乡道不少于5米。高速公路的，公路建筑控制区的范围从公路用地外缘起向外的距离标准不少于30米。</w:t>
      </w:r>
    </w:p>
    <w:p>
      <w:pPr>
        <w:pStyle w:val="3"/>
        <w:spacing w:before="326" w:beforeLines="100" w:after="326" w:afterLines="100"/>
      </w:pPr>
      <w:bookmarkStart w:id="28" w:name="_Toc183017779"/>
      <w:r>
        <w:rPr>
          <w:rFonts w:hint="eastAsia"/>
        </w:rPr>
        <w:t>划定村庄建设边界</w:t>
      </w:r>
      <w:bookmarkEnd w:id="28"/>
    </w:p>
    <w:p>
      <w:pPr>
        <w:pStyle w:val="4"/>
        <w:spacing w:before="195" w:beforeLines="60" w:after="195" w:afterLines="60" w:line="240" w:lineRule="auto"/>
      </w:pPr>
      <w:r>
        <w:rPr>
          <w:rFonts w:hint="eastAsia"/>
        </w:rPr>
        <w:t>村庄建设边界</w:t>
      </w:r>
      <w:r>
        <w:t>划定</w:t>
      </w:r>
    </w:p>
    <w:p>
      <w:pPr>
        <w:spacing w:before="65"/>
        <w:ind w:firstLine="640"/>
      </w:pPr>
      <w:r>
        <w:rPr>
          <w:rFonts w:hint="eastAsia"/>
        </w:rPr>
        <w:t>全镇划定村庄建设边界</w:t>
      </w:r>
      <w:r>
        <w:t>567.10公顷</w:t>
      </w:r>
      <w:r>
        <w:rPr>
          <w:rFonts w:hint="eastAsia"/>
        </w:rPr>
        <w:t>，</w:t>
      </w:r>
      <w:r>
        <w:t>预留机动指标13.80公顷。</w:t>
      </w:r>
    </w:p>
    <w:p>
      <w:pPr>
        <w:spacing w:before="65"/>
        <w:ind w:firstLine="640"/>
      </w:pPr>
    </w:p>
    <w:p>
      <w:pPr>
        <w:spacing w:before="65"/>
        <w:ind w:firstLine="640"/>
      </w:pPr>
    </w:p>
    <w:p>
      <w:pPr>
        <w:ind w:firstLine="640"/>
      </w:pPr>
      <w:bookmarkStart w:id="29" w:name="_Toc183017780"/>
      <w:r>
        <w:br w:type="page"/>
      </w:r>
    </w:p>
    <w:p>
      <w:pPr>
        <w:ind w:firstLine="640"/>
      </w:pPr>
    </w:p>
    <w:p>
      <w:pPr>
        <w:pStyle w:val="2"/>
      </w:pPr>
      <w:bookmarkStart w:id="30" w:name="_Toc221006220"/>
      <w:r>
        <w:rPr>
          <w:rFonts w:hint="eastAsia"/>
        </w:rPr>
        <w:t>规划分区</w:t>
      </w:r>
      <w:bookmarkEnd w:id="30"/>
    </w:p>
    <w:p>
      <w:pPr>
        <w:pStyle w:val="3"/>
        <w:spacing w:before="326" w:beforeLines="100" w:after="326" w:afterLines="100"/>
      </w:pPr>
      <w:r>
        <w:rPr>
          <w:rFonts w:hint="eastAsia"/>
        </w:rPr>
        <w:t>国土空间开发保护总体格局</w:t>
      </w:r>
      <w:bookmarkEnd w:id="29"/>
    </w:p>
    <w:p>
      <w:pPr>
        <w:pStyle w:val="4"/>
        <w:spacing w:before="195" w:beforeLines="60" w:after="195" w:afterLines="60" w:line="240" w:lineRule="auto"/>
      </w:pPr>
      <w:r>
        <w:rPr>
          <w:rFonts w:hint="eastAsia"/>
        </w:rPr>
        <w:t>国土空间开发保护总体格局</w:t>
      </w:r>
    </w:p>
    <w:p>
      <w:pPr>
        <w:spacing w:before="65"/>
        <w:ind w:firstLine="640"/>
      </w:pPr>
      <w:r>
        <w:rPr>
          <w:rFonts w:hint="eastAsia"/>
        </w:rPr>
        <w:t>融合三生空间，兼顾保护与发展，构建“两轴一心两区”的生态化集约化的国土空间开发保护总体格局。</w:t>
      </w:r>
    </w:p>
    <w:p>
      <w:pPr>
        <w:spacing w:before="65"/>
        <w:ind w:firstLine="640"/>
      </w:pPr>
      <w:r>
        <w:rPr>
          <w:rFonts w:hint="eastAsia"/>
        </w:rPr>
        <w:t>两轴：国道</w:t>
      </w:r>
      <w:r>
        <w:t>G241是夏馆镇与内乡县和西峡县发展主轴带，沿县道X038和省道S243是夏馆镇栾川县联系的主要通道，也是夏馆镇连通嵩内高速，与南阳市等其他城市沟通的纽带。</w:t>
      </w:r>
    </w:p>
    <w:p>
      <w:pPr>
        <w:spacing w:before="65"/>
        <w:ind w:firstLine="640"/>
      </w:pPr>
      <w:r>
        <w:rPr>
          <w:rFonts w:hint="eastAsia"/>
        </w:rPr>
        <w:t>一心：镇区为基础的城镇建设聚集区。</w:t>
      </w:r>
    </w:p>
    <w:p>
      <w:pPr>
        <w:spacing w:before="65"/>
        <w:ind w:firstLine="640"/>
      </w:pPr>
      <w:r>
        <w:rPr>
          <w:rFonts w:hint="eastAsia"/>
        </w:rPr>
        <w:t>两区：分别是夏馆镇北部以生态保护红线为核心的宝天曼生态保护区；南部为农业种植为核心的农业发展区。</w:t>
      </w:r>
    </w:p>
    <w:p>
      <w:pPr>
        <w:pStyle w:val="3"/>
        <w:spacing w:before="326" w:beforeLines="100" w:after="326" w:afterLines="100"/>
      </w:pPr>
      <w:bookmarkStart w:id="31" w:name="_Toc183017781"/>
      <w:r>
        <w:rPr>
          <w:rFonts w:hint="eastAsia"/>
        </w:rPr>
        <w:t>规划分区与用途管制</w:t>
      </w:r>
      <w:bookmarkEnd w:id="31"/>
    </w:p>
    <w:p>
      <w:pPr>
        <w:pStyle w:val="4"/>
        <w:spacing w:before="195" w:beforeLines="60" w:after="195" w:afterLines="60" w:line="240" w:lineRule="auto"/>
      </w:pPr>
      <w:r>
        <w:rPr>
          <w:rFonts w:hint="eastAsia"/>
        </w:rPr>
        <w:t>生态保护区</w:t>
      </w:r>
    </w:p>
    <w:p>
      <w:pPr>
        <w:ind w:firstLine="640"/>
      </w:pPr>
      <w:r>
        <w:rPr>
          <w:rFonts w:hint="eastAsia"/>
        </w:rPr>
        <w:t>1</w:t>
      </w:r>
      <w:r>
        <w:t>.生态保护区划定</w:t>
      </w:r>
    </w:p>
    <w:p>
      <w:pPr>
        <w:ind w:firstLine="640"/>
      </w:pPr>
      <w:r>
        <w:rPr>
          <w:rFonts w:hint="eastAsia"/>
          <w:lang w:bidi="ar"/>
        </w:rPr>
        <w:t>落实上位规划传导，全镇划定生态保护区面积</w:t>
      </w:r>
      <w:r>
        <w:rPr>
          <w:lang w:bidi="ar"/>
        </w:rPr>
        <w:t>12404.09公顷，占全域面积的34.62%。生态保护区主要包括生态保护红线内限制开发建设的区域。夏馆镇域范围内主要为天然林等</w:t>
      </w:r>
      <w:r>
        <w:rPr>
          <w:rFonts w:hint="eastAsia"/>
        </w:rPr>
        <w:t>。</w:t>
      </w:r>
    </w:p>
    <w:p>
      <w:pPr>
        <w:ind w:firstLine="640"/>
      </w:pPr>
      <w:r>
        <w:rPr>
          <w:rFonts w:hint="eastAsia"/>
        </w:rPr>
        <w:t>2</w:t>
      </w:r>
      <w:r>
        <w:t>.管控规则</w:t>
      </w:r>
    </w:p>
    <w:p>
      <w:pPr>
        <w:ind w:firstLine="640"/>
      </w:pPr>
      <w:r>
        <w:rPr>
          <w:rFonts w:hint="eastAsia"/>
        </w:rPr>
        <w:t>生态保护区内国土空间用途准入、退出按照《中共中央办公厅国务院办公厅关于划定并严守生态保护红线的若干意见》、《自然资源部生态环境部 国家林业和草原局关于加强生态保护红线管理的通知（试行）》、《河南省生态保护红线管理办法》、《河南省生态保护红线实施细则》以及生态保护红线相关法律法规进行管控。</w:t>
      </w:r>
    </w:p>
    <w:p>
      <w:pPr>
        <w:ind w:firstLine="640"/>
      </w:pPr>
      <w:r>
        <w:rPr>
          <w:rFonts w:hint="eastAsia"/>
        </w:rPr>
        <w:t>生态保护红线内，自然保护地核心保护区原则上禁止人为活动，其他区域严格禁止不符合主体功能定位的开发性、生产性建设活动。生态保护红线内各类自然保护地，饮用水水源地保护区等禁止开发区域的管理，同时执行相关法律法规规定。</w:t>
      </w:r>
    </w:p>
    <w:p>
      <w:pPr>
        <w:pStyle w:val="4"/>
        <w:spacing w:before="195" w:beforeLines="60" w:after="195" w:afterLines="60" w:line="240" w:lineRule="auto"/>
      </w:pPr>
      <w:r>
        <w:rPr>
          <w:rFonts w:hint="eastAsia"/>
        </w:rPr>
        <w:t>生态控制区</w:t>
      </w:r>
    </w:p>
    <w:p>
      <w:pPr>
        <w:ind w:firstLine="640"/>
      </w:pPr>
      <w:r>
        <w:rPr>
          <w:rFonts w:hint="eastAsia"/>
        </w:rPr>
        <w:t>1</w:t>
      </w:r>
      <w:r>
        <w:t>.生态控制区划定</w:t>
      </w:r>
    </w:p>
    <w:p>
      <w:pPr>
        <w:ind w:firstLine="640"/>
      </w:pPr>
      <w:r>
        <w:rPr>
          <w:rFonts w:hint="eastAsia"/>
          <w:lang w:bidi="ar"/>
        </w:rPr>
        <w:t>依据上位规划传导，并结合夏馆镇实际情况，局部进行优化，全镇划定生态控制区面积</w:t>
      </w:r>
      <w:r>
        <w:rPr>
          <w:lang w:bidi="ar"/>
        </w:rPr>
        <w:t>16117.93公顷，占全域面积的44.99%</w:t>
      </w:r>
      <w:r>
        <w:rPr>
          <w:rFonts w:hint="eastAsia"/>
          <w:lang w:bidi="ar"/>
        </w:rPr>
        <w:t>。</w:t>
      </w:r>
    </w:p>
    <w:p>
      <w:pPr>
        <w:ind w:firstLine="640"/>
      </w:pPr>
      <w:r>
        <w:t>2.管控规则</w:t>
      </w:r>
    </w:p>
    <w:p>
      <w:pPr>
        <w:ind w:firstLine="640"/>
      </w:pPr>
      <w:r>
        <w:rPr>
          <w:rFonts w:hint="eastAsia"/>
          <w:lang w:bidi="ar"/>
        </w:rPr>
        <w:t>（1）用途准入</w:t>
      </w:r>
    </w:p>
    <w:p>
      <w:pPr>
        <w:ind w:firstLine="640"/>
      </w:pPr>
      <w:r>
        <w:rPr>
          <w:rFonts w:hint="eastAsia"/>
          <w:lang w:bidi="ar"/>
        </w:rPr>
        <w:t>鼓励依据国土空间规划及其他相关规划，按照自然恢复为主、人工修复为辅的原则，实施生态修复工程，提升生态功能。严格限制农业开发占用生态控制区，在不涉及</w:t>
      </w:r>
      <w:r>
        <w:rPr>
          <w:lang w:bidi="ar"/>
        </w:rPr>
        <w:t>天然林、公益林</w:t>
      </w:r>
      <w:r>
        <w:rPr>
          <w:rFonts w:hint="eastAsia"/>
          <w:lang w:bidi="ar"/>
        </w:rPr>
        <w:t>、水域的前提下，经评估有利于提升生态功能的，可依据国土空间规划或其他相关规划开展土地整治新增耕地。</w:t>
      </w:r>
    </w:p>
    <w:p>
      <w:pPr>
        <w:ind w:firstLine="640"/>
      </w:pPr>
      <w:r>
        <w:rPr>
          <w:rFonts w:hint="eastAsia"/>
          <w:lang w:bidi="ar"/>
        </w:rPr>
        <w:t>严控新增建设占用生态控制区，建设用途准入应符合国土空间规划和其他相关规划。各类风景名胜区等必要的配套设施建设、符合区域功能定位的旅游服务设施、道路交通基础设施、水利市政基础设施、公益性设施以及其他必要的特殊设施建设必须占用的，需做好选址论证，严格控制建筑规模与开发强度。</w:t>
      </w:r>
    </w:p>
    <w:p>
      <w:pPr>
        <w:ind w:firstLine="640"/>
      </w:pPr>
      <w:r>
        <w:rPr>
          <w:rFonts w:hint="eastAsia"/>
          <w:lang w:bidi="ar"/>
        </w:rPr>
        <w:t>（2）用途退出</w:t>
      </w:r>
    </w:p>
    <w:p>
      <w:pPr>
        <w:ind w:firstLine="640"/>
        <w:rPr>
          <w:lang w:bidi="ar"/>
        </w:rPr>
      </w:pPr>
      <w:r>
        <w:rPr>
          <w:rFonts w:hint="eastAsia"/>
          <w:lang w:bidi="ar"/>
        </w:rPr>
        <w:t>生态控制区内原有的各种不符合生态保护要求、防洪安全的生产、开发活动应当逐步退出，并进行生态修复，退出不应对生态环境造成重大影响；对区内主要保护对象及其栖息地环境造成的负面影响轻微或可控制；符合国土空间规划和其他相关规划。对国有林场和坡度25度以上已经开垦种植的林地要逐步还林。对于现状建设，应当进行评估后制定分类处置方案：对于违法建设和经评估对生态保护存在不利影响的，应当逐步退出；对于历史形成的合法现状建设用地，经评估对生态环境无影响的，可予以保留，但不得随意改变用途或进行改扩建。</w:t>
      </w:r>
    </w:p>
    <w:p>
      <w:pPr>
        <w:spacing w:before="65"/>
        <w:ind w:firstLine="640"/>
      </w:pPr>
      <w:r>
        <w:rPr>
          <w:rFonts w:hint="eastAsia"/>
        </w:rPr>
        <w:t>“三线一单”生态环境分区管控划定的一般生态空间管控要求：禁止在公益林内放牧、开垦、采石、挖沙取土、堆放废弃物，以及违反操作技术规程采脂、挖笋、掘根、剥树皮、过度修枝等毁林行为。禁止向公益林内排放污染物。</w:t>
      </w:r>
    </w:p>
    <w:p>
      <w:pPr>
        <w:pStyle w:val="4"/>
        <w:spacing w:before="195" w:beforeLines="60" w:after="195" w:afterLines="60" w:line="240" w:lineRule="auto"/>
      </w:pPr>
      <w:r>
        <w:rPr>
          <w:rFonts w:hint="eastAsia"/>
        </w:rPr>
        <w:t>农田保护区</w:t>
      </w:r>
    </w:p>
    <w:p>
      <w:pPr>
        <w:ind w:firstLine="640"/>
      </w:pPr>
      <w:r>
        <w:rPr>
          <w:rFonts w:hint="eastAsia"/>
        </w:rPr>
        <w:t>1</w:t>
      </w:r>
      <w:r>
        <w:t>.农田保护区划定</w:t>
      </w:r>
    </w:p>
    <w:p>
      <w:pPr>
        <w:ind w:firstLine="640"/>
      </w:pPr>
      <w:r>
        <w:rPr>
          <w:rFonts w:hint="eastAsia"/>
          <w:lang w:bidi="ar"/>
        </w:rPr>
        <w:t>全镇划定农田保护区面积</w:t>
      </w:r>
      <w:r>
        <w:rPr>
          <w:lang w:bidi="ar"/>
        </w:rPr>
        <w:t>524.31公顷，占全域面积的1.46%</w:t>
      </w:r>
      <w:r>
        <w:rPr>
          <w:rFonts w:hint="eastAsia"/>
          <w:lang w:bidi="ar"/>
        </w:rPr>
        <w:t>。</w:t>
      </w:r>
    </w:p>
    <w:p>
      <w:pPr>
        <w:ind w:firstLine="640"/>
      </w:pPr>
      <w:r>
        <w:rPr>
          <w:rFonts w:hint="eastAsia"/>
        </w:rPr>
        <w:t>2</w:t>
      </w:r>
      <w:r>
        <w:t>.管控规则</w:t>
      </w:r>
    </w:p>
    <w:p>
      <w:pPr>
        <w:ind w:firstLine="640"/>
      </w:pPr>
      <w:r>
        <w:rPr>
          <w:rFonts w:hint="eastAsia"/>
          <w:lang w:bidi="ar"/>
        </w:rPr>
        <w:t>（1）用途准入</w:t>
      </w:r>
    </w:p>
    <w:p>
      <w:pPr>
        <w:ind w:firstLine="640"/>
      </w:pPr>
      <w:r>
        <w:rPr>
          <w:rFonts w:hint="eastAsia"/>
        </w:rPr>
        <w:t>农田保护区应重点用于粮食生产，按照《自然资源部 农业农村部关于加强和改进永久基本农田保护工作的通知》第（六）款的规定严格规范永久基本农田上的农业生产活动。</w:t>
      </w:r>
    </w:p>
    <w:p>
      <w:pPr>
        <w:spacing w:before="65"/>
        <w:ind w:firstLine="640"/>
      </w:pPr>
      <w:r>
        <w:rPr>
          <w:rFonts w:hint="eastAsia"/>
        </w:rPr>
        <w:t>农田保护区内鼓励依据国土空间规划、土地整治规划等相关规划开展高标准农田建设、永久基本农田集中连片整治、即可恢复属性地类耕地功能恢复等整治活动，提高永久基本农田质量，引导区内废弃建设用地、其他农用地整治为耕地，区内符合条件的一般耕地应优先划入永久基本农田储备区。</w:t>
      </w:r>
    </w:p>
    <w:p>
      <w:pPr>
        <w:spacing w:before="65"/>
        <w:ind w:firstLine="640"/>
      </w:pPr>
      <w:r>
        <w:rPr>
          <w:rFonts w:hint="eastAsia"/>
        </w:rPr>
        <w:t>农田保护区内限制准入农业设施建设用地，农业设施建设用地不再使用的，必须恢复原用途。</w:t>
      </w:r>
    </w:p>
    <w:p>
      <w:pPr>
        <w:spacing w:before="65"/>
        <w:ind w:firstLine="640"/>
      </w:pPr>
      <w:r>
        <w:rPr>
          <w:rFonts w:hint="eastAsia"/>
        </w:rPr>
        <w:t>农田保护区限制转变为林地、湿地、水域等用途，按照《自然资源部 农业农村部关于加强和改进永久基本农田保护工作的通知》第（九）款的规定协调安排生态建设项目。</w:t>
      </w:r>
    </w:p>
    <w:p>
      <w:pPr>
        <w:spacing w:before="65"/>
        <w:ind w:firstLine="640"/>
      </w:pPr>
      <w:r>
        <w:rPr>
          <w:rFonts w:hint="eastAsia"/>
        </w:rPr>
        <w:t>农田保护区内的永久基本农田实行正面清单准入，在符合国土空间规划和其他相关规划的前提下，允许占用永久基本农田的重大项目、临时用地和矿业权按照《自然资源部关于做好占用永久基本农田重大建设项目用地预审的通知》第一款以及《自然资源部 农业农村部关于加强和改进永久基本农田保护工作的通知》第（七）款、第（八）款执行。</w:t>
      </w:r>
    </w:p>
    <w:p>
      <w:pPr>
        <w:spacing w:before="65"/>
        <w:ind w:firstLine="640"/>
      </w:pPr>
      <w:r>
        <w:rPr>
          <w:rFonts w:hint="eastAsia"/>
          <w:lang w:bidi="ar"/>
        </w:rPr>
        <w:t>（2）用途退出</w:t>
      </w:r>
    </w:p>
    <w:p>
      <w:pPr>
        <w:spacing w:before="65"/>
        <w:ind w:firstLine="640"/>
      </w:pPr>
      <w:r>
        <w:rPr>
          <w:rFonts w:hint="eastAsia"/>
          <w:lang w:bidi="ar"/>
        </w:rPr>
        <w:t>不符合农田保护区准入规则、违法违规占用永久基本农田的用途，应按照国土空间规划、土地整治规划等相关规划有序退出，并限期恢复种植条件，规划期间确实不能恢复种植条件的，经多部门联合论证，允许保留现状用途，但不得扩大面积，并补划相同数量、相当质量的永久基本农田。</w:t>
      </w:r>
    </w:p>
    <w:p>
      <w:pPr>
        <w:pStyle w:val="4"/>
        <w:spacing w:before="195" w:beforeLines="60" w:after="195" w:afterLines="60" w:line="240" w:lineRule="auto"/>
      </w:pPr>
      <w:r>
        <w:rPr>
          <w:rFonts w:hint="eastAsia"/>
        </w:rPr>
        <w:t>城镇发展区</w:t>
      </w:r>
    </w:p>
    <w:p>
      <w:pPr>
        <w:ind w:firstLine="640"/>
      </w:pPr>
      <w:r>
        <w:rPr>
          <w:rFonts w:hint="eastAsia"/>
        </w:rPr>
        <w:t>1</w:t>
      </w:r>
      <w:r>
        <w:t>.城镇发展区划定</w:t>
      </w:r>
    </w:p>
    <w:p>
      <w:pPr>
        <w:spacing w:before="48"/>
        <w:ind w:firstLine="640"/>
      </w:pPr>
      <w:r>
        <w:rPr>
          <w:rFonts w:hint="eastAsia"/>
        </w:rPr>
        <w:t>全镇划定城镇发展区面积</w:t>
      </w:r>
      <w:r>
        <w:t>83.40公顷，全部为集中建设区，</w:t>
      </w:r>
      <w:r>
        <w:rPr>
          <w:rFonts w:hint="eastAsia"/>
        </w:rPr>
        <w:t>划分为六个功能分区。城镇功能区采用“详细规划+规划许可”的方式进行管理</w:t>
      </w:r>
      <w:r>
        <w:t>。</w:t>
      </w:r>
    </w:p>
    <w:p>
      <w:pPr>
        <w:ind w:firstLine="640"/>
      </w:pPr>
      <w:r>
        <w:rPr>
          <w:rFonts w:hint="eastAsia"/>
        </w:rPr>
        <w:t>（</w:t>
      </w:r>
      <w:r>
        <w:t>1）居住生活区</w:t>
      </w:r>
    </w:p>
    <w:p>
      <w:pPr>
        <w:ind w:firstLine="640"/>
      </w:pPr>
      <w:r>
        <w:rPr>
          <w:rFonts w:hint="eastAsia"/>
        </w:rPr>
        <w:t>居住生活区面积约为</w:t>
      </w:r>
      <w:r>
        <w:t>48.44公顷，以居住和生活服务配套为主要功能。完善公共服务设施和绿地与开敞空间建设，优化提升居住区功能和环境，在保障主要功能导向的前提下，鼓励多元功能的适度混合，避免重大妨害功能的干扰。</w:t>
      </w:r>
    </w:p>
    <w:p>
      <w:pPr>
        <w:ind w:firstLine="640"/>
      </w:pPr>
      <w:r>
        <w:rPr>
          <w:rFonts w:hint="eastAsia"/>
        </w:rPr>
        <w:t>（</w:t>
      </w:r>
      <w:r>
        <w:t>2）综合服务区</w:t>
      </w:r>
    </w:p>
    <w:p>
      <w:pPr>
        <w:ind w:firstLine="640"/>
      </w:pPr>
      <w:r>
        <w:rPr>
          <w:rFonts w:hint="eastAsia"/>
        </w:rPr>
        <w:t>综合服务区面积约为</w:t>
      </w:r>
      <w:r>
        <w:t>9.97公顷，以提供行政办公、文化体育、教育、医疗等服务为主要功能导向的区域，主要为镇区北侧的医疗服务、中部的综合服务、西侧的文化服务、南侧的教育片区。强化文化、体育、商贸商务等功能的合理配置，建立创新服务平台，植入公共空间，提升公共活动中心空间覆盖。</w:t>
      </w:r>
    </w:p>
    <w:p>
      <w:pPr>
        <w:ind w:firstLine="640"/>
      </w:pPr>
      <w:r>
        <w:rPr>
          <w:rFonts w:hint="eastAsia"/>
        </w:rPr>
        <w:t>（</w:t>
      </w:r>
      <w:r>
        <w:t>3）商业商务区</w:t>
      </w:r>
    </w:p>
    <w:p>
      <w:pPr>
        <w:ind w:firstLine="640"/>
      </w:pPr>
      <w:r>
        <w:rPr>
          <w:rFonts w:hint="eastAsia"/>
        </w:rPr>
        <w:t>商业商务区面积约为</w:t>
      </w:r>
      <w:r>
        <w:t>11.37公顷，以商业商贸为主要功能，承载现代消费、休闲娱乐、金融服务等服务业态，综合服务功能应集约紧凑，满足服务等级、规模及类型要求。</w:t>
      </w:r>
    </w:p>
    <w:p>
      <w:pPr>
        <w:ind w:firstLine="640"/>
      </w:pPr>
      <w:r>
        <w:rPr>
          <w:rFonts w:hint="eastAsia"/>
        </w:rPr>
        <w:t>（</w:t>
      </w:r>
      <w:r>
        <w:t>4）工业发展区</w:t>
      </w:r>
    </w:p>
    <w:p>
      <w:pPr>
        <w:ind w:firstLine="640"/>
      </w:pPr>
      <w:r>
        <w:rPr>
          <w:rFonts w:hint="eastAsia"/>
        </w:rPr>
        <w:t>工业发展区面积约为</w:t>
      </w:r>
      <w:r>
        <w:t>2.40公顷，以工业用地为主，适当布局为工业服务的商服用地。工业发展区是规划确定的集镇区主要工业等功能的总体空间布局，应与周边其他功能区协调好安全防护关系。统筹安排集镇区生产性功能，提升生产运行效率，严格遵守环保要求，降低工业功能对城市居住、公共环境、交通等的干扰，保障其他城市功能有序运行；对区内不同类型工业用地的安全防护提出控制要求，以及产城融合建设的具体规定。</w:t>
      </w:r>
    </w:p>
    <w:p>
      <w:pPr>
        <w:ind w:firstLine="640"/>
      </w:pPr>
      <w:r>
        <w:rPr>
          <w:rFonts w:hint="eastAsia"/>
        </w:rPr>
        <w:t>（</w:t>
      </w:r>
      <w:r>
        <w:t>5）绿地休闲区</w:t>
      </w:r>
    </w:p>
    <w:p>
      <w:pPr>
        <w:ind w:firstLine="640"/>
      </w:pPr>
      <w:r>
        <w:rPr>
          <w:rFonts w:hint="eastAsia"/>
        </w:rPr>
        <w:t>绿地休闲区面积约为</w:t>
      </w:r>
      <w:r>
        <w:t>1.37公顷，可兼容少量商服用地、公共管理与公共服务设施用地。绿地休闲区应安排好“点、线、面”结合的绿地系统结构，为市民提供便捷可达、充足友好的游憩休闲空间，并确保相互干扰的功能区的防护隔离；对公园绿地、广场用地、防护绿地的总体规模与服务半径提出控制要求。</w:t>
      </w:r>
    </w:p>
    <w:p>
      <w:pPr>
        <w:ind w:firstLine="640"/>
      </w:pPr>
      <w:r>
        <w:rPr>
          <w:rFonts w:hint="eastAsia"/>
        </w:rPr>
        <w:t>（</w:t>
      </w:r>
      <w:r>
        <w:t>6）战略预留区</w:t>
      </w:r>
    </w:p>
    <w:p>
      <w:pPr>
        <w:ind w:firstLine="640"/>
      </w:pPr>
      <w:r>
        <w:rPr>
          <w:rFonts w:hint="eastAsia"/>
        </w:rPr>
        <w:t>战略预留区面积约为</w:t>
      </w:r>
      <w:r>
        <w:t>0.79公顷；战略预留区是对镇区发展产生重大影响的、尚具有不确定性的战略性功能进行空间预留，并应加强区内一切建设行为的预先管控。以用途待定用地及现状用地为主。</w:t>
      </w:r>
    </w:p>
    <w:p>
      <w:pPr>
        <w:ind w:firstLine="640"/>
      </w:pPr>
      <w:r>
        <w:rPr>
          <w:rFonts w:hint="eastAsia"/>
        </w:rPr>
        <w:t>2</w:t>
      </w:r>
      <w:r>
        <w:t>.管控规则</w:t>
      </w:r>
    </w:p>
    <w:p>
      <w:pPr>
        <w:ind w:firstLine="640"/>
      </w:pPr>
      <w:r>
        <w:rPr>
          <w:rFonts w:hint="eastAsia"/>
        </w:rPr>
        <w:t>城镇发展区主要用于城镇建设，是允许开展城镇开发建设行为的核心区域，应实现详细规划全覆盖，按照详细规划进行精细化管理，限制农业生产、土地整治和村庄建设。</w:t>
      </w:r>
    </w:p>
    <w:p>
      <w:pPr>
        <w:ind w:firstLine="640"/>
      </w:pPr>
      <w:r>
        <w:rPr>
          <w:rFonts w:hint="eastAsia"/>
          <w:lang w:bidi="ar"/>
        </w:rPr>
        <w:t>（1）用途准入</w:t>
      </w:r>
    </w:p>
    <w:p>
      <w:pPr>
        <w:ind w:firstLine="640"/>
      </w:pPr>
      <w:r>
        <w:rPr>
          <w:rFonts w:hint="eastAsia"/>
          <w:lang w:bidi="ar"/>
        </w:rPr>
        <w:t>城镇集中建设区各类城镇建设用途的准入应符合国土空间规划和其他相关规划，优先使用存量建设用地，引导城镇低效用地再开发，提高建设用地使用效率，落实建设用地标准控制制度，开展节约集约用地评价，推广应用节地技术和节地模式。</w:t>
      </w:r>
    </w:p>
    <w:p>
      <w:pPr>
        <w:ind w:firstLine="640"/>
      </w:pPr>
      <w:r>
        <w:rPr>
          <w:rFonts w:hint="eastAsia"/>
          <w:lang w:bidi="ar"/>
        </w:rPr>
        <w:t>鼓励建设用地的复合性开发，按照用途相近、功能兼容、互无干扰、基础设施共享的原则，研究制定有助于生活便利、各类用途相互促进的兼容性地类和相关控制指标。</w:t>
      </w:r>
    </w:p>
    <w:p>
      <w:pPr>
        <w:ind w:firstLine="640"/>
      </w:pPr>
      <w:r>
        <w:rPr>
          <w:rFonts w:hint="eastAsia"/>
          <w:lang w:bidi="ar"/>
        </w:rPr>
        <w:t>城镇集中建设区内的战略预留区宜维持现状用途为主，在用途明确前应控制区内新建扩建各项建设，按照原用途使用。</w:t>
      </w:r>
    </w:p>
    <w:p>
      <w:pPr>
        <w:ind w:firstLine="640"/>
      </w:pPr>
      <w:r>
        <w:rPr>
          <w:rFonts w:hint="eastAsia"/>
          <w:lang w:bidi="ar"/>
        </w:rPr>
        <w:t>（2）用途退出</w:t>
      </w:r>
    </w:p>
    <w:p>
      <w:pPr>
        <w:ind w:firstLine="640"/>
      </w:pPr>
      <w:r>
        <w:rPr>
          <w:rFonts w:hint="eastAsia"/>
          <w:lang w:bidi="ar"/>
        </w:rPr>
        <w:t>对用途分区主导功能产生负面影响的用途应通过国土空间规划的编制和实施逐步退出。</w:t>
      </w:r>
    </w:p>
    <w:p>
      <w:pPr>
        <w:pStyle w:val="4"/>
        <w:spacing w:before="195" w:beforeLines="60" w:after="195" w:afterLines="60" w:line="240" w:lineRule="auto"/>
      </w:pPr>
      <w:r>
        <w:rPr>
          <w:rFonts w:hint="eastAsia"/>
        </w:rPr>
        <w:t>乡村发展区</w:t>
      </w:r>
    </w:p>
    <w:p>
      <w:pPr>
        <w:ind w:firstLine="640"/>
      </w:pPr>
      <w:r>
        <w:rPr>
          <w:rFonts w:hint="eastAsia"/>
          <w:lang w:bidi="ar"/>
        </w:rPr>
        <w:t>全镇划定乡村发展区面积</w:t>
      </w:r>
      <w:r>
        <w:rPr>
          <w:lang w:bidi="ar"/>
        </w:rPr>
        <w:t>2756.42公顷，占全域面积的7.69%</w:t>
      </w:r>
      <w:r>
        <w:rPr>
          <w:rFonts w:hint="eastAsia"/>
          <w:lang w:bidi="ar"/>
        </w:rPr>
        <w:t>。乡村发展区包含村庄建设区、一般农业区等二级规划分区。</w:t>
      </w:r>
    </w:p>
    <w:p>
      <w:pPr>
        <w:ind w:firstLine="640"/>
      </w:pPr>
      <w:r>
        <w:rPr>
          <w:rFonts w:hint="eastAsia"/>
        </w:rPr>
        <w:t>1</w:t>
      </w:r>
      <w:r>
        <w:t>.</w:t>
      </w:r>
      <w:r>
        <w:rPr>
          <w:rFonts w:hint="eastAsia"/>
        </w:rPr>
        <w:t>村庄建设区</w:t>
      </w:r>
    </w:p>
    <w:p>
      <w:pPr>
        <w:ind w:firstLine="640"/>
      </w:pPr>
      <w:r>
        <w:rPr>
          <w:rFonts w:hint="eastAsia"/>
        </w:rPr>
        <w:t>全镇划定村庄建设区面积</w:t>
      </w:r>
      <w:r>
        <w:t>543.98公顷，占全域</w:t>
      </w:r>
      <w:r>
        <w:rPr>
          <w:rFonts w:hint="eastAsia"/>
        </w:rPr>
        <w:t>乡村发展区</w:t>
      </w:r>
      <w:r>
        <w:t>面积的24.59%。</w:t>
      </w:r>
    </w:p>
    <w:p>
      <w:pPr>
        <w:ind w:firstLine="640"/>
      </w:pPr>
      <w:r>
        <w:rPr>
          <w:lang w:bidi="ar"/>
        </w:rPr>
        <w:t>（</w:t>
      </w:r>
      <w:r>
        <w:rPr>
          <w:rFonts w:hint="eastAsia"/>
          <w:lang w:bidi="ar"/>
        </w:rPr>
        <w:t>1）用途准入</w:t>
      </w:r>
    </w:p>
    <w:p>
      <w:pPr>
        <w:ind w:firstLine="640"/>
      </w:pPr>
      <w:r>
        <w:rPr>
          <w:rFonts w:hint="eastAsia"/>
          <w:lang w:bidi="ar"/>
        </w:rPr>
        <w:t>村庄建设区的准入应符合国土空间规划和其他相关规划。在符合国土空间规划和其他相关规划的前提下，村庄建设区准入宅基地、农村公共服务设施、交通市政基础设施、农产品加工仓储、农家乐、民宿、创意办公、休闲农业、乡村旅游配套设施等农村生产、生活相关的用途。</w:t>
      </w:r>
    </w:p>
    <w:p>
      <w:pPr>
        <w:ind w:firstLine="640"/>
      </w:pPr>
      <w:r>
        <w:rPr>
          <w:rFonts w:hint="eastAsia"/>
          <w:lang w:bidi="ar"/>
        </w:rPr>
        <w:t>已批准村庄规划覆盖的区域，村庄建设区的准入应符合村庄规划的要求，优先保障农村宅基地和公共服务设施用地的建设需求，宅基地建设应依法落实“一户一宅”要求，遵守地方宅基地建设标准；公共服务设施应严格按照国土空间规划明确的公共服务设施建设标准和布局要求进行建设。</w:t>
      </w:r>
    </w:p>
    <w:p>
      <w:pPr>
        <w:ind w:firstLine="640"/>
      </w:pPr>
      <w:r>
        <w:rPr>
          <w:lang w:bidi="ar"/>
        </w:rPr>
        <w:t>（</w:t>
      </w:r>
      <w:r>
        <w:rPr>
          <w:rFonts w:hint="eastAsia"/>
          <w:lang w:bidi="ar"/>
        </w:rPr>
        <w:t>2）用途退出</w:t>
      </w:r>
    </w:p>
    <w:p>
      <w:pPr>
        <w:ind w:firstLine="640"/>
      </w:pPr>
      <w:r>
        <w:rPr>
          <w:rFonts w:hint="eastAsia"/>
          <w:lang w:bidi="ar"/>
        </w:rPr>
        <w:t>对村民生产、生活有负面影响的生产、开发活动应当通过国土空间规划的编制和实施逐步退出。</w:t>
      </w:r>
    </w:p>
    <w:p>
      <w:pPr>
        <w:ind w:firstLine="640"/>
      </w:pPr>
      <w:r>
        <w:rPr>
          <w:rFonts w:hint="eastAsia"/>
        </w:rPr>
        <w:t>2</w:t>
      </w:r>
      <w:r>
        <w:t>.</w:t>
      </w:r>
      <w:r>
        <w:rPr>
          <w:rFonts w:hint="eastAsia"/>
        </w:rPr>
        <w:t>一般农业区</w:t>
      </w:r>
    </w:p>
    <w:p>
      <w:pPr>
        <w:ind w:firstLine="640"/>
      </w:pPr>
      <w:r>
        <w:rPr>
          <w:rFonts w:hint="eastAsia"/>
          <w:lang w:bidi="ar"/>
        </w:rPr>
        <w:t>全镇划定一般农业区面积</w:t>
      </w:r>
      <w:r>
        <w:rPr>
          <w:lang w:bidi="ar"/>
        </w:rPr>
        <w:t>2212.45公顷，占全域乡村发展区面积的80.27%。</w:t>
      </w:r>
    </w:p>
    <w:p>
      <w:pPr>
        <w:spacing w:before="65"/>
        <w:ind w:firstLine="640"/>
      </w:pPr>
      <w:r>
        <w:rPr>
          <w:lang w:bidi="ar"/>
        </w:rPr>
        <w:t>（</w:t>
      </w:r>
      <w:r>
        <w:rPr>
          <w:rFonts w:hint="eastAsia"/>
          <w:lang w:bidi="ar"/>
        </w:rPr>
        <w:t>1）用途准入</w:t>
      </w:r>
    </w:p>
    <w:p>
      <w:pPr>
        <w:spacing w:before="65"/>
        <w:ind w:firstLine="640"/>
        <w:rPr>
          <w:lang w:bidi="ar"/>
        </w:rPr>
      </w:pPr>
      <w:r>
        <w:rPr>
          <w:rFonts w:hint="eastAsia"/>
          <w:lang w:bidi="ar"/>
        </w:rPr>
        <w:t>一般农业区中的耕地按照《土地管理法》、《土地管理法实施条例》、《关于坚决制止耕地“非农化”防止耕地“非粮化”稳定发展粮食生产的意见》等法律法规、文件的要求进行管控。</w:t>
      </w:r>
    </w:p>
    <w:p>
      <w:pPr>
        <w:spacing w:before="65"/>
        <w:ind w:firstLine="640"/>
      </w:pPr>
      <w:r>
        <w:rPr>
          <w:rFonts w:hint="eastAsia"/>
          <w:lang w:bidi="ar"/>
        </w:rPr>
        <w:t>一般农业区内的耕地优先用于粮食和棉、油、糖、蔬菜等农产品生产。一般农业区内鼓励依据国土空间规划、全域土地综合整治规划等相关规划开展土地整治，提升耕地质量，促进区内建设用地、其他农用地整治为耕地。一般农业区中。</w:t>
      </w:r>
    </w:p>
    <w:p>
      <w:pPr>
        <w:spacing w:before="65"/>
        <w:ind w:firstLine="640"/>
      </w:pPr>
      <w:r>
        <w:rPr>
          <w:rFonts w:hint="eastAsia"/>
          <w:lang w:bidi="ar"/>
        </w:rPr>
        <w:t>在符合国土空间规划和其他相关规划的前提下，一般农业区允许农业设施建设用地准入，使用后必须恢复原用途。严格控制农业设施建设用地转化为非农建设用地。</w:t>
      </w:r>
    </w:p>
    <w:p>
      <w:pPr>
        <w:spacing w:before="65"/>
        <w:ind w:firstLine="640"/>
      </w:pPr>
      <w:r>
        <w:rPr>
          <w:rFonts w:hint="eastAsia"/>
          <w:lang w:bidi="ar"/>
        </w:rPr>
        <w:t>一般农业区中的永久基本农田储备耕地在补划为永久基本农田前，按照一般耕地管理和使用，并及时进行补充更新。重大建设项目或整改补划永久基本农田的，可直接在永久基本农田储备耕地中进行补划。</w:t>
      </w:r>
    </w:p>
    <w:p>
      <w:pPr>
        <w:spacing w:before="65"/>
        <w:ind w:firstLine="640"/>
      </w:pPr>
      <w:r>
        <w:rPr>
          <w:lang w:bidi="ar"/>
        </w:rPr>
        <w:t>（</w:t>
      </w:r>
      <w:r>
        <w:rPr>
          <w:rFonts w:hint="eastAsia"/>
          <w:lang w:bidi="ar"/>
        </w:rPr>
        <w:t>2）用途退出</w:t>
      </w:r>
    </w:p>
    <w:p>
      <w:pPr>
        <w:ind w:firstLine="640"/>
      </w:pPr>
      <w:r>
        <w:rPr>
          <w:rFonts w:hint="eastAsia"/>
          <w:lang w:bidi="ar"/>
        </w:rPr>
        <w:t>下列用途应通过国土空间规划的编制和实施有序退出，并限期恢复种植条件，规划期间确实不能恢复种植条件的，允许保留现状用途，但不得扩大面积。包括：一般农业区内破坏、污染耕地的开发生产活动；违法违规占用耕地的用途；零星的建设用地等用途。</w:t>
      </w:r>
    </w:p>
    <w:p>
      <w:pPr>
        <w:pStyle w:val="4"/>
        <w:spacing w:before="195" w:beforeLines="60" w:after="195" w:afterLines="60" w:line="240" w:lineRule="auto"/>
      </w:pPr>
      <w:r>
        <w:rPr>
          <w:rFonts w:hint="eastAsia"/>
        </w:rPr>
        <w:t>矿产能源发展区</w:t>
      </w:r>
    </w:p>
    <w:p>
      <w:pPr>
        <w:ind w:firstLine="640"/>
      </w:pPr>
      <w:r>
        <w:rPr>
          <w:rFonts w:hint="eastAsia"/>
        </w:rPr>
        <w:t>1</w:t>
      </w:r>
      <w:r>
        <w:t>.矿产能源发展区划定</w:t>
      </w:r>
    </w:p>
    <w:p>
      <w:pPr>
        <w:ind w:firstLine="640"/>
      </w:pPr>
      <w:r>
        <w:rPr>
          <w:rFonts w:hint="eastAsia"/>
          <w:lang w:bidi="ar"/>
        </w:rPr>
        <w:t>全镇划定矿产能源发展区面积</w:t>
      </w:r>
      <w:r>
        <w:rPr>
          <w:lang w:bidi="ar"/>
        </w:rPr>
        <w:t>3939.16公顷，占全域面积的11.00%</w:t>
      </w:r>
      <w:r>
        <w:rPr>
          <w:rFonts w:hint="eastAsia"/>
          <w:lang w:bidi="ar"/>
        </w:rPr>
        <w:t>。</w:t>
      </w:r>
    </w:p>
    <w:p>
      <w:pPr>
        <w:ind w:firstLine="640"/>
      </w:pPr>
      <w:r>
        <w:rPr>
          <w:rFonts w:hint="eastAsia"/>
        </w:rPr>
        <w:t>2</w:t>
      </w:r>
      <w:r>
        <w:t>.管控规则</w:t>
      </w:r>
    </w:p>
    <w:p>
      <w:pPr>
        <w:ind w:firstLine="640"/>
      </w:pPr>
      <w:r>
        <w:rPr>
          <w:lang w:bidi="ar"/>
        </w:rPr>
        <w:t>（</w:t>
      </w:r>
      <w:r>
        <w:rPr>
          <w:rFonts w:hint="eastAsia"/>
          <w:lang w:bidi="ar"/>
        </w:rPr>
        <w:t>1）用途准入</w:t>
      </w:r>
    </w:p>
    <w:p>
      <w:pPr>
        <w:ind w:firstLine="640"/>
      </w:pPr>
      <w:r>
        <w:rPr>
          <w:rFonts w:hint="eastAsia"/>
          <w:lang w:bidi="ar"/>
        </w:rPr>
        <w:t>在符合国土空间规划和其他相关规划的前提下，矿产能源发展区允许矿产资源的勘探、开采、初加工以及相关的配套设施建设，禁止大规模的城镇建设。</w:t>
      </w:r>
    </w:p>
    <w:p>
      <w:pPr>
        <w:ind w:firstLine="640"/>
      </w:pPr>
      <w:r>
        <w:rPr>
          <w:rFonts w:hint="eastAsia"/>
          <w:lang w:bidi="ar"/>
        </w:rPr>
        <w:t>在符合国土空间规划和其他相关规划的前提下，矿产能源发展区允许开展农用地整理和其他土地整治工程的实施，鼓励生态修复和生态建设工程。</w:t>
      </w:r>
    </w:p>
    <w:p>
      <w:pPr>
        <w:ind w:firstLine="640"/>
      </w:pPr>
      <w:r>
        <w:rPr>
          <w:lang w:bidi="ar"/>
        </w:rPr>
        <w:t>（</w:t>
      </w:r>
      <w:r>
        <w:rPr>
          <w:rFonts w:hint="eastAsia"/>
          <w:lang w:bidi="ar"/>
        </w:rPr>
        <w:t>2）用途退出</w:t>
      </w:r>
    </w:p>
    <w:p>
      <w:pPr>
        <w:ind w:firstLine="640"/>
        <w:rPr>
          <w:lang w:bidi="ar"/>
        </w:rPr>
      </w:pPr>
      <w:r>
        <w:rPr>
          <w:rFonts w:hint="eastAsia"/>
          <w:lang w:bidi="ar"/>
        </w:rPr>
        <w:t>在符合国土空间规划和其他相关规划的前提下，不符合准入规则、影响矿产能源勘探和开采的用途应有序退出。</w:t>
      </w:r>
    </w:p>
    <w:p>
      <w:pPr>
        <w:ind w:firstLine="640"/>
        <w:rPr>
          <w:lang w:bidi="ar"/>
        </w:rPr>
      </w:pPr>
      <w:r>
        <w:rPr>
          <w:rFonts w:hint="eastAsia"/>
          <w:lang w:bidi="ar"/>
        </w:rPr>
        <w:t>规划分区详见附表3。</w:t>
      </w:r>
      <w:r>
        <w:rPr>
          <w:lang w:bidi="ar"/>
        </w:rPr>
        <w:br w:type="page"/>
      </w:r>
    </w:p>
    <w:p>
      <w:pPr>
        <w:ind w:firstLine="640"/>
        <w:rPr>
          <w:lang w:bidi="ar"/>
        </w:rPr>
      </w:pPr>
    </w:p>
    <w:p>
      <w:pPr>
        <w:pStyle w:val="2"/>
      </w:pPr>
      <w:bookmarkStart w:id="32" w:name="_Toc221006221"/>
      <w:r>
        <w:rPr>
          <w:rFonts w:hint="eastAsia"/>
        </w:rPr>
        <w:t>国土空间功能结构调整</w:t>
      </w:r>
      <w:bookmarkEnd w:id="32"/>
    </w:p>
    <w:p>
      <w:pPr>
        <w:pStyle w:val="3"/>
        <w:spacing w:before="326" w:beforeLines="100" w:after="326" w:afterLines="100"/>
      </w:pPr>
      <w:bookmarkStart w:id="33" w:name="_Toc183017782"/>
      <w:r>
        <w:rPr>
          <w:rFonts w:hint="eastAsia"/>
        </w:rPr>
        <w:t>国土空间功能结构调整</w:t>
      </w:r>
      <w:bookmarkEnd w:id="33"/>
    </w:p>
    <w:p>
      <w:pPr>
        <w:pStyle w:val="4"/>
        <w:spacing w:before="195" w:beforeLines="60" w:after="195" w:afterLines="60" w:line="240" w:lineRule="auto"/>
      </w:pPr>
      <w:r>
        <w:rPr>
          <w:rFonts w:hint="eastAsia"/>
        </w:rPr>
        <w:t>优化国土空间功能结构调整</w:t>
      </w:r>
    </w:p>
    <w:p>
      <w:pPr>
        <w:widowControl w:val="0"/>
        <w:spacing w:before="48" w:after="163" w:afterLines="50"/>
        <w:ind w:firstLine="640"/>
        <w:rPr>
          <w:lang w:bidi="ar"/>
        </w:rPr>
      </w:pPr>
      <w:r>
        <w:rPr>
          <w:rFonts w:hint="eastAsia" w:ascii="Times New Roman" w:cs="宋体"/>
          <w:lang w:bidi="ar"/>
        </w:rPr>
        <w:t>规划</w:t>
      </w:r>
      <w:r>
        <w:rPr>
          <w:rFonts w:ascii="Times New Roman" w:cs="宋体"/>
          <w:lang w:bidi="ar"/>
        </w:rPr>
        <w:t>期内</w:t>
      </w:r>
      <w:r>
        <w:rPr>
          <w:rFonts w:hint="eastAsia" w:ascii="Times New Roman" w:cs="宋体"/>
          <w:lang w:bidi="ar"/>
        </w:rPr>
        <w:t>，耕地面积不低于</w:t>
      </w:r>
      <w:r>
        <w:t>557.56</w:t>
      </w:r>
      <w:r>
        <w:rPr>
          <w:rFonts w:hint="eastAsia" w:ascii="Times New Roman" w:cs="宋体"/>
          <w:lang w:bidi="ar"/>
        </w:rPr>
        <w:t>公顷（耕地保有量）；</w:t>
      </w:r>
      <w:r>
        <w:rPr>
          <w:rFonts w:ascii="Times New Roman" w:cs="宋体"/>
          <w:lang w:bidi="ar"/>
        </w:rPr>
        <w:t>规划至2035年</w:t>
      </w:r>
      <w:r>
        <w:rPr>
          <w:rFonts w:hint="eastAsia" w:ascii="Times New Roman" w:cs="宋体"/>
          <w:lang w:bidi="ar"/>
        </w:rPr>
        <w:t>园地面积适量减少，林地面积保持稳定；草地面积适度减少；湿地保持稳定；农业设施建设用地适度增加；城镇用地面积不超过</w:t>
      </w:r>
      <w:r>
        <w:t>83.40</w:t>
      </w:r>
      <w:r>
        <w:rPr>
          <w:rFonts w:hint="eastAsia" w:ascii="Times New Roman" w:cs="宋体"/>
          <w:lang w:bidi="ar"/>
        </w:rPr>
        <w:t>公顷；</w:t>
      </w:r>
      <w:r>
        <w:rPr>
          <w:rFonts w:hint="eastAsia"/>
        </w:rPr>
        <w:t>村庄用地规模不得超过城镇开发边界外村庄用地总规模</w:t>
      </w:r>
      <w:bookmarkStart w:id="34" w:name="_Hlk213056801"/>
      <w:r>
        <w:t>567.10</w:t>
      </w:r>
      <w:bookmarkEnd w:id="34"/>
      <w:r>
        <w:t>公顷</w:t>
      </w:r>
      <w:r>
        <w:rPr>
          <w:rFonts w:hint="eastAsia" w:ascii="Times New Roman" w:cs="宋体"/>
          <w:lang w:bidi="ar"/>
        </w:rPr>
        <w:t>；区域基础设施用地面积持续增加；其他建设用地面积适度增加；陆地水域</w:t>
      </w:r>
      <w:r>
        <w:rPr>
          <w:rFonts w:hint="eastAsia"/>
          <w:lang w:bidi="ar"/>
        </w:rPr>
        <w:t>保持稳定</w:t>
      </w:r>
      <w:r>
        <w:rPr>
          <w:rFonts w:hint="eastAsia" w:ascii="Times New Roman" w:cs="宋体"/>
          <w:lang w:bidi="ar"/>
        </w:rPr>
        <w:t>（</w:t>
      </w:r>
      <w:r>
        <w:rPr>
          <w:rFonts w:hint="eastAsia"/>
          <w:lang w:val="zh-CN" w:bidi="ar"/>
        </w:rPr>
        <w:t>详见附表</w:t>
      </w:r>
      <w:r>
        <w:rPr>
          <w:lang w:val="zh-CN" w:bidi="ar"/>
        </w:rPr>
        <w:t>4</w:t>
      </w:r>
      <w:r>
        <w:rPr>
          <w:rFonts w:hint="eastAsia" w:ascii="Times New Roman" w:cs="宋体"/>
          <w:lang w:bidi="ar"/>
        </w:rPr>
        <w:t>）。</w:t>
      </w:r>
    </w:p>
    <w:p>
      <w:pPr>
        <w:pStyle w:val="5"/>
        <w:ind w:firstLine="640"/>
      </w:pPr>
      <w:bookmarkStart w:id="35" w:name="_Hlk206605833"/>
      <w:r>
        <w:rPr>
          <w:rFonts w:hint="eastAsia"/>
        </w:rPr>
        <w:t>优化农用地结构</w:t>
      </w:r>
    </w:p>
    <w:bookmarkEnd w:id="35"/>
    <w:p>
      <w:pPr>
        <w:widowControl w:val="0"/>
        <w:spacing w:before="48" w:after="163" w:afterLines="50"/>
        <w:ind w:firstLine="640"/>
        <w:rPr>
          <w:lang w:bidi="ar"/>
        </w:rPr>
      </w:pPr>
      <w:r>
        <w:rPr>
          <w:rFonts w:hint="eastAsia"/>
          <w:lang w:bidi="ar"/>
        </w:rPr>
        <w:t>耕地：规划期内全镇耕地面积不低于在“三区三线”划定成果中确定的耕地保护目标</w:t>
      </w:r>
      <w:r>
        <w:t>557.56</w:t>
      </w:r>
      <w:r>
        <w:rPr>
          <w:rFonts w:hint="eastAsia"/>
          <w:lang w:bidi="ar"/>
        </w:rPr>
        <w:t>公顷。</w:t>
      </w:r>
    </w:p>
    <w:p>
      <w:pPr>
        <w:widowControl w:val="0"/>
        <w:spacing w:before="48" w:after="163" w:afterLines="50"/>
        <w:ind w:firstLine="640"/>
        <w:rPr>
          <w:lang w:bidi="ar"/>
        </w:rPr>
      </w:pPr>
      <w:r>
        <w:rPr>
          <w:rFonts w:hint="eastAsia"/>
          <w:lang w:bidi="ar"/>
        </w:rPr>
        <w:t>园地：规划至2035年，园地面积适度减少。</w:t>
      </w:r>
    </w:p>
    <w:p>
      <w:pPr>
        <w:widowControl w:val="0"/>
        <w:spacing w:before="48" w:after="163" w:afterLines="50"/>
        <w:ind w:firstLine="640"/>
        <w:rPr>
          <w:lang w:bidi="ar"/>
        </w:rPr>
      </w:pPr>
      <w:r>
        <w:rPr>
          <w:rFonts w:hint="eastAsia"/>
          <w:lang w:bidi="ar"/>
        </w:rPr>
        <w:t>林地：规划期内，林地面积保持稳定。</w:t>
      </w:r>
    </w:p>
    <w:p>
      <w:pPr>
        <w:widowControl w:val="0"/>
        <w:spacing w:before="48" w:after="163" w:afterLines="50"/>
        <w:ind w:firstLine="640"/>
        <w:rPr>
          <w:lang w:bidi="ar"/>
        </w:rPr>
      </w:pPr>
      <w:r>
        <w:rPr>
          <w:rFonts w:hint="eastAsia"/>
          <w:lang w:bidi="ar"/>
        </w:rPr>
        <w:t>草地：</w:t>
      </w:r>
      <w:bookmarkStart w:id="36" w:name="_Hlk152851885"/>
      <w:r>
        <w:rPr>
          <w:rFonts w:hint="eastAsia"/>
          <w:lang w:bidi="ar"/>
        </w:rPr>
        <w:t>规划至2035年，草地面积结合土地综合整治项目</w:t>
      </w:r>
      <w:r>
        <w:rPr>
          <w:rFonts w:hint="eastAsia" w:ascii="Times New Roman" w:cs="宋体"/>
          <w:lang w:bidi="ar"/>
        </w:rPr>
        <w:t>适度减少</w:t>
      </w:r>
      <w:r>
        <w:rPr>
          <w:rFonts w:hint="eastAsia"/>
          <w:lang w:bidi="ar"/>
        </w:rPr>
        <w:t>。</w:t>
      </w:r>
    </w:p>
    <w:bookmarkEnd w:id="36"/>
    <w:p>
      <w:pPr>
        <w:widowControl w:val="0"/>
        <w:spacing w:before="48" w:after="163" w:afterLines="50"/>
        <w:ind w:firstLine="640"/>
        <w:rPr>
          <w:lang w:bidi="ar"/>
        </w:rPr>
      </w:pPr>
      <w:r>
        <w:rPr>
          <w:rFonts w:hint="eastAsia"/>
          <w:lang w:bidi="ar"/>
        </w:rPr>
        <w:t>湿地：规划至</w:t>
      </w:r>
      <w:r>
        <w:rPr>
          <w:lang w:bidi="ar"/>
        </w:rPr>
        <w:t>2035年，</w:t>
      </w:r>
      <w:r>
        <w:rPr>
          <w:rFonts w:hint="eastAsia"/>
          <w:lang w:bidi="ar"/>
        </w:rPr>
        <w:t>湿地</w:t>
      </w:r>
      <w:r>
        <w:rPr>
          <w:lang w:bidi="ar"/>
        </w:rPr>
        <w:t>面积</w:t>
      </w:r>
      <w:r>
        <w:rPr>
          <w:rFonts w:hint="eastAsia"/>
          <w:lang w:bidi="ar"/>
        </w:rPr>
        <w:t>保持稳定。</w:t>
      </w:r>
    </w:p>
    <w:p>
      <w:pPr>
        <w:ind w:firstLine="640"/>
      </w:pPr>
      <w:r>
        <w:rPr>
          <w:rFonts w:hint="eastAsia"/>
        </w:rPr>
        <w:t>农业设施建设用地：根据《河南省人民政府办公厅关于印发河南省因地制宜发展设施种植业促进农民增收三年行动方案（2025—2027年）的通知》，结合每个行政村的实际需求，分批分步安排100亩左右相对集中的一般耕地，保障设施种植业稳步发展。因此农业设施建设用地适度增加。</w:t>
      </w:r>
    </w:p>
    <w:p>
      <w:pPr>
        <w:pStyle w:val="5"/>
        <w:ind w:firstLine="640"/>
      </w:pPr>
      <w:bookmarkStart w:id="37" w:name="_Hlk206605851"/>
      <w:r>
        <w:rPr>
          <w:rFonts w:hint="eastAsia"/>
        </w:rPr>
        <w:t>优化建设用地结构</w:t>
      </w:r>
      <w:bookmarkEnd w:id="37"/>
    </w:p>
    <w:p>
      <w:pPr>
        <w:spacing w:before="48"/>
        <w:ind w:firstLine="640"/>
        <w:rPr>
          <w:lang w:bidi="ar"/>
        </w:rPr>
      </w:pPr>
      <w:r>
        <w:rPr>
          <w:rFonts w:hint="eastAsia"/>
          <w:lang w:bidi="ar"/>
        </w:rPr>
        <w:t>城镇用地：</w:t>
      </w:r>
      <w:r>
        <w:rPr>
          <w:lang w:bidi="ar"/>
        </w:rPr>
        <w:t>规划至2035年城镇用地规模不得超过</w:t>
      </w:r>
      <w:r>
        <w:t>83.40</w:t>
      </w:r>
      <w:r>
        <w:rPr>
          <w:lang w:bidi="ar"/>
        </w:rPr>
        <w:t>公顷</w:t>
      </w:r>
      <w:r>
        <w:rPr>
          <w:rFonts w:hint="eastAsia"/>
          <w:lang w:bidi="ar"/>
        </w:rPr>
        <w:t>。</w:t>
      </w:r>
    </w:p>
    <w:p>
      <w:pPr>
        <w:spacing w:before="48"/>
        <w:ind w:firstLine="640"/>
      </w:pPr>
      <w:r>
        <w:rPr>
          <w:rFonts w:hint="eastAsia"/>
          <w:lang w:bidi="ar"/>
        </w:rPr>
        <w:t>村庄用地：规划至2</w:t>
      </w:r>
      <w:r>
        <w:rPr>
          <w:lang w:bidi="ar"/>
        </w:rPr>
        <w:t>035</w:t>
      </w:r>
      <w:r>
        <w:rPr>
          <w:rFonts w:hint="eastAsia"/>
          <w:lang w:bidi="ar"/>
        </w:rPr>
        <w:t>年村庄用地</w:t>
      </w:r>
      <w:r>
        <w:rPr>
          <w:lang w:bidi="ar"/>
        </w:rPr>
        <w:t>规模不得超过城镇开发边界外村庄用地总规模</w:t>
      </w:r>
      <w:r>
        <w:t>567.10</w:t>
      </w:r>
      <w:r>
        <w:rPr>
          <w:lang w:bidi="ar"/>
        </w:rPr>
        <w:t>公顷</w:t>
      </w:r>
      <w:r>
        <w:rPr>
          <w:rFonts w:hint="eastAsia"/>
          <w:lang w:bidi="ar"/>
        </w:rPr>
        <w:t>。</w:t>
      </w:r>
    </w:p>
    <w:p>
      <w:pPr>
        <w:spacing w:before="48"/>
        <w:ind w:firstLine="640"/>
      </w:pPr>
      <w:bookmarkStart w:id="38" w:name="_Hlk206605887"/>
      <w:r>
        <w:rPr>
          <w:rFonts w:hint="eastAsia"/>
          <w:lang w:bidi="ar"/>
        </w:rPr>
        <w:t>区域基础设施用地：</w:t>
      </w:r>
      <w:bookmarkEnd w:id="38"/>
      <w:r>
        <w:rPr>
          <w:rFonts w:hint="eastAsia"/>
          <w:lang w:bidi="ar"/>
        </w:rPr>
        <w:t>规划期内，严格落实国家、省、市级重点项目用地需求，规划期内区域基础设施用地根据实际需求增加。</w:t>
      </w:r>
    </w:p>
    <w:p>
      <w:pPr>
        <w:ind w:firstLine="640"/>
      </w:pPr>
      <w:bookmarkStart w:id="39" w:name="_Hlk206605897"/>
      <w:r>
        <w:t>其他建设用地</w:t>
      </w:r>
      <w:r>
        <w:rPr>
          <w:rFonts w:hint="eastAsia"/>
        </w:rPr>
        <w:t>：</w:t>
      </w:r>
      <w:r>
        <w:rPr>
          <w:rFonts w:hint="eastAsia"/>
          <w:lang w:bidi="ar"/>
        </w:rPr>
        <w:t>落实部门</w:t>
      </w:r>
      <w:r>
        <w:rPr>
          <w:lang w:bidi="ar"/>
        </w:rPr>
        <w:t>相关</w:t>
      </w:r>
      <w:r>
        <w:rPr>
          <w:rFonts w:hint="eastAsia"/>
          <w:lang w:bidi="ar"/>
        </w:rPr>
        <w:t>规划，矿产、旅游、民生等用地需求，规划期内其他建设用地适度增加。</w:t>
      </w:r>
    </w:p>
    <w:bookmarkEnd w:id="39"/>
    <w:p>
      <w:pPr>
        <w:pStyle w:val="5"/>
        <w:ind w:firstLine="640"/>
      </w:pPr>
      <w:bookmarkStart w:id="40" w:name="_Hlk206605870"/>
      <w:r>
        <w:rPr>
          <w:rFonts w:hint="eastAsia"/>
        </w:rPr>
        <w:t>合理利用其他土地</w:t>
      </w:r>
      <w:bookmarkEnd w:id="40"/>
    </w:p>
    <w:p>
      <w:pPr>
        <w:ind w:firstLine="640"/>
        <w:rPr>
          <w:lang w:bidi="ar"/>
        </w:rPr>
      </w:pPr>
      <w:r>
        <w:rPr>
          <w:rFonts w:hint="eastAsia"/>
          <w:lang w:bidi="ar"/>
        </w:rPr>
        <w:t>严格河湖水域岸线管理保护，积极开展湍河、鱼道河以及农村</w:t>
      </w:r>
      <w:r>
        <w:rPr>
          <w:lang w:bidi="ar"/>
        </w:rPr>
        <w:t>水系沟渠连通治理工程，提高河道防洪能力，规划期末陆地水域面积保持稳定</w:t>
      </w:r>
      <w:r>
        <w:rPr>
          <w:rFonts w:hint="eastAsia"/>
          <w:lang w:bidi="ar"/>
        </w:rPr>
        <w:t>。</w:t>
      </w:r>
    </w:p>
    <w:p>
      <w:pPr>
        <w:pStyle w:val="3"/>
        <w:spacing w:before="326" w:beforeLines="100" w:after="326" w:afterLines="100"/>
      </w:pPr>
      <w:bookmarkStart w:id="41" w:name="_Toc183017783"/>
      <w:r>
        <w:rPr>
          <w:rFonts w:hint="eastAsia"/>
        </w:rPr>
        <w:t>留白用地</w:t>
      </w:r>
      <w:bookmarkEnd w:id="41"/>
    </w:p>
    <w:p>
      <w:pPr>
        <w:pStyle w:val="4"/>
        <w:spacing w:before="195" w:beforeLines="60" w:after="195" w:afterLines="60" w:line="240" w:lineRule="auto"/>
      </w:pPr>
      <w:r>
        <w:rPr>
          <w:rFonts w:hint="eastAsia"/>
        </w:rPr>
        <w:t>留白用地</w:t>
      </w:r>
    </w:p>
    <w:p>
      <w:pPr>
        <w:spacing w:before="65"/>
        <w:ind w:firstLine="640"/>
      </w:pPr>
      <w:r>
        <w:rPr>
          <w:rFonts w:hint="eastAsia"/>
        </w:rPr>
        <w:t>村庄规划阶段可按照现状村庄建设用地的</w:t>
      </w:r>
      <w:r>
        <w:t>5%作为规划留白，用于暂时无法确定用途或位置的乡镇域内农村公益设施、乡村文旅设施、农村一二三产融合发展用地等。规划留白不得占用永久基本农田、生态保护红线。</w:t>
      </w:r>
    </w:p>
    <w:p>
      <w:pPr>
        <w:spacing w:before="65"/>
        <w:ind w:firstLine="640"/>
      </w:pPr>
      <w:r>
        <w:br w:type="page"/>
      </w:r>
    </w:p>
    <w:p>
      <w:pPr>
        <w:spacing w:before="65"/>
        <w:ind w:firstLine="640"/>
      </w:pPr>
    </w:p>
    <w:p>
      <w:pPr>
        <w:pStyle w:val="2"/>
        <w:spacing w:before="489" w:beforeLines="150" w:after="489" w:afterLines="150"/>
      </w:pPr>
      <w:bookmarkStart w:id="42" w:name="_Toc183017784"/>
      <w:bookmarkStart w:id="43" w:name="_Toc221006222"/>
      <w:bookmarkStart w:id="44" w:name="_Toc211259324"/>
      <w:r>
        <w:rPr>
          <w:rFonts w:hint="eastAsia"/>
        </w:rPr>
        <w:t>自然资源保护与利用</w:t>
      </w:r>
      <w:bookmarkEnd w:id="42"/>
      <w:bookmarkEnd w:id="43"/>
      <w:bookmarkEnd w:id="44"/>
    </w:p>
    <w:p>
      <w:pPr>
        <w:pStyle w:val="3"/>
        <w:spacing w:before="326" w:beforeLines="100" w:after="326" w:afterLines="100"/>
      </w:pPr>
      <w:bookmarkStart w:id="45" w:name="_Toc183017785"/>
      <w:r>
        <w:rPr>
          <w:rFonts w:hint="eastAsia"/>
        </w:rPr>
        <w:t>耕地资源保护与利用</w:t>
      </w:r>
      <w:bookmarkEnd w:id="45"/>
    </w:p>
    <w:p>
      <w:pPr>
        <w:pStyle w:val="4"/>
        <w:spacing w:before="195" w:beforeLines="60" w:after="195" w:afterLines="60" w:line="240" w:lineRule="auto"/>
      </w:pPr>
      <w:r>
        <w:rPr>
          <w:rFonts w:hint="eastAsia"/>
        </w:rPr>
        <w:t>严格落实耕地保护责任</w:t>
      </w:r>
    </w:p>
    <w:p>
      <w:pPr>
        <w:spacing w:before="65"/>
        <w:ind w:firstLine="640"/>
        <w:rPr>
          <w:lang w:bidi="ar"/>
        </w:rPr>
      </w:pPr>
      <w:r>
        <w:rPr>
          <w:rFonts w:hint="eastAsia"/>
          <w:lang w:bidi="ar"/>
        </w:rPr>
        <w:t>落实“合理利用土地、切实保护耕地”的基本国策，落实耕地保护目标，严守耕地保护红线，保证面积不减少、质量有提升、生态有改善。</w:t>
      </w:r>
      <w:r>
        <w:rPr>
          <w:rFonts w:hint="eastAsia"/>
          <w:u w:val="single"/>
          <w:lang w:bidi="ar"/>
        </w:rPr>
        <w:t>规划至2035年，全镇耕地保有量不低于</w:t>
      </w:r>
      <w:r>
        <w:rPr>
          <w:u w:val="single"/>
          <w:lang w:bidi="ar"/>
        </w:rPr>
        <w:t>557.56</w:t>
      </w:r>
      <w:r>
        <w:rPr>
          <w:rFonts w:hint="eastAsia"/>
          <w:u w:val="single"/>
          <w:lang w:bidi="ar"/>
        </w:rPr>
        <w:t>公顷</w:t>
      </w:r>
      <w:r>
        <w:rPr>
          <w:u w:val="single"/>
          <w:lang w:bidi="ar"/>
        </w:rPr>
        <w:t>，</w:t>
      </w:r>
      <w:r>
        <w:rPr>
          <w:rFonts w:hint="eastAsia"/>
          <w:u w:val="single"/>
        </w:rPr>
        <w:t>永久基本农田保护目标</w:t>
      </w:r>
      <w:r>
        <w:rPr>
          <w:u w:val="single"/>
        </w:rPr>
        <w:t>不低于392.69</w:t>
      </w:r>
      <w:r>
        <w:rPr>
          <w:rFonts w:hint="eastAsia"/>
          <w:u w:val="single"/>
        </w:rPr>
        <w:t>公顷</w:t>
      </w:r>
      <w:r>
        <w:rPr>
          <w:rFonts w:hint="eastAsia"/>
          <w:lang w:bidi="ar"/>
        </w:rPr>
        <w:t>。根据永久基本农田核实处置成果，</w:t>
      </w:r>
      <w:r>
        <w:rPr>
          <w:lang w:bidi="ar"/>
        </w:rPr>
        <w:t>实际落实永久基本农田保护红线443.36公顷。</w:t>
      </w:r>
      <w:r>
        <w:rPr>
          <w:rFonts w:hint="eastAsia"/>
          <w:lang w:bidi="ar"/>
        </w:rPr>
        <w:t>严格落实</w:t>
      </w:r>
      <w:r>
        <w:rPr>
          <w:lang w:bidi="ar"/>
        </w:rPr>
        <w:t>划定</w:t>
      </w:r>
      <w:r>
        <w:rPr>
          <w:rFonts w:hint="eastAsia"/>
          <w:lang w:bidi="ar"/>
        </w:rPr>
        <w:t>的耕地保护图斑，</w:t>
      </w:r>
      <w:r>
        <w:t>足额带位置</w:t>
      </w:r>
      <w:r>
        <w:rPr>
          <w:rFonts w:hint="eastAsia"/>
        </w:rPr>
        <w:t>落实</w:t>
      </w:r>
      <w:r>
        <w:t>到</w:t>
      </w:r>
      <w:r>
        <w:rPr>
          <w:rFonts w:hint="eastAsia"/>
        </w:rPr>
        <w:t>村庄</w:t>
      </w:r>
      <w:r>
        <w:t>、到地块，上图入库、建档立卡，守住耕地保护和粮食安全底线。</w:t>
      </w:r>
      <w:r>
        <w:rPr>
          <w:rFonts w:hint="eastAsia"/>
          <w:lang w:bidi="ar"/>
        </w:rPr>
        <w:t>落实“长牙齿”的耕地保护措施，</w:t>
      </w:r>
      <w:r>
        <w:rPr>
          <w:lang w:bidi="ar"/>
        </w:rPr>
        <w:t>落实</w:t>
      </w:r>
      <w:r>
        <w:rPr>
          <w:rFonts w:hint="eastAsia"/>
          <w:lang w:bidi="ar"/>
        </w:rPr>
        <w:t>耕地保护责任目标考核机制，</w:t>
      </w:r>
      <w:r>
        <w:rPr>
          <w:lang w:bidi="ar"/>
        </w:rPr>
        <w:t>落实</w:t>
      </w:r>
      <w:r>
        <w:rPr>
          <w:rFonts w:hint="eastAsia"/>
          <w:lang w:bidi="ar"/>
        </w:rPr>
        <w:t>耕地保护党政同责、终生追责。</w:t>
      </w:r>
      <w:r>
        <w:rPr>
          <w:lang w:bidi="ar"/>
        </w:rPr>
        <w:t>严格落实</w:t>
      </w:r>
      <w:r>
        <w:rPr>
          <w:rFonts w:hint="eastAsia"/>
          <w:lang w:bidi="ar"/>
        </w:rPr>
        <w:t>推进“非农化”问题排查整治，严格控制耕地转为林地、草地、园地等其他农用地。</w:t>
      </w:r>
    </w:p>
    <w:p>
      <w:pPr>
        <w:pStyle w:val="4"/>
        <w:spacing w:before="195" w:after="195"/>
      </w:pPr>
      <w:r>
        <w:t>严格落实耕地种植用途管控</w:t>
      </w:r>
    </w:p>
    <w:p>
      <w:pPr>
        <w:spacing w:before="65"/>
        <w:ind w:firstLine="640"/>
        <w:rPr>
          <w:lang w:bidi="ar"/>
        </w:rPr>
      </w:pPr>
      <w:r>
        <w:rPr>
          <w:lang w:bidi="ar"/>
        </w:rPr>
        <w:t>落实耕地种植制度，耕地主要用于粮食和棉、油、糖、蔬菜等农产品生产以及饲草饲料生产，永久基本农田重点用于粮食生产，高标准农田原则上全部用于粮食生产。严守永久基本农田保护红线，严禁擅自占用和改变用途。全面落实田长制，建立多层级网格化管理的耕地保护监督机制，加强耕地执法监督,坚决遏制耕地“非农化”、防止“非粮化”。</w:t>
      </w:r>
    </w:p>
    <w:p>
      <w:pPr>
        <w:pStyle w:val="4"/>
        <w:spacing w:before="195" w:after="195"/>
      </w:pPr>
      <w:r>
        <w:rPr>
          <w:rFonts w:hint="eastAsia"/>
        </w:rPr>
        <w:t>严格落实占补平衡</w:t>
      </w:r>
    </w:p>
    <w:p>
      <w:pPr>
        <w:spacing w:before="48"/>
        <w:ind w:firstLine="640"/>
        <w:rPr>
          <w:lang w:bidi="ar"/>
        </w:rPr>
      </w:pPr>
      <w:r>
        <w:rPr>
          <w:rFonts w:hint="eastAsia"/>
          <w:lang w:bidi="ar"/>
        </w:rPr>
        <w:t>严格实行“以补定占”，在实现耕地总量动态平衡前提下，将镇域内稳定利用耕地净增加量作为下年度非农建设允许占用耕地规模上限控制，对违法建设占用耕地相应冻结补充耕地指标。将非农建设、造林种树、种果种茶等各类占用耕地行为统一纳入耕地占补平衡管理；补充耕地坚持以恢复优质耕地为主、新开垦耕地为辅的原则，在符合国土空间规划和生态环境保护要求的前提下，优先将适宜恢复为优质耕地的园地、林地、草地等其他农用地以及低效闲置建设用地统筹作为补充耕地来源。各类实施主体将非耕地垦造、恢复为耕地的，符合规定的可作为补充耕地。</w:t>
      </w:r>
    </w:p>
    <w:p>
      <w:pPr>
        <w:spacing w:before="65"/>
        <w:ind w:firstLine="640"/>
        <w:rPr>
          <w:rFonts w:ascii="Times New Roman" w:hAnsi="Times New Roman"/>
          <w:lang w:bidi="ar"/>
        </w:rPr>
      </w:pPr>
      <w:r>
        <w:rPr>
          <w:rFonts w:ascii="Times New Roman" w:hAnsi="Times New Roman"/>
          <w:lang w:bidi="ar"/>
        </w:rPr>
        <w:t>积极推进土地综合整治，开展全域综合整治以及农用地整理、农村建设用地整治、后备资源开发等专项整治工程，规划期内安排农用地</w:t>
      </w:r>
      <w:r>
        <w:rPr>
          <w:rFonts w:hint="eastAsia" w:ascii="Times New Roman" w:hAnsi="Times New Roman"/>
          <w:lang w:bidi="ar"/>
        </w:rPr>
        <w:t>整理</w:t>
      </w:r>
      <w:r>
        <w:rPr>
          <w:rFonts w:ascii="Times New Roman" w:hAnsi="Times New Roman"/>
          <w:lang w:bidi="ar"/>
        </w:rPr>
        <w:t>补充耕地任务46.70公顷，安排</w:t>
      </w:r>
      <w:r>
        <w:rPr>
          <w:rFonts w:hint="eastAsia" w:ascii="Times New Roman" w:hAnsi="Times New Roman"/>
          <w:lang w:bidi="ar"/>
        </w:rPr>
        <w:t>农村</w:t>
      </w:r>
      <w:r>
        <w:rPr>
          <w:rFonts w:ascii="Times New Roman" w:hAnsi="Times New Roman"/>
          <w:lang w:bidi="ar"/>
        </w:rPr>
        <w:t>建设用地整治补充耕地25.89公顷</w:t>
      </w:r>
      <w:r>
        <w:rPr>
          <w:rFonts w:hint="eastAsia" w:ascii="Times New Roman" w:hAnsi="Times New Roman"/>
          <w:lang w:bidi="ar"/>
        </w:rPr>
        <w:t>，</w:t>
      </w:r>
      <w:r>
        <w:rPr>
          <w:rFonts w:ascii="Times New Roman" w:hAnsi="Times New Roman"/>
          <w:lang w:bidi="ar"/>
        </w:rPr>
        <w:t>安排农用地整理补充耕地46.70公顷。</w:t>
      </w:r>
    </w:p>
    <w:p>
      <w:pPr>
        <w:pStyle w:val="4"/>
        <w:spacing w:before="195" w:after="195"/>
      </w:pPr>
      <w:bookmarkStart w:id="46" w:name="_Hlk142899495"/>
      <w:bookmarkStart w:id="47" w:name="_Hlk142899869"/>
      <w:r>
        <w:rPr>
          <w:rFonts w:hint="eastAsia"/>
        </w:rPr>
        <w:t>加强耕地质量建设</w:t>
      </w:r>
    </w:p>
    <w:bookmarkEnd w:id="46"/>
    <w:p>
      <w:pPr>
        <w:spacing w:before="65"/>
        <w:ind w:firstLine="640"/>
        <w:rPr>
          <w:lang w:bidi="ar"/>
        </w:rPr>
      </w:pPr>
      <w:r>
        <w:rPr>
          <w:rFonts w:hint="eastAsia"/>
          <w:lang w:bidi="ar"/>
        </w:rPr>
        <w:t>积极开展土地整治项目，推进耕地质量保护与提升，落</w:t>
      </w:r>
      <w:r>
        <w:rPr>
          <w:lang w:bidi="ar"/>
        </w:rPr>
        <w:t>实</w:t>
      </w:r>
      <w:r>
        <w:rPr>
          <w:rFonts w:hint="eastAsia"/>
          <w:lang w:bidi="ar"/>
        </w:rPr>
        <w:t>“</w:t>
      </w:r>
      <w:r>
        <w:rPr>
          <w:lang w:bidi="ar"/>
        </w:rPr>
        <w:t>藏粮于地、藏粮于技</w:t>
      </w:r>
      <w:r>
        <w:rPr>
          <w:rFonts w:hint="eastAsia"/>
          <w:lang w:bidi="ar"/>
        </w:rPr>
        <w:t>”</w:t>
      </w:r>
      <w:r>
        <w:rPr>
          <w:lang w:bidi="ar"/>
        </w:rPr>
        <w:t>战略，加快农业生产配套田网、渠网、路网、电网等建设，提高农田抗灾减灾能力、农田排灌能力和农机作业能力，大力推进高标准农田建设，通过实施土地平整、土壤改良、地力培肥等措施，逐步把永久基本农田全部建成高标准农田。</w:t>
      </w:r>
      <w:r>
        <w:rPr>
          <w:rFonts w:hint="eastAsia"/>
          <w:lang w:bidi="ar"/>
        </w:rPr>
        <w:t>规划期内，确保集中连片的永久基本农田全部建成为高标准农田。</w:t>
      </w:r>
    </w:p>
    <w:p>
      <w:pPr>
        <w:pStyle w:val="4"/>
        <w:rPr>
          <w:lang w:bidi="ar"/>
        </w:rPr>
      </w:pPr>
      <w:r>
        <w:rPr>
          <w:rFonts w:hint="eastAsia"/>
          <w:lang w:bidi="ar"/>
        </w:rPr>
        <w:t>强化耕地生态保护</w:t>
      </w:r>
    </w:p>
    <w:p>
      <w:pPr>
        <w:spacing w:before="65"/>
        <w:ind w:firstLine="640"/>
        <w:rPr>
          <w:lang w:bidi="ar"/>
        </w:rPr>
      </w:pPr>
      <w:r>
        <w:rPr>
          <w:rFonts w:hint="eastAsia"/>
          <w:lang w:bidi="ar"/>
        </w:rPr>
        <w:t>合理利用水土资源，持续改善耕地生态环境，实现耕地</w:t>
      </w:r>
      <w:r>
        <w:rPr>
          <w:lang w:bidi="ar"/>
        </w:rPr>
        <w:t>数量、质量、生态的协调统一。大力发展绿色农业，持续推进测土配方施肥，实现化肥农药减量增效，促进农村地区畜禽粪污、地膜和农作物秸秆资源化利用，防治土壤退化。</w:t>
      </w:r>
    </w:p>
    <w:p>
      <w:pPr>
        <w:spacing w:before="65"/>
        <w:ind w:firstLine="640"/>
        <w:rPr>
          <w:lang w:bidi="ar"/>
        </w:rPr>
      </w:pPr>
      <w:r>
        <w:rPr>
          <w:rFonts w:hint="eastAsia"/>
          <w:lang w:bidi="ar"/>
        </w:rPr>
        <w:t>加大农业节水力度，扩大低耗水、高耐旱作物种植比例，</w:t>
      </w:r>
      <w:r>
        <w:rPr>
          <w:lang w:bidi="ar"/>
        </w:rPr>
        <w:t>开展大中型灌区高效节水灌溉配套建设，提高灌溉水利用效率。加强农田水利基础设施建设，提高耕地防灾减灾能力，及时整治复垦灾毁耕地，保障农业生产秩序。强化耕地与周边生态系统协同保护，修复完善农田防护林网和耕地生态功能，恢复田间生物群落和生态链，建设健康稳定田园生态系统。</w:t>
      </w:r>
    </w:p>
    <w:bookmarkEnd w:id="47"/>
    <w:p>
      <w:pPr>
        <w:pStyle w:val="3"/>
        <w:spacing w:before="326" w:beforeLines="100" w:after="326" w:afterLines="100"/>
      </w:pPr>
      <w:bookmarkStart w:id="48" w:name="_Toc183017786"/>
      <w:r>
        <w:rPr>
          <w:rFonts w:hint="eastAsia"/>
        </w:rPr>
        <w:t>森林资源保护与利用</w:t>
      </w:r>
      <w:bookmarkEnd w:id="48"/>
    </w:p>
    <w:p>
      <w:pPr>
        <w:pStyle w:val="4"/>
        <w:spacing w:before="195" w:beforeLines="60" w:after="195" w:afterLines="60" w:line="240" w:lineRule="auto"/>
      </w:pPr>
      <w:r>
        <w:rPr>
          <w:rFonts w:hint="eastAsia"/>
        </w:rPr>
        <w:t>落实</w:t>
      </w:r>
      <w:r>
        <w:t>森林资源</w:t>
      </w:r>
      <w:r>
        <w:rPr>
          <w:rFonts w:hint="eastAsia"/>
        </w:rPr>
        <w:t>保护任务</w:t>
      </w:r>
    </w:p>
    <w:p>
      <w:pPr>
        <w:spacing w:before="65"/>
        <w:ind w:firstLine="640"/>
      </w:pPr>
      <w:r>
        <w:rPr>
          <w:rFonts w:hint="eastAsia"/>
        </w:rPr>
        <w:t>以水源涵养和生物多样性功能提升为目标，不断提高森林覆盖率，巩固和扩大生态空间。优化林业生产布局，针对镇域栗园村、夏馆村、黄靳村、大栗坪村、大庄沟村、大块地村等重点区域，精准落实绿化空间、科学开展国土绿化。至</w:t>
      </w:r>
      <w:r>
        <w:t>2035年，落实造林绿化空间43.25公顷。</w:t>
      </w:r>
    </w:p>
    <w:p>
      <w:pPr>
        <w:pStyle w:val="4"/>
        <w:spacing w:before="195" w:beforeLines="60" w:after="195" w:afterLines="60" w:line="240" w:lineRule="auto"/>
      </w:pPr>
      <w:r>
        <w:rPr>
          <w:rFonts w:hint="eastAsia"/>
        </w:rPr>
        <w:t>落实完善</w:t>
      </w:r>
      <w:r>
        <w:t>林地分类保护</w:t>
      </w:r>
      <w:r>
        <w:rPr>
          <w:rFonts w:hint="eastAsia"/>
        </w:rPr>
        <w:t>机制</w:t>
      </w:r>
    </w:p>
    <w:p>
      <w:pPr>
        <w:spacing w:before="65"/>
        <w:ind w:firstLine="640"/>
      </w:pPr>
      <w:r>
        <w:rPr>
          <w:rFonts w:hint="eastAsia"/>
        </w:rPr>
        <w:t>全镇天然林面积</w:t>
      </w:r>
      <w:r>
        <w:t>31156.05公顷，占镇域面积的86.97%，主要分布于北部山区和南部丘陵区；全镇生态公益林面积22529.39公顷，占镇域面积的62.89%，全部位于师家湾村、吴岗村、栗园村、西河堂村、青杠树村、黄龙村、小栗坪村、大栗坪村、大庄沟村、小湍河村、芦家坪村、万沟村、葛条爬村、牡珠流村、大块地村、湍源村、万沟林场等17个村庄和林场范围内</w:t>
      </w:r>
      <w:r>
        <w:rPr>
          <w:rFonts w:hint="eastAsia"/>
        </w:rPr>
        <w:t>。</w:t>
      </w:r>
    </w:p>
    <w:p>
      <w:pPr>
        <w:spacing w:before="65"/>
        <w:ind w:firstLine="640"/>
      </w:pPr>
      <w:r>
        <w:rPr>
          <w:rFonts w:hint="eastAsia"/>
        </w:rPr>
        <w:t>科学合理进行森林经营，严格遵守限额采伐和凭证采伐的管理制度，全面停止天然林商业性采伐，不得将天然林改造为人工林，不得擅自将公益林改为商品林。巩固提升生态系统碳汇能力，加强重大林业有害生物防治，保护古树名木及其自然环境，助推内乡县森林城市建设。</w:t>
      </w:r>
    </w:p>
    <w:p>
      <w:pPr>
        <w:pStyle w:val="4"/>
        <w:spacing w:before="195" w:beforeLines="60" w:after="195" w:afterLines="60" w:line="240" w:lineRule="auto"/>
      </w:pPr>
      <w:r>
        <w:rPr>
          <w:rFonts w:hint="eastAsia"/>
        </w:rPr>
        <w:t>促进</w:t>
      </w:r>
      <w:r>
        <w:t>森林资源生态产品价值实现</w:t>
      </w:r>
    </w:p>
    <w:p>
      <w:pPr>
        <w:spacing w:before="65"/>
        <w:ind w:firstLine="640"/>
      </w:pPr>
      <w:r>
        <w:rPr>
          <w:rFonts w:hint="eastAsia"/>
        </w:rPr>
        <w:t>依托夏馆镇丰富的森林资源，重点</w:t>
      </w:r>
      <w:r>
        <w:t>在镇域西部</w:t>
      </w:r>
      <w:r>
        <w:rPr>
          <w:rFonts w:hint="eastAsia"/>
        </w:rPr>
        <w:t>和</w:t>
      </w:r>
      <w:r>
        <w:t>北部</w:t>
      </w:r>
      <w:r>
        <w:rPr>
          <w:rFonts w:hint="eastAsia"/>
        </w:rPr>
        <w:t>推进特色经济林、林下经济、森林旅游等产业化集群建设。以夏馆镇传统</w:t>
      </w:r>
      <w:r>
        <w:t>林果</w:t>
      </w:r>
      <w:r>
        <w:rPr>
          <w:rFonts w:hint="eastAsia"/>
        </w:rPr>
        <w:t>特色产业为</w:t>
      </w:r>
      <w:r>
        <w:t>依托</w:t>
      </w:r>
      <w:r>
        <w:rPr>
          <w:rFonts w:hint="eastAsia"/>
        </w:rPr>
        <w:t>，推动传统产业优化升级，高标准打造万沟林场</w:t>
      </w:r>
      <w:r>
        <w:t>等</w:t>
      </w:r>
      <w:r>
        <w:rPr>
          <w:rFonts w:hint="eastAsia"/>
        </w:rPr>
        <w:t>森林生产基地。努力推进布局区域化、经营规模化、生产标准化、发展产业化，整合优势资源，以基地建设为载体，围绕“绿色、有机”特色，发展中药材、食用菌、禽类养殖等林下经济。构建以“宝天曼旅游区”为主体的森林旅游体系，重点打造深林</w:t>
      </w:r>
      <w:r>
        <w:t>观光</w:t>
      </w:r>
      <w:r>
        <w:rPr>
          <w:rFonts w:hint="eastAsia"/>
        </w:rPr>
        <w:t>旅游体验，建设和完善接待、餐饮、消防、环卫等设施，提高服务保障能力，加快森林旅游产业发展。推进林业一二三产业融合发展，加快林业产业绿色化、优质化、特色化、品牌化建设。</w:t>
      </w:r>
    </w:p>
    <w:p>
      <w:pPr>
        <w:pStyle w:val="3"/>
      </w:pPr>
      <w:bookmarkStart w:id="49" w:name="_Hlk200556166"/>
      <w:r>
        <w:rPr>
          <w:rFonts w:hint="eastAsia"/>
        </w:rPr>
        <w:t>落实自然保护地体系</w:t>
      </w:r>
    </w:p>
    <w:p>
      <w:pPr>
        <w:pStyle w:val="4"/>
        <w:spacing w:before="195" w:beforeLines="60" w:after="195" w:afterLines="60" w:line="240" w:lineRule="auto"/>
      </w:pPr>
      <w:r>
        <w:rPr>
          <w:rFonts w:hint="eastAsia"/>
        </w:rPr>
        <w:t>落实自然保护地体系</w:t>
      </w:r>
    </w:p>
    <w:p>
      <w:pPr>
        <w:spacing w:before="65"/>
        <w:ind w:firstLine="640"/>
      </w:pPr>
      <w:r>
        <w:rPr>
          <w:rFonts w:hint="eastAsia"/>
        </w:rPr>
        <w:t>落实分类科学、布局合理、保护有力、管理有效的以国家公园为主体的自然保护地体系，确保重要自然生态系统、自然遗迹、自然景观和生物多样性及其演化过程得到系统性保护，提升生态产品供给能力。充分发挥自然保护地在生态文明建设中的重大作用，推进自然保护地体系构建工作。</w:t>
      </w:r>
    </w:p>
    <w:p>
      <w:pPr>
        <w:spacing w:before="65"/>
        <w:ind w:firstLine="640"/>
      </w:pPr>
      <w:r>
        <w:rPr>
          <w:rFonts w:hint="eastAsia"/>
        </w:rPr>
        <w:t>落实上位规划，夏馆镇自然保护地共5处，总面积</w:t>
      </w:r>
      <w:r>
        <w:t>11317.88公顷。其中，河南伏牛山国家级自然保护区面积4936.88公顷，分布于</w:t>
      </w:r>
      <w:r>
        <w:rPr>
          <w:rFonts w:hint="eastAsia"/>
        </w:rPr>
        <w:t>万沟林场、大块地村、牡珠流村、小湍河村、湍源村</w:t>
      </w:r>
      <w:r>
        <w:t>；河南宝天曼国家级自然保护区面积2588.06公顷，分布于</w:t>
      </w:r>
      <w:r>
        <w:rPr>
          <w:rFonts w:hint="eastAsia"/>
        </w:rPr>
        <w:t>万沟林场、万沟村、湍源村、大块地村、牡珠流村、葛条爬村</w:t>
      </w:r>
      <w:r>
        <w:t>；河南内乡湍河湿地省级自然保护区面积4168.82公顷，分布于赤眉镇、大桥乡、七里坪乡、湍东镇、夏馆镇、赵店乡；河南内乡宝天曼国家级地质公园面积248.58公顷，分布于</w:t>
      </w:r>
      <w:r>
        <w:rPr>
          <w:rFonts w:hint="eastAsia"/>
        </w:rPr>
        <w:t>西河堂村、吴岗村、栗园村、师家湾村</w:t>
      </w:r>
      <w:r>
        <w:t>；河南南阳恐龙蛋化石群国家级自然保护区面积1007.39公顷，分布于</w:t>
      </w:r>
      <w:r>
        <w:rPr>
          <w:rFonts w:hint="eastAsia"/>
        </w:rPr>
        <w:t>黄靳村、吴岗村、夏馆村、栗园村、师家湾村</w:t>
      </w:r>
      <w:r>
        <w:t>。详见附表5。</w:t>
      </w:r>
    </w:p>
    <w:p>
      <w:pPr>
        <w:pStyle w:val="4"/>
        <w:spacing w:before="195" w:beforeLines="60" w:after="195" w:afterLines="60" w:line="240" w:lineRule="auto"/>
      </w:pPr>
      <w:r>
        <w:t>加强自然保护地管控</w:t>
      </w:r>
    </w:p>
    <w:p>
      <w:pPr>
        <w:spacing w:before="65"/>
        <w:ind w:firstLine="640"/>
      </w:pPr>
      <w:r>
        <w:rPr>
          <w:rFonts w:hint="eastAsia"/>
        </w:rPr>
        <w:t>以加强自然生态系统原真性、完整性、系统性保护为原则，有序化解自然保护地各类矛盾冲突，大力推进山水林田湖草沙一体化保护和系统治理，强化水源涵养和生物多样性保护，维护自然生态系统健康稳定。以自然恢复为主，分区分类开展受损自然生态系统修复。基于各类自然保护地功能分区，制定建设项目负面清单与人为活动的限制要求，对自然保护地核心保护区和一般控制区实行差别化管控。</w:t>
      </w:r>
    </w:p>
    <w:p>
      <w:pPr>
        <w:spacing w:before="65"/>
        <w:ind w:firstLine="640"/>
      </w:pPr>
      <w:r>
        <w:rPr>
          <w:rFonts w:hint="eastAsia"/>
        </w:rPr>
        <w:t>位于河南南阳恐龙蛋化石群国家级自然保护区等自然保护区内的人类活动，在自然保护地整合优化方案批复前，须严格执行《自然保护区条例》规定，符合自然保护区管理的相关要求。</w:t>
      </w:r>
    </w:p>
    <w:bookmarkEnd w:id="49"/>
    <w:p>
      <w:pPr>
        <w:pStyle w:val="3"/>
        <w:spacing w:before="326" w:beforeLines="100" w:after="326" w:afterLines="100"/>
      </w:pPr>
      <w:bookmarkStart w:id="50" w:name="_Toc183017787"/>
      <w:r>
        <w:rPr>
          <w:rFonts w:hint="eastAsia"/>
        </w:rPr>
        <w:t>湿地资源保护与利用</w:t>
      </w:r>
      <w:bookmarkEnd w:id="50"/>
    </w:p>
    <w:p>
      <w:pPr>
        <w:pStyle w:val="4"/>
        <w:spacing w:before="195" w:beforeLines="60" w:after="195" w:afterLines="60" w:line="240" w:lineRule="auto"/>
      </w:pPr>
      <w:r>
        <w:rPr>
          <w:rFonts w:hint="eastAsia"/>
        </w:rPr>
        <w:t>落实湿地资源保护责任</w:t>
      </w:r>
    </w:p>
    <w:p>
      <w:pPr>
        <w:spacing w:before="65"/>
        <w:ind w:firstLine="640"/>
      </w:pPr>
      <w:r>
        <w:t>加强</w:t>
      </w:r>
      <w:r>
        <w:rPr>
          <w:rFonts w:hint="eastAsia"/>
        </w:rPr>
        <w:t>镇</w:t>
      </w:r>
      <w:r>
        <w:t>域湿地资源保护</w:t>
      </w:r>
      <w:r>
        <w:rPr>
          <w:rFonts w:hint="eastAsia"/>
        </w:rPr>
        <w:t>，严格保障湿地生态空间，落实</w:t>
      </w:r>
      <w:r>
        <w:t>湿地资源</w:t>
      </w:r>
      <w:r>
        <w:rPr>
          <w:rFonts w:hint="eastAsia"/>
        </w:rPr>
        <w:t>保护</w:t>
      </w:r>
      <w:r>
        <w:t>责任。</w:t>
      </w:r>
      <w:r>
        <w:rPr>
          <w:rFonts w:hint="eastAsia"/>
        </w:rPr>
        <w:t>全镇</w:t>
      </w:r>
      <w:r>
        <w:t>湿地面积15.55</w:t>
      </w:r>
      <w:r>
        <w:rPr>
          <w:rFonts w:hint="eastAsia"/>
        </w:rPr>
        <w:t>公顷，</w:t>
      </w:r>
      <w:r>
        <w:t>主要</w:t>
      </w:r>
      <w:r>
        <w:rPr>
          <w:rFonts w:hint="eastAsia"/>
        </w:rPr>
        <w:t>分布于</w:t>
      </w:r>
      <w:r>
        <w:rPr>
          <w:rFonts w:hint="eastAsia" w:cs="宋体"/>
        </w:rPr>
        <w:t>夏馆河、酿河、湍河、鱼道河、栗坪河、小湍河、湍河、小红寺河、宝天漫漂流水库</w:t>
      </w:r>
      <w:r>
        <w:rPr>
          <w:rFonts w:cs="宋体"/>
        </w:rPr>
        <w:t>周边。</w:t>
      </w:r>
    </w:p>
    <w:p>
      <w:pPr>
        <w:pStyle w:val="4"/>
        <w:spacing w:before="195" w:beforeLines="60" w:after="195" w:afterLines="60" w:line="240" w:lineRule="auto"/>
      </w:pPr>
      <w:r>
        <w:rPr>
          <w:rFonts w:hint="eastAsia"/>
        </w:rPr>
        <w:t>加强湿地保护</w:t>
      </w:r>
      <w:r>
        <w:t>管理</w:t>
      </w:r>
    </w:p>
    <w:p>
      <w:pPr>
        <w:spacing w:before="65"/>
        <w:ind w:firstLine="640"/>
      </w:pPr>
      <w:r>
        <w:rPr>
          <w:rFonts w:hint="eastAsia" w:cs="宋体"/>
        </w:rPr>
        <w:t>加强</w:t>
      </w:r>
      <w:r>
        <w:rPr>
          <w:rFonts w:cs="宋体"/>
        </w:rPr>
        <w:t>湿地管理、</w:t>
      </w:r>
      <w:r>
        <w:rPr>
          <w:rFonts w:hint="eastAsia" w:cs="宋体"/>
        </w:rPr>
        <w:t>监测和</w:t>
      </w:r>
      <w:r>
        <w:rPr>
          <w:rFonts w:cs="宋体"/>
        </w:rPr>
        <w:t>科普宣教</w:t>
      </w:r>
      <w:r>
        <w:rPr>
          <w:rFonts w:hint="eastAsia" w:cs="宋体"/>
        </w:rPr>
        <w:t>，着力</w:t>
      </w:r>
      <w:r>
        <w:rPr>
          <w:rFonts w:cs="宋体"/>
        </w:rPr>
        <w:t>保护与恢复，提升湿地生态系统多样性、稳定性、持续性，层层落实湿地管理保护责任。严格控制</w:t>
      </w:r>
      <w:r>
        <w:rPr>
          <w:rFonts w:hint="eastAsia" w:cs="宋体"/>
        </w:rPr>
        <w:t>夏馆河、酿河、湍河、鱼道河、栗坪河、小湍河、湍河、小红寺河、宝天漫漂流水库</w:t>
      </w:r>
      <w:r>
        <w:rPr>
          <w:rFonts w:cs="宋体"/>
        </w:rPr>
        <w:t>等河湖湿地</w:t>
      </w:r>
      <w:r>
        <w:rPr>
          <w:rFonts w:hint="eastAsia" w:cs="宋体"/>
        </w:rPr>
        <w:t>周边</w:t>
      </w:r>
      <w:r>
        <w:rPr>
          <w:rFonts w:cs="宋体"/>
        </w:rPr>
        <w:t>农业面源</w:t>
      </w:r>
      <w:r>
        <w:rPr>
          <w:rFonts w:hint="eastAsia" w:cs="宋体"/>
        </w:rPr>
        <w:t>污染</w:t>
      </w:r>
      <w:r>
        <w:rPr>
          <w:rFonts w:cs="宋体"/>
        </w:rPr>
        <w:t>、工业污染和城镇生活生产污染，定期对湿地周边区域的废弃物进行清理和集中处理，合理有序开展湿地资源生态化利用，全面保护湿地资源和实现可持续发展。</w:t>
      </w:r>
    </w:p>
    <w:p>
      <w:pPr>
        <w:pStyle w:val="3"/>
        <w:spacing w:before="326" w:beforeLines="100" w:after="326" w:afterLines="100"/>
      </w:pPr>
      <w:bookmarkStart w:id="51" w:name="_Toc183017788"/>
      <w:r>
        <w:t>建设用地节约集约利用</w:t>
      </w:r>
      <w:bookmarkEnd w:id="51"/>
    </w:p>
    <w:p>
      <w:pPr>
        <w:pStyle w:val="4"/>
        <w:spacing w:before="195" w:after="195"/>
      </w:pPr>
      <w:r>
        <w:rPr>
          <w:rFonts w:hint="eastAsia"/>
        </w:rPr>
        <w:t>实行总量控制，保障建设</w:t>
      </w:r>
      <w:r>
        <w:t>用地需求。</w:t>
      </w:r>
    </w:p>
    <w:p>
      <w:pPr>
        <w:spacing w:before="48" w:after="163" w:afterLines="50"/>
        <w:ind w:firstLine="640"/>
        <w:rPr>
          <w:rFonts w:cs="宋体"/>
          <w:lang w:bidi="ar"/>
        </w:rPr>
      </w:pPr>
      <w:bookmarkStart w:id="52" w:name="_Hlk207123797"/>
      <w:r>
        <w:rPr>
          <w:rFonts w:hint="eastAsia" w:cs="宋体"/>
          <w:lang w:bidi="ar"/>
        </w:rPr>
        <w:t>严控新增城乡用地规模。规划期末，城镇建设用地规模不超过</w:t>
      </w:r>
      <w:r>
        <w:rPr>
          <w:rFonts w:cs="宋体"/>
          <w:lang w:bidi="ar"/>
        </w:rPr>
        <w:t>83.40</w:t>
      </w:r>
      <w:r>
        <w:rPr>
          <w:rFonts w:hint="eastAsia" w:cs="宋体"/>
          <w:lang w:bidi="ar"/>
        </w:rPr>
        <w:t>公顷，村庄建设用地不超过</w:t>
      </w:r>
      <w:r>
        <w:rPr>
          <w:rFonts w:cs="宋体"/>
          <w:lang w:bidi="ar"/>
        </w:rPr>
        <w:t>567.10</w:t>
      </w:r>
      <w:r>
        <w:rPr>
          <w:rFonts w:hint="eastAsia" w:cs="宋体"/>
          <w:lang w:bidi="ar"/>
        </w:rPr>
        <w:t>公顷。严格按照城镇开发边界范围开展集中建设，凡不符合国土空间规划、国家区域政策、产业政策和供地政策的建设项目，不得开展城镇建设利用活动</w:t>
      </w:r>
      <w:r>
        <w:rPr>
          <w:rFonts w:cs="宋体"/>
          <w:lang w:bidi="ar"/>
        </w:rPr>
        <w:t>。</w:t>
      </w:r>
      <w:r>
        <w:rPr>
          <w:rFonts w:hint="eastAsia" w:cs="宋体"/>
          <w:lang w:bidi="ar"/>
        </w:rPr>
        <w:t>精准</w:t>
      </w:r>
      <w:r>
        <w:rPr>
          <w:rFonts w:cs="宋体"/>
          <w:lang w:bidi="ar"/>
        </w:rPr>
        <w:t>有效配置新增指标，实现</w:t>
      </w:r>
      <w:r>
        <w:rPr>
          <w:rFonts w:hint="eastAsia" w:cs="宋体"/>
          <w:lang w:bidi="ar"/>
        </w:rPr>
        <w:t>“优地</w:t>
      </w:r>
      <w:r>
        <w:rPr>
          <w:rFonts w:cs="宋体"/>
          <w:lang w:bidi="ar"/>
        </w:rPr>
        <w:t>优用</w:t>
      </w:r>
      <w:r>
        <w:rPr>
          <w:rFonts w:hint="eastAsia" w:cs="宋体"/>
          <w:lang w:bidi="ar"/>
        </w:rPr>
        <w:t>”，</w:t>
      </w:r>
      <w:r>
        <w:rPr>
          <w:rFonts w:cs="宋体"/>
          <w:lang w:bidi="ar"/>
        </w:rPr>
        <w:t>加大存量挖掘潜力，推进城镇建设用地混合开发和空间复合利用。</w:t>
      </w:r>
      <w:r>
        <w:rPr>
          <w:rFonts w:hint="eastAsia" w:cs="宋体"/>
          <w:lang w:bidi="ar"/>
        </w:rPr>
        <w:t>规范</w:t>
      </w:r>
      <w:r>
        <w:rPr>
          <w:rFonts w:cs="宋体"/>
          <w:lang w:bidi="ar"/>
        </w:rPr>
        <w:t>利用，盘活村庄建设用地。</w:t>
      </w:r>
      <w:r>
        <w:rPr>
          <w:rFonts w:hint="eastAsia" w:cs="宋体"/>
          <w:lang w:bidi="ar"/>
        </w:rPr>
        <w:t>有序</w:t>
      </w:r>
      <w:r>
        <w:rPr>
          <w:rFonts w:cs="宋体"/>
          <w:lang w:bidi="ar"/>
        </w:rPr>
        <w:t>引导、稳妥推进村庄建设用地节约集约利用，完善鼓励机制，鼓励农村</w:t>
      </w:r>
      <w:r>
        <w:rPr>
          <w:rFonts w:hint="eastAsia" w:cs="宋体"/>
          <w:lang w:bidi="ar"/>
        </w:rPr>
        <w:t>闲置</w:t>
      </w:r>
      <w:r>
        <w:rPr>
          <w:rFonts w:cs="宋体"/>
          <w:lang w:bidi="ar"/>
        </w:rPr>
        <w:t>宅基地有偿退出和村庄低效建设用地</w:t>
      </w:r>
      <w:r>
        <w:rPr>
          <w:rFonts w:hint="eastAsia" w:cs="宋体"/>
          <w:lang w:bidi="ar"/>
        </w:rPr>
        <w:t>再利用</w:t>
      </w:r>
      <w:r>
        <w:rPr>
          <w:rFonts w:cs="宋体"/>
          <w:lang w:bidi="ar"/>
        </w:rPr>
        <w:t>。鼓励</w:t>
      </w:r>
      <w:r>
        <w:rPr>
          <w:rFonts w:hint="eastAsia" w:cs="宋体"/>
          <w:lang w:bidi="ar"/>
        </w:rPr>
        <w:t>对</w:t>
      </w:r>
      <w:r>
        <w:rPr>
          <w:rFonts w:cs="宋体"/>
          <w:lang w:bidi="ar"/>
        </w:rPr>
        <w:t>依法登记</w:t>
      </w:r>
      <w:r>
        <w:rPr>
          <w:rFonts w:hint="eastAsia" w:cs="宋体"/>
          <w:lang w:bidi="ar"/>
        </w:rPr>
        <w:t>的村庄建设</w:t>
      </w:r>
      <w:r>
        <w:rPr>
          <w:rFonts w:cs="宋体"/>
          <w:lang w:bidi="ar"/>
        </w:rPr>
        <w:t>用地进行</w:t>
      </w:r>
      <w:r>
        <w:rPr>
          <w:rFonts w:hint="eastAsia" w:cs="宋体"/>
          <w:lang w:bidi="ar"/>
        </w:rPr>
        <w:t>复合</w:t>
      </w:r>
      <w:r>
        <w:rPr>
          <w:rFonts w:cs="宋体"/>
          <w:lang w:bidi="ar"/>
        </w:rPr>
        <w:t>利用，发展乡村振兴产业，提高经济收益。</w:t>
      </w:r>
    </w:p>
    <w:p>
      <w:pPr>
        <w:spacing w:before="65" w:after="163" w:afterLines="50"/>
        <w:ind w:firstLine="640"/>
        <w:rPr>
          <w:rFonts w:cs="宋体"/>
          <w:lang w:bidi="ar"/>
        </w:rPr>
      </w:pPr>
      <w:r>
        <w:rPr>
          <w:rFonts w:hint="eastAsia" w:cs="宋体"/>
          <w:lang w:bidi="ar"/>
        </w:rPr>
        <w:t>保障区域基础设施用地和其他建设用地需求</w:t>
      </w:r>
      <w:r>
        <w:rPr>
          <w:rFonts w:cs="宋体"/>
          <w:lang w:bidi="ar"/>
        </w:rPr>
        <w:t>。</w:t>
      </w:r>
      <w:r>
        <w:rPr>
          <w:rFonts w:hint="eastAsia" w:cs="宋体"/>
          <w:lang w:bidi="ar"/>
        </w:rPr>
        <w:t>强化保障交通</w:t>
      </w:r>
      <w:r>
        <w:rPr>
          <w:rFonts w:cs="宋体"/>
          <w:lang w:bidi="ar"/>
        </w:rPr>
        <w:t>、水利、</w:t>
      </w:r>
      <w:r>
        <w:rPr>
          <w:rFonts w:hint="eastAsia" w:cs="宋体"/>
          <w:lang w:bidi="ar"/>
        </w:rPr>
        <w:t>能源等基础</w:t>
      </w:r>
      <w:r>
        <w:rPr>
          <w:rFonts w:cs="宋体"/>
          <w:lang w:bidi="ar"/>
        </w:rPr>
        <w:t>设施用地</w:t>
      </w:r>
      <w:r>
        <w:rPr>
          <w:rFonts w:hint="eastAsia" w:cs="宋体"/>
          <w:lang w:bidi="ar"/>
        </w:rPr>
        <w:t>需求，全力</w:t>
      </w:r>
      <w:r>
        <w:rPr>
          <w:rFonts w:cs="宋体"/>
          <w:lang w:bidi="ar"/>
        </w:rPr>
        <w:t>提升自然资源要素保障能力</w:t>
      </w:r>
      <w:r>
        <w:rPr>
          <w:rFonts w:hint="eastAsia" w:cs="宋体"/>
          <w:lang w:bidi="ar"/>
        </w:rPr>
        <w:t>；加强</w:t>
      </w:r>
      <w:r>
        <w:rPr>
          <w:rFonts w:cs="宋体"/>
          <w:lang w:bidi="ar"/>
        </w:rPr>
        <w:t>殡葬用地保障力度，</w:t>
      </w:r>
      <w:r>
        <w:rPr>
          <w:rFonts w:hint="eastAsia" w:cs="宋体"/>
          <w:lang w:bidi="ar"/>
        </w:rPr>
        <w:t>镇域</w:t>
      </w:r>
      <w:r>
        <w:rPr>
          <w:rFonts w:cs="宋体"/>
          <w:lang w:bidi="ar"/>
        </w:rPr>
        <w:t>范围内预留不少于</w:t>
      </w:r>
      <w:r>
        <w:rPr>
          <w:rFonts w:hint="eastAsia" w:cs="宋体"/>
          <w:lang w:bidi="ar"/>
        </w:rPr>
        <w:t>3.33公顷</w:t>
      </w:r>
      <w:r>
        <w:rPr>
          <w:rFonts w:cs="宋体"/>
          <w:lang w:bidi="ar"/>
        </w:rPr>
        <w:t>（</w:t>
      </w:r>
      <w:r>
        <w:rPr>
          <w:rFonts w:hint="eastAsia" w:cs="宋体"/>
          <w:lang w:bidi="ar"/>
        </w:rPr>
        <w:t>50亩</w:t>
      </w:r>
      <w:r>
        <w:rPr>
          <w:rFonts w:cs="宋体"/>
          <w:lang w:bidi="ar"/>
        </w:rPr>
        <w:t>）</w:t>
      </w:r>
      <w:r>
        <w:rPr>
          <w:rFonts w:hint="eastAsia" w:cs="宋体"/>
          <w:lang w:bidi="ar"/>
        </w:rPr>
        <w:t>的</w:t>
      </w:r>
      <w:r>
        <w:rPr>
          <w:rFonts w:cs="宋体"/>
          <w:lang w:bidi="ar"/>
        </w:rPr>
        <w:t>公益性公墓用地，鼓励与其他乡镇</w:t>
      </w:r>
      <w:r>
        <w:rPr>
          <w:rFonts w:hint="eastAsia" w:cs="宋体"/>
          <w:lang w:bidi="ar"/>
        </w:rPr>
        <w:t>联合</w:t>
      </w:r>
      <w:r>
        <w:rPr>
          <w:rFonts w:cs="宋体"/>
          <w:lang w:bidi="ar"/>
        </w:rPr>
        <w:t>建立</w:t>
      </w:r>
      <w:r>
        <w:rPr>
          <w:rFonts w:hint="eastAsia" w:cs="宋体"/>
          <w:lang w:bidi="ar"/>
        </w:rPr>
        <w:t>公墓</w:t>
      </w:r>
      <w:bookmarkEnd w:id="52"/>
      <w:r>
        <w:rPr>
          <w:rFonts w:cs="宋体"/>
          <w:lang w:bidi="ar"/>
        </w:rPr>
        <w:t>。</w:t>
      </w:r>
    </w:p>
    <w:p>
      <w:pPr>
        <w:pStyle w:val="4"/>
      </w:pPr>
      <w:r>
        <w:t>盘活建设用地存量</w:t>
      </w:r>
    </w:p>
    <w:p>
      <w:pPr>
        <w:ind w:firstLine="640"/>
        <w:rPr>
          <w:rFonts w:ascii="仿宋_GB2312"/>
        </w:rPr>
      </w:pPr>
      <w:r>
        <w:rPr>
          <w:rFonts w:hint="eastAsia" w:ascii="仿宋_GB2312"/>
        </w:rPr>
        <w:t>推进闲置地、废弃地等存量建设用地盘活利用，遏制村庄用地“沿路跑”和“空心化”现象，鼓励村民在旧房屋原址上新建房屋。分类施策，实施存量建设用地功能转换，对闲置宅基地和住宅进行整理，因地制宜盘活利用。闲置宅基地可建成游园、文化广场，闲置住宅可建成村史馆、图书室、活动室等村民活动场所，对有利用价值的闲置住宅倡导发展文化旅游和开展农事体验活动等。对低效城镇用地进行用地调整，满足商业服务、公共服务设施、城镇住宅等用地需求，提高存量建设用地使用效率。</w:t>
      </w:r>
    </w:p>
    <w:p>
      <w:pPr>
        <w:pStyle w:val="4"/>
      </w:pPr>
      <w:r>
        <w:t>提升建设用地节约集约利用水平</w:t>
      </w:r>
    </w:p>
    <w:p>
      <w:pPr>
        <w:ind w:firstLine="640"/>
      </w:pPr>
      <w:r>
        <w:rPr>
          <w:rFonts w:hint="eastAsia"/>
        </w:rPr>
        <w:t>落实农村宅基地“一户一宅”规定，新增宅基地应优先利</w:t>
      </w:r>
      <w:r>
        <w:t>用原有宅基地和村内空闲地，建立健全闲置宅基地退出机制和再利用机制。对于农村新建、改建、扩建、翻建住房的，按照《</w:t>
      </w:r>
      <w:r>
        <w:rPr>
          <w:rFonts w:hint="eastAsia"/>
        </w:rPr>
        <w:t>内乡县农村宅基地和村民自建住房管理办法（试行）</w:t>
      </w:r>
      <w:r>
        <w:t>》规定执行。村民自建住房原则上以不超过三层的低层住宅为主</w:t>
      </w:r>
      <w:r>
        <w:rPr>
          <w:rFonts w:hint="eastAsia"/>
        </w:rPr>
        <w:t>。城填郊区和人均耕地少于</w:t>
      </w:r>
      <w:r>
        <w:t>667平方米的平原地区，每户宅基地面积不得超过134平方米；人均耕地667平方米以上的平原地区，每户宅基地面积不得超过167平方米；</w:t>
      </w:r>
      <w:r>
        <w:rPr>
          <w:rFonts w:hint="eastAsia"/>
        </w:rPr>
        <w:t>山区、丘陵地区</w:t>
      </w:r>
      <w:r>
        <w:t>每户宅基地面积不得超过200平方米。按照村庄规划引导农民依法建房，优化农村居民点布局，提高土地利用效益。严格</w:t>
      </w:r>
      <w:r>
        <w:rPr>
          <w:rFonts w:hint="eastAsia"/>
        </w:rPr>
        <w:t>执行建设项目用地标准控制制度，合理提高建设用地开发强度，创新节地模式，推广节地技术。</w:t>
      </w:r>
    </w:p>
    <w:p>
      <w:pPr>
        <w:pStyle w:val="3"/>
        <w:spacing w:before="326" w:beforeLines="100" w:after="326" w:afterLines="100"/>
      </w:pPr>
      <w:bookmarkStart w:id="53" w:name="_Toc183017789"/>
      <w:r>
        <w:rPr>
          <w:rFonts w:hint="eastAsia"/>
        </w:rPr>
        <w:t>水资源保护与利用</w:t>
      </w:r>
      <w:bookmarkEnd w:id="53"/>
    </w:p>
    <w:p>
      <w:pPr>
        <w:pStyle w:val="4"/>
        <w:spacing w:before="195" w:after="195"/>
      </w:pPr>
      <w:r>
        <w:rPr>
          <w:rFonts w:hint="eastAsia"/>
        </w:rPr>
        <w:t>落实水源保护范围</w:t>
      </w:r>
    </w:p>
    <w:p>
      <w:pPr>
        <w:spacing w:before="65"/>
        <w:ind w:firstLine="640"/>
      </w:pPr>
      <w:bookmarkStart w:id="54" w:name="_Hlk207124065"/>
      <w:r>
        <w:rPr>
          <w:rFonts w:hint="eastAsia"/>
        </w:rPr>
        <w:t>落实内乡县夏馆镇黄靳河集中饮水水源保护区范围0</w:t>
      </w:r>
      <w:r>
        <w:t>.23</w:t>
      </w:r>
      <w:r>
        <w:rPr>
          <w:rFonts w:hint="eastAsia"/>
        </w:rPr>
        <w:t>公顷，为一级保护区，位于夏馆镇</w:t>
      </w:r>
      <w:bookmarkEnd w:id="54"/>
      <w:r>
        <w:rPr>
          <w:rFonts w:hint="eastAsia"/>
        </w:rPr>
        <w:t>黄靳村北部</w:t>
      </w:r>
      <w:r>
        <w:t>。</w:t>
      </w:r>
    </w:p>
    <w:p>
      <w:pPr>
        <w:pStyle w:val="4"/>
        <w:spacing w:before="195" w:after="195"/>
      </w:pPr>
      <w:r>
        <w:rPr>
          <w:rFonts w:hint="eastAsia"/>
        </w:rPr>
        <w:t>加强河湖水域岸线空间管控及水生态治理</w:t>
      </w:r>
    </w:p>
    <w:p>
      <w:pPr>
        <w:spacing w:before="65"/>
        <w:ind w:firstLine="640"/>
      </w:pPr>
      <w:r>
        <w:rPr>
          <w:rFonts w:hint="eastAsia"/>
        </w:rPr>
        <w:t>落实河湖水系范围，包括夏馆河、酿河、湍河、鱼道河、栗坪河、小湍河、湍河、小红寺河及宝天漫漂流水库，管理范围面积</w:t>
      </w:r>
      <w:r>
        <w:t>6.71平方千米，水库保护范围面积0.28平方千米。</w:t>
      </w:r>
      <w:r>
        <w:rPr>
          <w:rFonts w:hint="eastAsia"/>
        </w:rPr>
        <w:t>严格河湖水域岸线用途管制，强化涉河建设项目管理，规范各类涉水行为，限制或禁止各种损害生态系统水源涵养功能的经济社会活动和生产方式。开展妨碍河道行洪突出问题排查整治，全面落实采砂管理责任，规范河道砂石利用管理，开展河道非法采砂专项整治。加快水生态修复，开展洹河生态修复及安全建设项目、骨干河道水环境综合治理项目等生态修复工作，全面推进河湖水域岸线生态修复，保障河流生态水量，建设沿岸生态廊道。</w:t>
      </w:r>
    </w:p>
    <w:p>
      <w:pPr>
        <w:pStyle w:val="4"/>
        <w:spacing w:before="195" w:after="195"/>
      </w:pPr>
      <w:r>
        <w:rPr>
          <w:rFonts w:hint="eastAsia"/>
        </w:rPr>
        <w:t>加强水资源节约利用</w:t>
      </w:r>
    </w:p>
    <w:p>
      <w:pPr>
        <w:spacing w:before="65"/>
        <w:ind w:firstLine="640"/>
      </w:pPr>
      <w:r>
        <w:rPr>
          <w:rFonts w:hint="eastAsia"/>
        </w:rPr>
        <w:t>优先保障城乡居民生活用水，合理安排工业和农业用水，建立多种水源联合调配机制，优先利地表水，在保证乡镇生活用水的前提下，严格控制地下水开采程度，加大再生水和雨水资源化利用。加快城镇供水管网节水改造，减低供水管网漏损率。全面开展节水型单位、居民小区创建活动，持续推广普及生活节水器具，加强学校、医院、宾馆、餐饮、洗浴等重点行业节水技术改造。</w:t>
      </w:r>
    </w:p>
    <w:p>
      <w:pPr>
        <w:spacing w:before="65"/>
        <w:ind w:firstLine="640"/>
      </w:pPr>
      <w:r>
        <w:rPr>
          <w:rFonts w:hint="eastAsia"/>
        </w:rPr>
        <w:t>坚持节水优先，推进节水型社会建设。优化调整产业结构与布局，按照清洁生产和循环经济的标准，凡是生产规模、工艺不符合国家产业政策要求的企业，应坚决予以关停。加强农业节水建设，大力发展高效节水灌溉农业。加强供水管网维护管理，大力推广普及节水器具和产品，提高水资源利用效率。重点做好生态水系工程等重点项目，创建一批节水型示范企业。加快灌溉工程的配套、挖潜与改造，推广管道输水灌溉、喷灌、微灌等高效节水灌溉技术。</w:t>
      </w:r>
    </w:p>
    <w:p>
      <w:pPr>
        <w:pStyle w:val="4"/>
        <w:spacing w:before="195" w:after="195"/>
      </w:pPr>
      <w:r>
        <w:rPr>
          <w:rFonts w:hint="eastAsia"/>
        </w:rPr>
        <w:t>加强水污染防治</w:t>
      </w:r>
    </w:p>
    <w:p>
      <w:pPr>
        <w:spacing w:before="65"/>
        <w:ind w:firstLine="640"/>
      </w:pPr>
      <w:r>
        <w:rPr>
          <w:rFonts w:hint="eastAsia"/>
        </w:rPr>
        <w:t>强化水污染治理</w:t>
      </w:r>
      <w:r>
        <w:t>。推进农村生活污水处理设施和管网建设。持续推进化肥、农药的减量化，积极开展试点地块实施化肥农药利用率测算。严控涉水工业项目，加强企业监管。</w:t>
      </w:r>
    </w:p>
    <w:p>
      <w:pPr>
        <w:spacing w:before="65"/>
        <w:ind w:firstLine="640"/>
      </w:pPr>
      <w:r>
        <w:rPr>
          <w:rFonts w:hint="eastAsia"/>
        </w:rPr>
        <w:t>保障饮用水水源水质安全。强化饮用水水源风险防控，完善饮用水水源污染事故应急预案，确保镇集中式饮用水源地取水、供水厂、用水水龙头水质达标率</w:t>
      </w:r>
      <w:r>
        <w:t>100%，集中式饮用水源地水质优良比例100%，农村饮用水达标人口覆盖率100%。</w:t>
      </w:r>
    </w:p>
    <w:p>
      <w:pPr>
        <w:spacing w:before="65"/>
        <w:ind w:firstLine="640"/>
      </w:pPr>
      <w:r>
        <w:rPr>
          <w:rFonts w:hint="eastAsia"/>
        </w:rPr>
        <w:t>控制工业水污染物排放。切实执行排污许可证制度。强化工业企业水污染深度治理和工艺技术改造力度，配合完善先进制造业开发区污水处理管网，大力开展污水深度处理。</w:t>
      </w:r>
    </w:p>
    <w:p>
      <w:pPr>
        <w:spacing w:before="65"/>
        <w:ind w:firstLine="640"/>
      </w:pPr>
      <w:r>
        <w:rPr>
          <w:rFonts w:hint="eastAsia"/>
        </w:rPr>
        <w:t>强化河流综合整治力度。以“河长制”落实“河常治”，对于纳入河长制管理范围的</w:t>
      </w:r>
      <w:r>
        <w:t>河流，保持巡河力度，强化日常监管。持续开展河湖库塘清淤，加强淤泥检测、清理、排放、运输、处置的全过程管理，探索建立清淤轮疏长效机制。</w:t>
      </w:r>
    </w:p>
    <w:p>
      <w:pPr>
        <w:spacing w:before="65"/>
        <w:ind w:firstLine="640"/>
      </w:pPr>
      <w:r>
        <w:rPr>
          <w:rFonts w:hint="eastAsia"/>
        </w:rPr>
        <w:t>开展农村黑臭水体排查与整治。积极开展农村黑臭水体综合整治专项行动，对镇域内黑臭水体进行梳理盘点、实地勘查，通过集体研究、分类施策。切实加强对黑臭水体的日常管理和巡查管控，严管向黑臭水体倾倒垃圾、污水、废弃物等不文明行为，并通过村级公示栏、村民微信群进行曝光，增强群众爱护环境的思想意识和行为自觉，确保黑臭水体有人清、有人管，实现水环境的长期干净、整洁。到</w:t>
      </w:r>
      <w:r>
        <w:t>2025年，实现</w:t>
      </w:r>
      <w:r>
        <w:rPr>
          <w:rFonts w:hint="eastAsia"/>
        </w:rPr>
        <w:t>全镇</w:t>
      </w:r>
      <w:r>
        <w:t>农村黑臭水体得到治理；规划期，确保农村黑臭水体动态清零。</w:t>
      </w:r>
    </w:p>
    <w:p>
      <w:pPr>
        <w:spacing w:before="65"/>
        <w:ind w:firstLine="640"/>
      </w:pPr>
      <w:r>
        <w:rPr>
          <w:rFonts w:hint="eastAsia"/>
        </w:rPr>
        <w:t>提高农村无害化厕所普及率。科学选择改厕技术模式，积极引进适合本地实际的改厕技术和产品。持续开展农村厕所革命“回头看”，改造提升未按标准规范建设的卫生厕所。加强粪污处理利用，鼓励联村、联户、村镇一体处理；鼓励因户制宜推进农户黑灰水就地处理利用。推进农村厕所粪污资源化利用。加强集中污水处理设施及厕所粪后段集中处理设施建设，委托第三方进行后期管护，增设公益岗位，持续完成上级目标任务。</w:t>
      </w:r>
    </w:p>
    <w:p>
      <w:pPr>
        <w:spacing w:before="65"/>
        <w:ind w:firstLine="640"/>
      </w:pPr>
      <w:r>
        <w:rPr>
          <w:rFonts w:hint="eastAsia"/>
        </w:rPr>
        <w:t>加强水生态建设，维护水系健康。加强河湖水域岸线管理，对河道、水库、湖泊等水域空间及其防护空间进行重点保护，严格建设管控。开展滨水带、重点湖库及小流域水土流失综合治理，保护水生态安全。</w:t>
      </w:r>
    </w:p>
    <w:p>
      <w:pPr>
        <w:pStyle w:val="3"/>
      </w:pPr>
      <w:bookmarkStart w:id="55" w:name="_Toc200524219"/>
      <w:bookmarkStart w:id="56" w:name="_Hlk200556575"/>
      <w:r>
        <w:rPr>
          <w:rFonts w:hint="eastAsia"/>
        </w:rPr>
        <w:t>矿产资源保护和利用</w:t>
      </w:r>
      <w:bookmarkEnd w:id="55"/>
    </w:p>
    <w:p>
      <w:pPr>
        <w:pStyle w:val="4"/>
        <w:spacing w:before="195" w:beforeLines="60" w:after="195" w:afterLines="60" w:line="240" w:lineRule="auto"/>
      </w:pPr>
      <w:r>
        <w:t>保护与利用目标</w:t>
      </w:r>
    </w:p>
    <w:p>
      <w:pPr>
        <w:ind w:firstLine="640"/>
      </w:pPr>
      <w:r>
        <w:rPr>
          <w:rFonts w:hint="eastAsia"/>
        </w:rPr>
        <w:t>统筹协调矿产资源开发与保护的关系，严格控制矿产资源开发强度，优化矿产资源勘查和开发利用布局，提高矿产资源综合利用效率，推进矿山地质环境恢复治理体系建设。</w:t>
      </w:r>
    </w:p>
    <w:p>
      <w:pPr>
        <w:ind w:firstLine="640"/>
      </w:pPr>
      <w:r>
        <w:rPr>
          <w:rFonts w:hint="eastAsia"/>
        </w:rPr>
        <w:t>确定矿产资源开发的主要区域。划定西峡米坪重点开采区为花岗岩重点开采区，在重点开采区内加强统筹部署，优先出让采矿权，积极引导各类要素向重点开采区集聚。</w:t>
      </w:r>
    </w:p>
    <w:p>
      <w:pPr>
        <w:ind w:firstLine="640"/>
      </w:pPr>
      <w:r>
        <w:rPr>
          <w:rFonts w:hint="eastAsia"/>
        </w:rPr>
        <w:t>明确矿产开发的“三率”指标。大力推动主要矿种生产矿产采用先进的采选技术和设备，矿产资源利用指标不得低于国家规定、行业标准和自然资源部门制定的最低“三率”指标要求。煤炭回采率不低于</w:t>
      </w:r>
      <w:r>
        <w:t>80%，煤矸石综合利用率不低</w:t>
      </w:r>
      <w:r>
        <w:rPr>
          <w:rFonts w:hint="eastAsia"/>
        </w:rPr>
        <w:t>于</w:t>
      </w:r>
      <w:r>
        <w:t>75%。到2035年，矿产资源保障程度进一步提升，资源</w:t>
      </w:r>
      <w:r>
        <w:rPr>
          <w:rFonts w:hint="eastAsia"/>
        </w:rPr>
        <w:t>供应能力持续稳定，矿区生态环境实现根本好转，矿业实现全面转型升级和绿色发展，生态保护和矿业高质量发展相协调的发展格局全面形成。</w:t>
      </w:r>
    </w:p>
    <w:p>
      <w:pPr>
        <w:pStyle w:val="4"/>
        <w:spacing w:before="195" w:beforeLines="60" w:after="195" w:afterLines="60" w:line="240" w:lineRule="auto"/>
      </w:pPr>
      <w:r>
        <w:t>加快推进绿色矿区建设</w:t>
      </w:r>
    </w:p>
    <w:p>
      <w:pPr>
        <w:ind w:firstLine="640"/>
      </w:pPr>
      <w:r>
        <w:rPr>
          <w:rFonts w:hint="eastAsia"/>
        </w:rPr>
        <w:t>以矿产开发综合利用、生态环境保护和促进矿地和谐为主要目标，督促和支持企业统筹矿产开采与环境保护、企业发展与社区建设的关系，通过创建绿色矿业示范单位，带动和推进绿色矿区、和谐矿区建设。规划期内，建立完善的绿色矿区建设和管理制度，研究形成配套绿色矿区建设的激励政策。</w:t>
      </w:r>
    </w:p>
    <w:p>
      <w:pPr>
        <w:pStyle w:val="4"/>
        <w:spacing w:before="195" w:beforeLines="60" w:after="195" w:afterLines="60" w:line="240" w:lineRule="auto"/>
      </w:pPr>
      <w:r>
        <w:t>提高矿产资源开发利用水平</w:t>
      </w:r>
    </w:p>
    <w:p>
      <w:pPr>
        <w:ind w:firstLine="640"/>
      </w:pPr>
      <w:r>
        <w:rPr>
          <w:rFonts w:hint="eastAsia"/>
        </w:rPr>
        <w:t>合理处置</w:t>
      </w:r>
      <w:r>
        <w:rPr>
          <w:rFonts w:hint="eastAsia" w:ascii="仿宋_GB2312" w:hAnsi="仿宋_GB2312" w:cs="仿宋_GB2312"/>
        </w:rPr>
        <w:t>现状矿业权，促进产业转型升级，提高资源集</w:t>
      </w:r>
      <w:r>
        <w:rPr>
          <w:rFonts w:hint="eastAsia"/>
        </w:rPr>
        <w:t>中度，规模会、集约化开发利用矿产资源。强化资源高效利用技术、废石尾矿资源化利用技术及节能环保关键技术的应用，向无尾矿、无废弃物矿产发展。加强共生矿、伴生矿等各类资源综合利用情况调查与可利用评价，支撑矿产资源综合利用、梯次利用、循环利用。</w:t>
      </w:r>
      <w:bookmarkEnd w:id="56"/>
      <w:r>
        <w:br w:type="page"/>
      </w:r>
    </w:p>
    <w:p>
      <w:pPr>
        <w:spacing w:before="65"/>
        <w:ind w:firstLine="640"/>
      </w:pPr>
    </w:p>
    <w:p>
      <w:pPr>
        <w:pStyle w:val="2"/>
        <w:spacing w:before="489" w:beforeLines="150" w:after="489" w:afterLines="150"/>
      </w:pPr>
      <w:bookmarkStart w:id="57" w:name="_Toc221006223"/>
      <w:bookmarkStart w:id="58" w:name="_Toc183017790"/>
      <w:bookmarkStart w:id="59" w:name="_Toc211259325"/>
      <w:r>
        <w:rPr>
          <w:rFonts w:hint="eastAsia"/>
        </w:rPr>
        <w:t>产业规划</w:t>
      </w:r>
      <w:bookmarkEnd w:id="57"/>
      <w:bookmarkEnd w:id="58"/>
      <w:bookmarkEnd w:id="59"/>
    </w:p>
    <w:p>
      <w:pPr>
        <w:pStyle w:val="3"/>
        <w:spacing w:before="326" w:beforeLines="100" w:after="326" w:afterLines="100"/>
      </w:pPr>
      <w:bookmarkStart w:id="60" w:name="_Toc183017791"/>
      <w:r>
        <w:rPr>
          <w:rFonts w:hint="eastAsia"/>
        </w:rPr>
        <w:t>产业规划</w:t>
      </w:r>
      <w:bookmarkEnd w:id="60"/>
    </w:p>
    <w:p>
      <w:pPr>
        <w:pStyle w:val="4"/>
        <w:spacing w:before="195" w:beforeLines="60" w:after="195" w:afterLines="60" w:line="240" w:lineRule="auto"/>
      </w:pPr>
      <w:r>
        <w:rPr>
          <w:rFonts w:hint="eastAsia"/>
        </w:rPr>
        <w:t>产业发展策略</w:t>
      </w:r>
    </w:p>
    <w:p>
      <w:pPr>
        <w:spacing w:before="65"/>
        <w:ind w:firstLine="640"/>
      </w:pPr>
      <w:r>
        <w:rPr>
          <w:rFonts w:hint="eastAsia"/>
        </w:rPr>
        <w:t>第一产业结合夏馆镇特殊地形，南部浅山区发展林果业、食用菌种植，稳步提升产品的质量和数量；北部深山区突出中药材等特色农产品的生产优势，提高品质。与二三产结合，发展农产品加工及深加工、农业观光体验等，提高农产品附加值，形成特色化、多元化的产业发展模式。</w:t>
      </w:r>
    </w:p>
    <w:p>
      <w:pPr>
        <w:spacing w:before="65"/>
        <w:ind w:firstLine="640"/>
      </w:pPr>
      <w:r>
        <w:rPr>
          <w:rFonts w:hint="eastAsia"/>
        </w:rPr>
        <w:t>集中发展第二产业，发挥工业经济的规模效益。主要为北部湍源村矿业加工、南侧西河堂村石材加工，镇区主要发展农副产品加工。</w:t>
      </w:r>
    </w:p>
    <w:p>
      <w:pPr>
        <w:spacing w:before="65"/>
        <w:ind w:firstLine="640"/>
      </w:pPr>
      <w:r>
        <w:rPr>
          <w:rFonts w:hint="eastAsia"/>
        </w:rPr>
        <w:t>结合现状宝天曼景区旅游资源，挖掘乡村旅游资源，发展生态旅游，并完善相关配套设施建设，带动周边商业和服务业发展。</w:t>
      </w:r>
    </w:p>
    <w:p>
      <w:pPr>
        <w:spacing w:before="65"/>
        <w:ind w:firstLine="640"/>
      </w:pPr>
      <w:r>
        <w:rPr>
          <w:rFonts w:hint="eastAsia"/>
        </w:rPr>
        <w:t>农业</w:t>
      </w:r>
      <w:r>
        <w:t>+生态+旅游：以林果、食用菌、中药材等特色种植，结合宝天曼景区等生态资源，融合农业空间和服务业空间，打造采摘体验、休闲观光旅游线路，体验山水田园风光。</w:t>
      </w:r>
    </w:p>
    <w:p>
      <w:pPr>
        <w:spacing w:before="65"/>
        <w:ind w:firstLine="640"/>
      </w:pPr>
      <w:r>
        <w:rPr>
          <w:rFonts w:hint="eastAsia"/>
        </w:rPr>
        <w:t>农业</w:t>
      </w:r>
      <w:r>
        <w:t>+工业+旅游：结合夏馆镇优质农产品加工，围绕乡村农产品加工主题兴建、打造手工业文化体验经济，提高农产品附加值。</w:t>
      </w:r>
    </w:p>
    <w:p>
      <w:pPr>
        <w:pStyle w:val="4"/>
        <w:spacing w:before="195" w:beforeLines="60" w:after="195" w:afterLines="60" w:line="240" w:lineRule="auto"/>
      </w:pPr>
      <w:bookmarkStart w:id="61" w:name="_Hlk200556611"/>
      <w:r>
        <w:rPr>
          <w:rFonts w:hint="eastAsia"/>
        </w:rPr>
        <w:t>产业功能定位</w:t>
      </w:r>
    </w:p>
    <w:p>
      <w:pPr>
        <w:spacing w:before="65"/>
        <w:ind w:firstLine="640"/>
      </w:pPr>
      <w:r>
        <w:rPr>
          <w:rFonts w:hint="eastAsia"/>
        </w:rPr>
        <w:t>夏馆镇产业发展规划为以巩固农业基础地位为根本，大力发展特色农产品；加大工业投入力度，积极发展农副产品加工和建材、木材、矿产品开发，形成产业链；以城镇的旅游条件和商贸基础为条件，加快第三产业的发展。</w:t>
      </w:r>
    </w:p>
    <w:p>
      <w:pPr>
        <w:spacing w:before="65"/>
        <w:ind w:firstLine="640"/>
      </w:pPr>
      <w:r>
        <w:rPr>
          <w:rFonts w:hint="eastAsia"/>
        </w:rPr>
        <w:t>结合上位规划和现有发展条件及优势，夏馆镇产业功能定位为特色农业种植、生态旅游基地。</w:t>
      </w:r>
    </w:p>
    <w:bookmarkEnd w:id="61"/>
    <w:p>
      <w:pPr>
        <w:pStyle w:val="4"/>
        <w:spacing w:before="195" w:beforeLines="60" w:after="195" w:afterLines="60" w:line="240" w:lineRule="auto"/>
      </w:pPr>
      <w:r>
        <w:rPr>
          <w:rFonts w:hint="eastAsia"/>
        </w:rPr>
        <w:t>优化产业布局</w:t>
      </w:r>
    </w:p>
    <w:p>
      <w:pPr>
        <w:spacing w:before="65"/>
        <w:ind w:firstLine="640"/>
      </w:pPr>
      <w:r>
        <w:rPr>
          <w:rFonts w:hint="eastAsia"/>
        </w:rPr>
        <w:t>统筹产业发展方向及产业用地需求，规划形成“一心、两轴、三区、多基地”的产业布局。</w:t>
      </w:r>
    </w:p>
    <w:p>
      <w:pPr>
        <w:spacing w:before="65"/>
        <w:ind w:firstLine="640"/>
      </w:pPr>
      <w:r>
        <w:rPr>
          <w:rFonts w:hint="eastAsia"/>
        </w:rPr>
        <w:t>两心：结合镇区商贸服务设施和公共服务设施形成的综合服务中心、依托宝天曼景区形成的旅游服务中心。</w:t>
      </w:r>
    </w:p>
    <w:p>
      <w:pPr>
        <w:spacing w:before="65"/>
        <w:ind w:firstLine="640"/>
      </w:pPr>
      <w:r>
        <w:rPr>
          <w:rFonts w:hint="eastAsia"/>
        </w:rPr>
        <w:t>两轴：依托</w:t>
      </w:r>
      <w:r>
        <w:t>G241形成的东西向产业发展轴，沿X038、S243形成的南北向产业轴。</w:t>
      </w:r>
    </w:p>
    <w:p>
      <w:pPr>
        <w:spacing w:before="65"/>
        <w:ind w:firstLine="640"/>
      </w:pPr>
      <w:r>
        <w:rPr>
          <w:rFonts w:hint="eastAsia"/>
        </w:rPr>
        <w:t>三区：北部休闲旅游片区、中部依托林果、食用菌形成的特色种植片区、南部依托矿石开采形成的工业物流片区。</w:t>
      </w:r>
    </w:p>
    <w:p>
      <w:pPr>
        <w:spacing w:before="65"/>
        <w:ind w:firstLine="640"/>
      </w:pPr>
      <w:r>
        <w:rPr>
          <w:rFonts w:hint="eastAsia"/>
        </w:rPr>
        <w:t>多基地：主要发挥特色优势农业，打造林果、食用菌、中药材、生态旅游等多个特色基地。</w:t>
      </w:r>
    </w:p>
    <w:p>
      <w:pPr>
        <w:pStyle w:val="3"/>
      </w:pPr>
      <w:bookmarkStart w:id="62" w:name="_Toc200524222"/>
      <w:bookmarkStart w:id="63" w:name="_Hlk200557143"/>
      <w:r>
        <w:rPr>
          <w:rFonts w:hint="eastAsia"/>
        </w:rPr>
        <w:t>产业用地保障</w:t>
      </w:r>
      <w:bookmarkEnd w:id="62"/>
    </w:p>
    <w:p>
      <w:pPr>
        <w:pStyle w:val="4"/>
        <w:spacing w:before="195" w:after="195"/>
      </w:pPr>
      <w:r>
        <w:rPr>
          <w:rFonts w:hint="eastAsia"/>
        </w:rPr>
        <w:t>产业准入清单</w:t>
      </w:r>
    </w:p>
    <w:p>
      <w:pPr>
        <w:spacing w:before="65"/>
        <w:ind w:firstLine="640"/>
      </w:pPr>
      <w:r>
        <w:rPr>
          <w:rFonts w:hint="eastAsia"/>
        </w:rPr>
        <w:t>在城镇开发边界和村庄建设边界外，主要布局农、林、牧、渔业。</w:t>
      </w:r>
    </w:p>
    <w:p>
      <w:pPr>
        <w:spacing w:before="65"/>
        <w:ind w:firstLine="640"/>
      </w:pPr>
      <w:r>
        <w:rPr>
          <w:rFonts w:hint="eastAsia"/>
        </w:rPr>
        <w:t>在城镇开发边界内，主要布局污染较小或无污染的制造业，建筑业，批发和零售业，交通运输、仓储和邮政业，住宿和餐饮业，信息传输、软件和信息技术服务业，金融业，房地产业，租赁和商业服务业，技术服务业，环境和公共设施管理业，居民服务、修理和其他服务业，教育、卫生和社会工作，文化、体育和娱乐业等。</w:t>
      </w:r>
    </w:p>
    <w:p>
      <w:pPr>
        <w:spacing w:before="65"/>
        <w:ind w:firstLine="640"/>
      </w:pPr>
      <w:r>
        <w:rPr>
          <w:rFonts w:hint="eastAsia"/>
        </w:rPr>
        <w:t>在村庄建设边界内，主要布局直接服务种植养殖业的</w:t>
      </w:r>
      <w:bookmarkStart w:id="64" w:name="_Hlk207382782"/>
      <w:r>
        <w:rPr>
          <w:rFonts w:hint="eastAsia"/>
        </w:rPr>
        <w:t>农产品加工、电子商务、仓储保鲜冷链、产地低温直销配送等一二三产融合发展项目</w:t>
      </w:r>
      <w:bookmarkEnd w:id="64"/>
      <w:r>
        <w:rPr>
          <w:rFonts w:hint="eastAsia"/>
        </w:rPr>
        <w:t>，不得布局对居民生活产生较大影响和污染严重的产业。</w:t>
      </w:r>
    </w:p>
    <w:p>
      <w:pPr>
        <w:spacing w:before="65"/>
        <w:ind w:firstLine="640"/>
      </w:pPr>
      <w:r>
        <w:rPr>
          <w:rFonts w:hint="eastAsia"/>
        </w:rPr>
        <w:t>在乡镇范围内，原则上不得布局三类工业、危化品生产存储以及其他污染严重的产业，确需布局的，应征得夏馆镇人民政府或内乡县自然资源局以及相关主管部门的同意。</w:t>
      </w:r>
    </w:p>
    <w:p>
      <w:pPr>
        <w:pStyle w:val="4"/>
      </w:pPr>
      <w:bookmarkStart w:id="65" w:name="_Hlk207462364"/>
      <w:r>
        <w:t>产业负面清单</w:t>
      </w:r>
    </w:p>
    <w:p>
      <w:pPr>
        <w:spacing w:before="65"/>
        <w:ind w:firstLine="640"/>
      </w:pPr>
      <w:r>
        <w:rPr>
          <w:rFonts w:hint="eastAsia"/>
        </w:rPr>
        <w:t>乡村产业发展应与财政、金融、人才、土地等相关政策</w:t>
      </w:r>
      <w:r>
        <w:t>相衔接，根据乡村资源特色及区域优势，选择适合本地发展的产业类型。要严控乡村产业准入，严格遵守《产业结构调整指导目录》文件的相关要求，将限制类、淘汰类产业列入产业负面清单，禁止发展该类产业。对于列入国家禁止类产业目录的、污染环境的项目，不得进入乡村。</w:t>
      </w:r>
    </w:p>
    <w:p>
      <w:pPr>
        <w:spacing w:before="65"/>
        <w:ind w:firstLine="640"/>
      </w:pPr>
      <w:r>
        <w:t>农村产业融合发展用地禁止用于商品住宅、别墅、酒店、公</w:t>
      </w:r>
      <w:r>
        <w:rPr>
          <w:rFonts w:hint="eastAsia"/>
        </w:rPr>
        <w:t>寓等房地产开发，禁止擅自改变用途或分割转让转租。禁止擅自将农业设施建设用地改变用途用于产业项目建设。</w:t>
      </w:r>
    </w:p>
    <w:bookmarkEnd w:id="65"/>
    <w:p>
      <w:pPr>
        <w:pStyle w:val="4"/>
        <w:spacing w:before="195" w:after="195"/>
      </w:pPr>
      <w:r>
        <w:rPr>
          <w:rFonts w:hint="eastAsia"/>
        </w:rPr>
        <w:t>产业用地管控</w:t>
      </w:r>
    </w:p>
    <w:p>
      <w:pPr>
        <w:spacing w:before="65"/>
        <w:ind w:firstLine="640"/>
      </w:pPr>
      <w:r>
        <w:rPr>
          <w:rFonts w:hint="eastAsia"/>
        </w:rPr>
        <w:t>乡镇级国土空间规划应安排不少于</w:t>
      </w:r>
      <w:r>
        <w:t>10%的建设用地指标，重点保障乡村产业发展用地。根据产业发展规律，在城乡之间合理安排产业用地布局。工业企业要向产业集聚区、专业园区集聚；具有一定规模的农产品加工要向</w:t>
      </w:r>
      <w:r>
        <w:rPr>
          <w:rFonts w:hint="eastAsia"/>
        </w:rPr>
        <w:t>中心城区</w:t>
      </w:r>
      <w:r>
        <w:t>或乡镇城镇开发边界内集聚；对直接服务种植养殖业的农产品加工、电子商务、仓储保鲜冷链、产地低温直销配送等产业，应优先利用村内空闲地和闲置宅基地，原则上集中在村庄建设边界内；对利用农村本地资源开展农产品分拣、初加工、发展休闲观光旅游而必须的配套设施建设，在不侵占永久基本农田和生态保护红线、不突破国土空间规划建</w:t>
      </w:r>
      <w:r>
        <w:rPr>
          <w:rFonts w:hint="eastAsia"/>
        </w:rPr>
        <w:t>设用地指标等约束条件、不破坏自然环境和历史风貌的条件下，可在村庄建设边界外安排少量建设用地。在符合国土空间规划前提下，鼓励对依法登记的宅基地等农村建设用地进行复合利用，发展乡村民宿、农产品初加工、电子商务等农村产业。农业生产中直接用于作物种植和畜禽水产养殖的设施用地，按照自然资源部相关</w:t>
      </w:r>
      <w:r>
        <w:t>要求使用。</w:t>
      </w:r>
      <w:r>
        <w:br w:type="page"/>
      </w:r>
    </w:p>
    <w:bookmarkEnd w:id="63"/>
    <w:p>
      <w:pPr>
        <w:spacing w:before="65"/>
        <w:ind w:firstLine="640"/>
      </w:pPr>
    </w:p>
    <w:p>
      <w:pPr>
        <w:pStyle w:val="2"/>
        <w:spacing w:before="489" w:beforeLines="150" w:after="489" w:afterLines="150"/>
      </w:pPr>
      <w:bookmarkStart w:id="66" w:name="_Toc221006224"/>
      <w:bookmarkStart w:id="67" w:name="_Toc211259326"/>
      <w:bookmarkStart w:id="68" w:name="_Toc183017792"/>
      <w:r>
        <w:rPr>
          <w:rFonts w:hint="eastAsia"/>
        </w:rPr>
        <w:t>村庄布局</w:t>
      </w:r>
      <w:bookmarkEnd w:id="66"/>
      <w:bookmarkEnd w:id="67"/>
      <w:bookmarkEnd w:id="68"/>
    </w:p>
    <w:p>
      <w:pPr>
        <w:pStyle w:val="3"/>
        <w:spacing w:before="326" w:beforeLines="100" w:after="326" w:afterLines="100"/>
      </w:pPr>
      <w:bookmarkStart w:id="69" w:name="_Toc183017793"/>
      <w:r>
        <w:rPr>
          <w:rFonts w:hint="eastAsia"/>
        </w:rPr>
        <w:t>人口与城镇化水平预测</w:t>
      </w:r>
      <w:bookmarkEnd w:id="69"/>
    </w:p>
    <w:p>
      <w:pPr>
        <w:pStyle w:val="4"/>
        <w:spacing w:before="195" w:beforeLines="60" w:after="195" w:afterLines="60" w:line="240" w:lineRule="auto"/>
      </w:pPr>
      <w:r>
        <w:rPr>
          <w:rFonts w:hint="eastAsia"/>
        </w:rPr>
        <w:t>人口规模预测</w:t>
      </w:r>
    </w:p>
    <w:p>
      <w:pPr>
        <w:ind w:firstLine="640"/>
      </w:pPr>
      <w:r>
        <w:rPr>
          <w:rFonts w:hint="eastAsia"/>
        </w:rPr>
        <w:t>1</w:t>
      </w:r>
      <w:r>
        <w:t>.</w:t>
      </w:r>
      <w:r>
        <w:rPr>
          <w:rFonts w:hint="eastAsia"/>
        </w:rPr>
        <w:t>镇</w:t>
      </w:r>
      <w:r>
        <w:t>域户籍人口</w:t>
      </w:r>
    </w:p>
    <w:p>
      <w:pPr>
        <w:ind w:firstLine="640"/>
        <w:rPr>
          <w:rFonts w:ascii="Times New Roman" w:hAnsi="Times New Roman"/>
        </w:rPr>
      </w:pPr>
      <w:r>
        <w:rPr>
          <w:rFonts w:ascii="Times New Roman" w:hAnsi="Times New Roman"/>
        </w:rPr>
        <w:t>规划基期年，</w:t>
      </w:r>
      <w:r>
        <w:rPr>
          <w:rFonts w:hint="eastAsia" w:ascii="Times New Roman" w:hAnsi="Times New Roman"/>
        </w:rPr>
        <w:t>镇</w:t>
      </w:r>
      <w:r>
        <w:rPr>
          <w:rFonts w:ascii="Times New Roman" w:hAnsi="Times New Roman"/>
        </w:rPr>
        <w:t>域户籍总人口</w:t>
      </w:r>
      <w:r>
        <w:t>24550</w:t>
      </w:r>
      <w:r>
        <w:rPr>
          <w:rFonts w:ascii="Times New Roman" w:hAnsi="Times New Roman"/>
        </w:rPr>
        <w:t>人。</w:t>
      </w:r>
      <w:r>
        <w:rPr>
          <w:rFonts w:hint="eastAsia" w:ascii="Times New Roman" w:hAnsi="Times New Roman"/>
        </w:rPr>
        <w:t>至</w:t>
      </w:r>
      <w:r>
        <w:rPr>
          <w:rFonts w:ascii="Times New Roman" w:hAnsi="Times New Roman"/>
        </w:rPr>
        <w:t>2025年，镇域户籍总人口2.55万人；</w:t>
      </w:r>
      <w:r>
        <w:rPr>
          <w:rFonts w:hint="eastAsia" w:ascii="Times New Roman" w:hAnsi="Times New Roman"/>
        </w:rPr>
        <w:t>至</w:t>
      </w:r>
      <w:r>
        <w:rPr>
          <w:rFonts w:ascii="Times New Roman" w:hAnsi="Times New Roman"/>
        </w:rPr>
        <w:t>2035年，镇域户籍总人口2.63万人。</w:t>
      </w:r>
    </w:p>
    <w:p>
      <w:pPr>
        <w:ind w:firstLine="640"/>
      </w:pPr>
      <w:r>
        <w:rPr>
          <w:rFonts w:hint="eastAsia"/>
        </w:rPr>
        <w:t>2</w:t>
      </w:r>
      <w:r>
        <w:t>.</w:t>
      </w:r>
      <w:r>
        <w:rPr>
          <w:rFonts w:hint="eastAsia"/>
        </w:rPr>
        <w:t>镇</w:t>
      </w:r>
      <w:r>
        <w:t>域常住人口</w:t>
      </w:r>
    </w:p>
    <w:p>
      <w:pPr>
        <w:ind w:firstLine="640"/>
        <w:rPr>
          <w:rFonts w:ascii="Times New Roman" w:hAnsi="Times New Roman"/>
        </w:rPr>
      </w:pPr>
      <w:r>
        <w:rPr>
          <w:rFonts w:ascii="Times New Roman" w:hAnsi="Times New Roman"/>
        </w:rPr>
        <w:t>规划基期年，</w:t>
      </w:r>
      <w:r>
        <w:rPr>
          <w:rFonts w:hint="eastAsia" w:ascii="Times New Roman" w:hAnsi="Times New Roman"/>
        </w:rPr>
        <w:t>镇</w:t>
      </w:r>
      <w:r>
        <w:rPr>
          <w:rFonts w:ascii="Times New Roman" w:hAnsi="Times New Roman"/>
        </w:rPr>
        <w:t>域常住总人口</w:t>
      </w:r>
      <w:r>
        <w:t>20201</w:t>
      </w:r>
      <w:r>
        <w:rPr>
          <w:rFonts w:ascii="Times New Roman" w:hAnsi="Times New Roman"/>
        </w:rPr>
        <w:t>人。</w:t>
      </w:r>
      <w:r>
        <w:rPr>
          <w:rFonts w:hint="eastAsia" w:ascii="Times New Roman" w:hAnsi="Times New Roman"/>
        </w:rPr>
        <w:t>至</w:t>
      </w:r>
      <w:r>
        <w:rPr>
          <w:rFonts w:ascii="Times New Roman" w:hAnsi="Times New Roman"/>
        </w:rPr>
        <w:t>2025年，镇域常住总人口1.90万人</w:t>
      </w:r>
      <w:r>
        <w:rPr>
          <w:rFonts w:hint="eastAsia" w:ascii="Times New Roman" w:hAnsi="Times New Roman"/>
        </w:rPr>
        <w:t>；至</w:t>
      </w:r>
      <w:r>
        <w:rPr>
          <w:rFonts w:ascii="Times New Roman" w:hAnsi="Times New Roman"/>
        </w:rPr>
        <w:t>2035年，镇域常住总人口1.72万人。</w:t>
      </w:r>
    </w:p>
    <w:p>
      <w:pPr>
        <w:pStyle w:val="4"/>
        <w:spacing w:before="195" w:beforeLines="60" w:after="195" w:afterLines="60" w:line="240" w:lineRule="auto"/>
      </w:pPr>
      <w:r>
        <w:rPr>
          <w:rFonts w:hint="eastAsia"/>
        </w:rPr>
        <w:t>城镇化水平预测</w:t>
      </w:r>
    </w:p>
    <w:p>
      <w:pPr>
        <w:spacing w:before="65"/>
        <w:ind w:firstLine="640"/>
        <w:rPr>
          <w:rFonts w:ascii="Times New Roman" w:hAnsi="Times New Roman"/>
        </w:rPr>
      </w:pPr>
      <w:r>
        <w:rPr>
          <w:rFonts w:ascii="Times New Roman" w:hAnsi="Times New Roman"/>
        </w:rPr>
        <w:t>基期年，</w:t>
      </w:r>
      <w:r>
        <w:rPr>
          <w:rFonts w:hint="eastAsia" w:ascii="Times New Roman" w:hAnsi="Times New Roman"/>
        </w:rPr>
        <w:t>镇</w:t>
      </w:r>
      <w:r>
        <w:rPr>
          <w:rFonts w:ascii="Times New Roman" w:hAnsi="Times New Roman"/>
        </w:rPr>
        <w:t>域城镇人口8348人，城镇化水平41%。至2025年，</w:t>
      </w:r>
      <w:r>
        <w:rPr>
          <w:rFonts w:hint="eastAsia" w:ascii="Times New Roman" w:hAnsi="Times New Roman"/>
        </w:rPr>
        <w:t>镇</w:t>
      </w:r>
      <w:r>
        <w:rPr>
          <w:rFonts w:ascii="Times New Roman" w:hAnsi="Times New Roman"/>
        </w:rPr>
        <w:t>域城镇人口</w:t>
      </w:r>
      <w:r>
        <w:t>8687</w:t>
      </w:r>
      <w:r>
        <w:rPr>
          <w:rFonts w:ascii="Times New Roman" w:hAnsi="Times New Roman"/>
        </w:rPr>
        <w:t>人，城镇化水平达到46%，；至2035年，</w:t>
      </w:r>
      <w:r>
        <w:rPr>
          <w:rFonts w:hint="eastAsia" w:ascii="Times New Roman" w:hAnsi="Times New Roman"/>
        </w:rPr>
        <w:t>镇</w:t>
      </w:r>
      <w:r>
        <w:rPr>
          <w:rFonts w:ascii="Times New Roman" w:hAnsi="Times New Roman"/>
        </w:rPr>
        <w:t>域城镇人口9040人，城镇化水平达到53%左右。</w:t>
      </w:r>
    </w:p>
    <w:p>
      <w:pPr>
        <w:pStyle w:val="3"/>
        <w:spacing w:before="326" w:beforeLines="100" w:after="326" w:afterLines="100"/>
      </w:pPr>
      <w:bookmarkStart w:id="70" w:name="_Toc183017794"/>
      <w:r>
        <w:rPr>
          <w:rFonts w:hint="eastAsia"/>
        </w:rPr>
        <w:t>村庄分类布局</w:t>
      </w:r>
      <w:bookmarkEnd w:id="70"/>
    </w:p>
    <w:p>
      <w:pPr>
        <w:pStyle w:val="4"/>
        <w:spacing w:before="195" w:beforeLines="60" w:after="195" w:afterLines="60" w:line="240" w:lineRule="auto"/>
      </w:pPr>
      <w:r>
        <w:rPr>
          <w:rFonts w:hint="eastAsia"/>
        </w:rPr>
        <w:t>村庄分类</w:t>
      </w:r>
    </w:p>
    <w:p>
      <w:pPr>
        <w:spacing w:before="65"/>
        <w:ind w:firstLine="640"/>
      </w:pPr>
      <w:r>
        <w:rPr>
          <w:rFonts w:hint="eastAsia"/>
        </w:rPr>
        <w:t>夏馆镇共有</w:t>
      </w:r>
      <w:r>
        <w:t>19</w:t>
      </w:r>
      <w:r>
        <w:rPr>
          <w:rFonts w:hint="eastAsia"/>
        </w:rPr>
        <w:t>个行政村，其中</w:t>
      </w:r>
      <w:r>
        <w:t>2</w:t>
      </w:r>
      <w:r>
        <w:rPr>
          <w:rFonts w:hint="eastAsia"/>
        </w:rPr>
        <w:t>个城郊融合类、</w:t>
      </w:r>
      <w:r>
        <w:t>7</w:t>
      </w:r>
      <w:r>
        <w:rPr>
          <w:rFonts w:hint="eastAsia"/>
        </w:rPr>
        <w:t>个集聚提升类、1个搬迁撤并类、</w:t>
      </w:r>
      <w:r>
        <w:t>3</w:t>
      </w:r>
      <w:r>
        <w:rPr>
          <w:rFonts w:hint="eastAsia"/>
        </w:rPr>
        <w:t>个特色保护类和</w:t>
      </w:r>
      <w:r>
        <w:t>6</w:t>
      </w:r>
      <w:r>
        <w:rPr>
          <w:rFonts w:hint="eastAsia"/>
        </w:rPr>
        <w:t>个整治改善类。</w:t>
      </w:r>
    </w:p>
    <w:p>
      <w:pPr>
        <w:pStyle w:val="4"/>
        <w:spacing w:before="195" w:beforeLines="60" w:after="195" w:afterLines="60" w:line="240" w:lineRule="auto"/>
      </w:pPr>
      <w:r>
        <w:rPr>
          <w:rFonts w:hint="eastAsia"/>
        </w:rPr>
        <w:t>村庄</w:t>
      </w:r>
      <w:r>
        <w:t>发展引导</w:t>
      </w:r>
    </w:p>
    <w:p>
      <w:pPr>
        <w:spacing w:before="65"/>
        <w:ind w:firstLine="640"/>
      </w:pPr>
      <w:r>
        <w:rPr>
          <w:rFonts w:hint="eastAsia"/>
        </w:rPr>
        <w:t>栗园村、夏馆村等城郊融合类村庄应综合考虑工业化、城镇化和村庄自身发展需要，加快城乡产业融合发展、基础设施互联互通、公共服务共建共享，在形态上保留乡村风貌，在治理上体现城市水平，逐步强化服务城镇发展、承接城镇功能外溢的作用。</w:t>
      </w:r>
    </w:p>
    <w:p>
      <w:pPr>
        <w:spacing w:before="65"/>
        <w:ind w:firstLine="640"/>
      </w:pPr>
      <w:r>
        <w:rPr>
          <w:rFonts w:hint="eastAsia"/>
        </w:rPr>
        <w:t>大栗坪村、葛条爬村、黄靳村、吴岗村、师家湾村、小栗坪村、西河堂村等</w:t>
      </w:r>
      <w:r>
        <w:t>集聚提升类村庄重点完善乡村基本服务单元功能，提升村庄公共设施和基础设施服务能力和水平。做强特色优势产业，延伸主导产业链条，推进一二三产业融合发展，提供就业岗位，增加村民和村集体收入。</w:t>
      </w:r>
    </w:p>
    <w:p>
      <w:pPr>
        <w:spacing w:before="65"/>
        <w:ind w:firstLine="640"/>
      </w:pPr>
      <w:r>
        <w:rPr>
          <w:rFonts w:hint="eastAsia"/>
        </w:rPr>
        <w:t>大块地村、黄龙村、湍源村等</w:t>
      </w:r>
      <w:r>
        <w:t>特色保护类村庄</w:t>
      </w:r>
      <w:r>
        <w:rPr>
          <w:rFonts w:hint="eastAsia"/>
        </w:rPr>
        <w:t>应以</w:t>
      </w:r>
      <w:r>
        <w:t>保护优先，活化利用，重点完善旅游配套、提升服务产业</w:t>
      </w:r>
      <w:r>
        <w:rPr>
          <w:rFonts w:hint="eastAsia"/>
        </w:rPr>
        <w:t>，</w:t>
      </w:r>
      <w:r>
        <w:t>统筹保护、利用与发展的关系，努力保持村庄的完整性、真实性和延续性。</w:t>
      </w:r>
      <w:r>
        <w:rPr>
          <w:rFonts w:hint="eastAsia"/>
        </w:rPr>
        <w:t>以</w:t>
      </w:r>
      <w:r>
        <w:t>发展</w:t>
      </w:r>
      <w:r>
        <w:rPr>
          <w:rFonts w:hint="eastAsia"/>
        </w:rPr>
        <w:t>特色</w:t>
      </w:r>
      <w:r>
        <w:t>产业</w:t>
      </w:r>
      <w:r>
        <w:rPr>
          <w:rFonts w:hint="eastAsia"/>
        </w:rPr>
        <w:t>为基础</w:t>
      </w:r>
      <w:r>
        <w:t>，加快改善村庄基础设施和公共环境，合理利用村庄特色资源，发展乡村旅游和特色产业</w:t>
      </w:r>
      <w:r>
        <w:rPr>
          <w:rFonts w:hint="eastAsia"/>
        </w:rPr>
        <w:t>。</w:t>
      </w:r>
    </w:p>
    <w:p>
      <w:pPr>
        <w:spacing w:before="65"/>
        <w:ind w:firstLine="640"/>
      </w:pPr>
      <w:r>
        <w:rPr>
          <w:rFonts w:hint="eastAsia"/>
        </w:rPr>
        <w:t>大庄沟村、芦家坪村、牡珠流村、四台沟村、小湍河村、万沟村等整治改善类村庄应着重</w:t>
      </w:r>
      <w:r>
        <w:t>于</w:t>
      </w:r>
      <w:r>
        <w:rPr>
          <w:rFonts w:hint="eastAsia"/>
        </w:rPr>
        <w:t>村庄危房改造、人居环境整治、基础设施与公共服务设施提升、土地整治、生态保护与修复等，满足建设需要。</w:t>
      </w:r>
    </w:p>
    <w:p>
      <w:pPr>
        <w:spacing w:before="65"/>
        <w:ind w:firstLine="640"/>
      </w:pPr>
      <w:r>
        <w:rPr>
          <w:rFonts w:hint="eastAsia"/>
        </w:rPr>
        <w:t>青杠树村等搬迁撤并类村庄根据村民意愿，通过市场化运作和配套政策相结合的方式，采用土地置换等多种方式和措施，逐步引导村民向城镇或保留并重点发展的村庄集聚。</w:t>
      </w:r>
    </w:p>
    <w:p>
      <w:pPr>
        <w:pStyle w:val="3"/>
      </w:pPr>
      <w:bookmarkStart w:id="71" w:name="_Toc200524226"/>
      <w:bookmarkStart w:id="72" w:name="_Hlk200557295"/>
      <w:r>
        <w:rPr>
          <w:rFonts w:hint="eastAsia"/>
        </w:rPr>
        <w:t>镇村体系规划</w:t>
      </w:r>
      <w:bookmarkEnd w:id="71"/>
    </w:p>
    <w:p>
      <w:pPr>
        <w:pStyle w:val="4"/>
        <w:spacing w:before="195" w:beforeLines="60" w:after="195" w:afterLines="60" w:line="240" w:lineRule="auto"/>
      </w:pPr>
      <w:r>
        <w:rPr>
          <w:rFonts w:hint="eastAsia"/>
        </w:rPr>
        <w:t>镇村体系</w:t>
      </w:r>
    </w:p>
    <w:p>
      <w:pPr>
        <w:spacing w:before="65"/>
        <w:ind w:firstLine="640"/>
      </w:pPr>
      <w:bookmarkStart w:id="73" w:name="_Hlk200544817"/>
      <w:r>
        <w:rPr>
          <w:rFonts w:hint="eastAsia"/>
        </w:rPr>
        <w:t>强化集镇区的核心地位，同时结合村庄的实际发展条件，以均衡布局为原则，构建“镇区</w:t>
      </w:r>
      <w:r>
        <w:t>+</w:t>
      </w:r>
      <w:r>
        <w:rPr>
          <w:rFonts w:hint="eastAsia"/>
        </w:rPr>
        <w:t>中心村</w:t>
      </w:r>
      <w:r>
        <w:t>+基层村”三级镇村体</w:t>
      </w:r>
      <w:r>
        <w:rPr>
          <w:rFonts w:hint="eastAsia"/>
        </w:rPr>
        <w:t>系。</w:t>
      </w:r>
    </w:p>
    <w:p>
      <w:pPr>
        <w:spacing w:before="65"/>
        <w:ind w:firstLine="640"/>
      </w:pPr>
      <w:r>
        <w:rPr>
          <w:rFonts w:hint="eastAsia"/>
        </w:rPr>
        <w:t>镇区为夏馆镇和栗园村</w:t>
      </w:r>
      <w:r>
        <w:t>；</w:t>
      </w:r>
      <w:r>
        <w:rPr>
          <w:rFonts w:hint="eastAsia"/>
        </w:rPr>
        <w:t>中心村</w:t>
      </w:r>
      <w:r>
        <w:t>为</w:t>
      </w:r>
      <w:r>
        <w:rPr>
          <w:rFonts w:hint="eastAsia"/>
        </w:rPr>
        <w:t>湍源村、葛条爬村、大栗坪村、师家湾村</w:t>
      </w:r>
      <w:r>
        <w:t>；基层村</w:t>
      </w:r>
      <w:r>
        <w:rPr>
          <w:rFonts w:hint="eastAsia"/>
        </w:rPr>
        <w:t>为其他</w:t>
      </w:r>
      <w:r>
        <w:t>14个行政村。</w:t>
      </w:r>
    </w:p>
    <w:p>
      <w:pPr>
        <w:spacing w:before="65"/>
        <w:ind w:firstLine="640"/>
      </w:pPr>
      <w:r>
        <w:rPr>
          <w:rFonts w:hint="eastAsia"/>
        </w:rPr>
        <w:t>进一步完善城乡要素平等交换、双向流动的政策体系，引导人口、产业向镇区、中心村集聚，带动镇域社会经济发展。</w:t>
      </w:r>
    </w:p>
    <w:bookmarkEnd w:id="73"/>
    <w:p>
      <w:pPr>
        <w:pStyle w:val="4"/>
        <w:spacing w:before="195" w:beforeLines="60" w:after="195" w:afterLines="60" w:line="240" w:lineRule="auto"/>
      </w:pPr>
      <w:bookmarkStart w:id="74" w:name="_Hlk200479710"/>
      <w:r>
        <w:t>村庄职能结构</w:t>
      </w:r>
    </w:p>
    <w:p>
      <w:pPr>
        <w:ind w:firstLine="640"/>
      </w:pPr>
      <w:r>
        <w:rPr>
          <w:rFonts w:hint="eastAsia"/>
        </w:rPr>
        <w:t>此次规划中，将湍源村、大块地村、牧珠流村、万沟村、葛条爬村、小湍河村规划为宝天曼生态保育区，主要发展旅游及中草药的种植；将大庄沟村、大栗坪村、小栗沟村、青杠树村、卢家坪村、四台沟村、黄龙村、黄靳村规划为中部特色种植区，主要林果等特色种植及建材加工；将夏馆村、西河堂村、师家湾村、吴岗村、栗园村规划为南部特色农业发展区，主要发展菌菇种植及加工等。</w:t>
      </w:r>
    </w:p>
    <w:bookmarkEnd w:id="72"/>
    <w:p>
      <w:pPr>
        <w:pStyle w:val="4"/>
      </w:pPr>
      <w:bookmarkStart w:id="75" w:name="_Hlk207291743"/>
      <w:bookmarkStart w:id="76" w:name="_Hlk206668990"/>
      <w:r>
        <w:rPr>
          <w:rFonts w:hint="eastAsia"/>
        </w:rPr>
        <w:t>乡村建设引导</w:t>
      </w:r>
    </w:p>
    <w:p>
      <w:pPr>
        <w:ind w:firstLine="640"/>
      </w:pPr>
      <w:r>
        <w:t>构建“</w:t>
      </w:r>
      <w:r>
        <w:rPr>
          <w:rFonts w:hint="eastAsia"/>
        </w:rPr>
        <w:t>镇区</w:t>
      </w:r>
      <w:r>
        <w:t>-</w:t>
      </w:r>
      <w:r>
        <w:rPr>
          <w:rFonts w:hint="eastAsia"/>
        </w:rPr>
        <w:t>中心村</w:t>
      </w:r>
      <w:r>
        <w:t>-</w:t>
      </w:r>
      <w:r>
        <w:rPr>
          <w:rFonts w:hint="eastAsia"/>
        </w:rPr>
        <w:t>基层</w:t>
      </w:r>
      <w:r>
        <w:t>村”三级体系</w:t>
      </w:r>
      <w:r>
        <w:rPr>
          <w:rFonts w:hint="eastAsia"/>
        </w:rPr>
        <w:t>，强化镇区的核心地位，培育中心村</w:t>
      </w:r>
      <w:r>
        <w:t>，引导择周边自然村和基层村的人口向其适度集中，提供高于</w:t>
      </w:r>
      <w:r>
        <w:rPr>
          <w:rFonts w:hint="eastAsia"/>
        </w:rPr>
        <w:t>基层村</w:t>
      </w:r>
      <w:r>
        <w:t>的公共服务。</w:t>
      </w:r>
      <w:r>
        <w:rPr>
          <w:rFonts w:hint="eastAsia"/>
        </w:rPr>
        <w:t>控制基层村发展，严格控制新增宅基地和产业用地，逐步引导其人口向镇区和中心村转移。</w:t>
      </w:r>
    </w:p>
    <w:p>
      <w:pPr>
        <w:ind w:firstLine="640"/>
      </w:pPr>
      <w:r>
        <w:rPr>
          <w:rFonts w:hint="eastAsia"/>
        </w:rPr>
        <w:t>保障产业集聚空间，引导仓储物流、农产品加工园区朝镇区周边布局，避免“村村点火、户户冒烟”的分散布局。新增宅基地和安置房等应优先布局在镇区和中心村，形成规模效应。提升镇区存量居住用地的品质和容量，提高人口承载力，通过规划和法律手段，严格限制在村庄建设区外和基层村无序新建、扩建住宅。</w:t>
      </w:r>
    </w:p>
    <w:p>
      <w:pPr>
        <w:ind w:firstLine="640"/>
      </w:pPr>
      <w:r>
        <w:rPr>
          <w:rFonts w:hint="eastAsia"/>
        </w:rPr>
        <w:t>提升镇区与中心村、主要交通干道的连接道路等级，优化镇区内路网，开通公交线路。集中建设污水处理厂、垃圾中转站、供水管网、电力电信设施，并向周边中心村延伸覆盖，实现规模效益。</w:t>
      </w:r>
    </w:p>
    <w:p>
      <w:pPr>
        <w:ind w:firstLine="640"/>
      </w:pPr>
      <w:r>
        <w:rPr>
          <w:rFonts w:hint="eastAsia"/>
        </w:rPr>
        <w:t>在镇区集中布局高水平的卫生院、中心小学、幼儿园、养老院、文化活动中心、便民服务中心等。在中心村配置标准化的卫生室、幼儿园、养老院、农家书屋等，形成与镇区互补的服务网络。</w:t>
      </w:r>
    </w:p>
    <w:p>
      <w:pPr>
        <w:ind w:firstLine="640"/>
      </w:pPr>
      <w:r>
        <w:rPr>
          <w:rFonts w:hint="eastAsia"/>
        </w:rPr>
        <w:t>通过空间约束</w:t>
      </w:r>
      <w:r>
        <w:t>和空间激励相结合，配套以有吸引力的政策和优质的公共服务，让市场主体和居民用脚投票，自发地、自愿地向规划确定的</w:t>
      </w:r>
      <w:r>
        <w:rPr>
          <w:rFonts w:hint="eastAsia"/>
        </w:rPr>
        <w:t>镇区和中心村</w:t>
      </w:r>
      <w:r>
        <w:t>集中，最终实现集约、高效、绿色、宜居的乡镇发展新格局。</w:t>
      </w:r>
    </w:p>
    <w:bookmarkEnd w:id="75"/>
    <w:p>
      <w:pPr>
        <w:pStyle w:val="3"/>
      </w:pPr>
      <w:bookmarkStart w:id="77" w:name="_Hlk207292006"/>
      <w:r>
        <w:rPr>
          <w:rFonts w:hint="eastAsia"/>
        </w:rPr>
        <w:t>城乡生活圈构建</w:t>
      </w:r>
    </w:p>
    <w:p>
      <w:pPr>
        <w:pStyle w:val="4"/>
      </w:pPr>
      <w:r>
        <w:rPr>
          <w:rFonts w:hint="eastAsia"/>
        </w:rPr>
        <w:t>城乡生活圈划分</w:t>
      </w:r>
    </w:p>
    <w:p>
      <w:pPr>
        <w:spacing w:before="65"/>
        <w:ind w:firstLine="640"/>
      </w:pPr>
      <w:r>
        <w:t>以</w:t>
      </w:r>
      <w:r>
        <w:rPr>
          <w:rFonts w:hint="eastAsia"/>
        </w:rPr>
        <w:t>中心城区和镇区为中心</w:t>
      </w:r>
      <w:r>
        <w:t>，构建</w:t>
      </w:r>
      <w:r>
        <w:rPr>
          <w:rFonts w:hint="eastAsia"/>
        </w:rPr>
        <w:t>城镇</w:t>
      </w:r>
      <w:r>
        <w:t>生活圈，以</w:t>
      </w:r>
      <w:r>
        <w:rPr>
          <w:rFonts w:hint="eastAsia"/>
        </w:rPr>
        <w:t>中心村</w:t>
      </w:r>
      <w:r>
        <w:t>为中心，构建</w:t>
      </w:r>
      <w:r>
        <w:rPr>
          <w:rFonts w:hint="eastAsia"/>
        </w:rPr>
        <w:t>乡村生活圈。</w:t>
      </w:r>
    </w:p>
    <w:p>
      <w:pPr>
        <w:spacing w:before="65"/>
        <w:ind w:firstLine="640"/>
      </w:pPr>
      <w:r>
        <w:rPr>
          <w:rFonts w:hint="eastAsia"/>
        </w:rPr>
        <w:t>依据行政界线、村庄分类、镇村体系、地理位置等因素，夏馆镇共划定</w:t>
      </w:r>
      <w:r>
        <w:t>1</w:t>
      </w:r>
      <w:r>
        <w:rPr>
          <w:rFonts w:hint="eastAsia"/>
        </w:rPr>
        <w:t>个城镇生活圈和</w:t>
      </w:r>
      <w:r>
        <w:t>3个乡村</w:t>
      </w:r>
      <w:r>
        <w:rPr>
          <w:rFonts w:hint="eastAsia"/>
        </w:rPr>
        <w:t>生活圈</w:t>
      </w:r>
      <w:r>
        <w:t>。其中：</w:t>
      </w:r>
    </w:p>
    <w:p>
      <w:pPr>
        <w:spacing w:before="65"/>
        <w:ind w:firstLine="640"/>
      </w:pPr>
      <w:r>
        <w:rPr>
          <w:rFonts w:hint="eastAsia"/>
        </w:rPr>
        <w:t>城镇生活圈以镇区为中心，包含夏馆村、栗园村、西河堂村、黄靳村、黄龙村，以综合服务、生活居住、旅游观光、产城融合发展为主。</w:t>
      </w:r>
    </w:p>
    <w:p>
      <w:pPr>
        <w:spacing w:before="65"/>
        <w:ind w:firstLine="640"/>
      </w:pPr>
      <w:r>
        <w:rPr>
          <w:rFonts w:hint="eastAsia"/>
        </w:rPr>
        <w:t>大栗坪乡村生活圈以大栗坪村为中心，包含小栗坪村、大庄沟村、四台沟村，以发展林果种植、菌菇养殖为主。</w:t>
      </w:r>
    </w:p>
    <w:p>
      <w:pPr>
        <w:spacing w:before="65"/>
        <w:ind w:firstLine="640"/>
      </w:pPr>
      <w:r>
        <w:rPr>
          <w:rFonts w:hint="eastAsia"/>
        </w:rPr>
        <w:t>葛条爬乡村生活圈以葛条爬村为中心，包含湍源村、牡珠流村、大块地村、小湍河村、青杠树村、芦家坪村、万沟村，以生态观光旅游、中草药种植为主。</w:t>
      </w:r>
    </w:p>
    <w:p>
      <w:pPr>
        <w:spacing w:before="65"/>
        <w:ind w:firstLine="640"/>
      </w:pPr>
      <w:r>
        <w:rPr>
          <w:rFonts w:hint="eastAsia"/>
        </w:rPr>
        <w:t>师家湾乡村生活圈以师家湾村为中心，包含吴岗村，以食用菌种植为主。</w:t>
      </w:r>
    </w:p>
    <w:p>
      <w:pPr>
        <w:pStyle w:val="4"/>
        <w:spacing w:before="195" w:after="195"/>
      </w:pPr>
      <w:bookmarkStart w:id="78" w:name="_Hlk150185614"/>
      <w:r>
        <w:rPr>
          <w:rFonts w:hint="eastAsia"/>
        </w:rPr>
        <w:t>公共服务设施配建标准</w:t>
      </w:r>
    </w:p>
    <w:p>
      <w:pPr>
        <w:spacing w:before="65" w:after="120"/>
        <w:ind w:firstLine="640"/>
      </w:pPr>
      <w:r>
        <w:rPr>
          <w:rFonts w:hint="eastAsia"/>
        </w:rPr>
        <w:t>规划依据《社区生活圈规划技术指南（TD/T1062-2021）》，结合乡村振兴要求，落实“乡村社区生活圈”理念，兼顾行政管理需求，注重养老育幼设施配置。</w:t>
      </w:r>
    </w:p>
    <w:bookmarkEnd w:id="76"/>
    <w:bookmarkEnd w:id="77"/>
    <w:bookmarkEnd w:id="78"/>
    <w:p>
      <w:pPr>
        <w:spacing w:before="65"/>
        <w:ind w:firstLine="640"/>
      </w:pPr>
      <w:r>
        <w:br w:type="page"/>
      </w:r>
    </w:p>
    <w:bookmarkEnd w:id="74"/>
    <w:p>
      <w:pPr>
        <w:spacing w:before="65"/>
        <w:ind w:firstLine="640"/>
      </w:pPr>
    </w:p>
    <w:p>
      <w:pPr>
        <w:pStyle w:val="2"/>
        <w:spacing w:before="489" w:beforeLines="150" w:after="489" w:afterLines="150"/>
      </w:pPr>
      <w:bookmarkStart w:id="79" w:name="_Toc221006225"/>
      <w:bookmarkStart w:id="80" w:name="_Toc211259327"/>
      <w:bookmarkStart w:id="81" w:name="_Toc183017795"/>
      <w:r>
        <w:rPr>
          <w:rFonts w:hint="eastAsia"/>
        </w:rPr>
        <w:t>支撑体系规划</w:t>
      </w:r>
      <w:bookmarkEnd w:id="79"/>
      <w:bookmarkEnd w:id="80"/>
      <w:bookmarkEnd w:id="81"/>
    </w:p>
    <w:p>
      <w:pPr>
        <w:pStyle w:val="3"/>
        <w:spacing w:before="326" w:beforeLines="100" w:after="326" w:afterLines="100"/>
      </w:pPr>
      <w:bookmarkStart w:id="82" w:name="_Toc183017796"/>
      <w:r>
        <w:rPr>
          <w:rFonts w:hint="eastAsia"/>
        </w:rPr>
        <w:t>道路交通规划</w:t>
      </w:r>
      <w:bookmarkEnd w:id="82"/>
    </w:p>
    <w:p>
      <w:pPr>
        <w:pStyle w:val="4"/>
        <w:spacing w:before="195" w:beforeLines="60" w:after="195" w:afterLines="60" w:line="240" w:lineRule="auto"/>
      </w:pPr>
      <w:r>
        <w:rPr>
          <w:rFonts w:hint="eastAsia"/>
        </w:rPr>
        <w:t>发展目标与策略</w:t>
      </w:r>
    </w:p>
    <w:p>
      <w:pPr>
        <w:spacing w:before="65"/>
        <w:ind w:firstLine="640"/>
      </w:pPr>
      <w:r>
        <w:rPr>
          <w:rFonts w:hint="eastAsia"/>
        </w:rPr>
        <w:t>发展目标：落实干线公路建设，加强县、乡公路与区域性道路的有机衔接；强化夏馆镇在全县道路交通体系中的作用、支撑内乡县交通枢纽地位。</w:t>
      </w:r>
    </w:p>
    <w:p>
      <w:pPr>
        <w:spacing w:before="65"/>
        <w:ind w:firstLine="640"/>
        <w:rPr>
          <w:b/>
          <w:bCs/>
        </w:rPr>
      </w:pPr>
      <w:r>
        <w:rPr>
          <w:rFonts w:hint="eastAsia"/>
        </w:rPr>
        <w:t>发展策略：</w:t>
      </w:r>
      <w:r>
        <w:t>构建骨架运输网络，推进</w:t>
      </w:r>
      <w:r>
        <w:rPr>
          <w:rFonts w:hint="eastAsia"/>
        </w:rPr>
        <w:t>全</w:t>
      </w:r>
      <w:r>
        <w:t>域交通一体化发展</w:t>
      </w:r>
      <w:r>
        <w:rPr>
          <w:rFonts w:hint="eastAsia"/>
        </w:rPr>
        <w:t>，加强镇区、中心村与区域交通干线的衔接，构建“结构清晰、节点突出、互联互通、便捷高效”的交通网络。</w:t>
      </w:r>
    </w:p>
    <w:p>
      <w:pPr>
        <w:pStyle w:val="4"/>
        <w:spacing w:before="195" w:beforeLines="60" w:after="195" w:afterLines="60" w:line="240" w:lineRule="auto"/>
      </w:pPr>
      <w:r>
        <w:rPr>
          <w:rFonts w:hint="eastAsia"/>
        </w:rPr>
        <w:t>区域交通基础设施</w:t>
      </w:r>
    </w:p>
    <w:p>
      <w:pPr>
        <w:spacing w:before="65"/>
        <w:ind w:firstLine="640"/>
      </w:pPr>
      <w:r>
        <w:rPr>
          <w:rFonts w:hint="eastAsia"/>
        </w:rPr>
        <w:t>配合推进嵩内高速、沈卢高速和2处高速出入口的落地。规划近期对镇域内道路（</w:t>
      </w:r>
      <w:r>
        <w:t>S240、S329、X001）进行升级改造和新建乡道，形成北部山区联通道路；同步实施内城畅通工程、外城骨干路网工程，实现内城交通优化，外城交通拓展</w:t>
      </w:r>
      <w:r>
        <w:rPr>
          <w:rFonts w:hint="eastAsia"/>
        </w:rPr>
        <w:t>。</w:t>
      </w:r>
    </w:p>
    <w:p>
      <w:pPr>
        <w:pStyle w:val="4"/>
        <w:spacing w:before="195" w:beforeLines="60" w:after="195" w:afterLines="60" w:line="240" w:lineRule="auto"/>
      </w:pPr>
      <w:r>
        <w:rPr>
          <w:rFonts w:hint="eastAsia"/>
        </w:rPr>
        <w:t>乡镇道路网布局规划</w:t>
      </w:r>
    </w:p>
    <w:p>
      <w:pPr>
        <w:spacing w:before="65"/>
        <w:ind w:firstLine="640"/>
      </w:pPr>
      <w:r>
        <w:rPr>
          <w:rFonts w:hint="eastAsia"/>
        </w:rPr>
        <w:t>规划形成“两横一纵”国省道体系，其中“两横”为</w:t>
      </w:r>
      <w:r>
        <w:t>G241和S249，“一纵”为S243。规划县道为X038和X003；规划乡道为Y003、Y004、Y008、Y031和Y034。完善加密村庄路网布局，建设“四好农村路”，提升城乡交通一体化水平。</w:t>
      </w:r>
    </w:p>
    <w:p>
      <w:pPr>
        <w:pStyle w:val="4"/>
        <w:spacing w:before="195" w:beforeLines="60" w:after="195" w:afterLines="60" w:line="240" w:lineRule="auto"/>
      </w:pPr>
      <w:r>
        <w:rPr>
          <w:rFonts w:hint="eastAsia"/>
        </w:rPr>
        <w:t>城乡公交站场</w:t>
      </w:r>
    </w:p>
    <w:p>
      <w:pPr>
        <w:spacing w:before="65"/>
        <w:ind w:firstLine="640"/>
      </w:pPr>
      <w:r>
        <w:rPr>
          <w:rFonts w:hint="eastAsia"/>
        </w:rPr>
        <w:t>保留镇区现状汽车客运站。完善城乡公共交通体系建设，到</w:t>
      </w:r>
      <w:r>
        <w:t>2035年实现村村通公交车，在镇区和大型新型农村社区设置城乡公交首末站</w:t>
      </w:r>
      <w:r>
        <w:rPr>
          <w:rFonts w:hint="eastAsia"/>
        </w:rPr>
        <w:t>。</w:t>
      </w:r>
    </w:p>
    <w:p>
      <w:pPr>
        <w:pStyle w:val="3"/>
        <w:spacing w:before="326" w:beforeLines="100" w:after="326" w:afterLines="100"/>
      </w:pPr>
      <w:bookmarkStart w:id="83" w:name="_Toc183017797"/>
      <w:r>
        <w:rPr>
          <w:rFonts w:hint="eastAsia"/>
        </w:rPr>
        <w:t>市政公用设施规划</w:t>
      </w:r>
      <w:bookmarkEnd w:id="83"/>
    </w:p>
    <w:p>
      <w:pPr>
        <w:pStyle w:val="4"/>
        <w:spacing w:before="195" w:beforeLines="60" w:after="195" w:afterLines="60" w:line="240" w:lineRule="auto"/>
      </w:pPr>
      <w:r>
        <w:rPr>
          <w:rFonts w:hint="eastAsia"/>
        </w:rPr>
        <w:t>给水工程规划</w:t>
      </w:r>
    </w:p>
    <w:p>
      <w:pPr>
        <w:spacing w:before="65"/>
        <w:ind w:firstLine="640"/>
      </w:pPr>
      <w:r>
        <w:rPr>
          <w:rFonts w:hint="eastAsia"/>
        </w:rPr>
        <w:t>预测镇域最高日总用水量为</w:t>
      </w:r>
      <w:r>
        <w:rPr>
          <w:rFonts w:ascii="Times New Roman" w:hAnsi="Times New Roman"/>
        </w:rPr>
        <w:t>0.3万</w:t>
      </w:r>
      <w:r>
        <w:rPr>
          <w:rFonts w:hint="eastAsia"/>
        </w:rPr>
        <w:t>立方米/日。</w:t>
      </w:r>
    </w:p>
    <w:p>
      <w:pPr>
        <w:spacing w:before="65"/>
        <w:ind w:firstLine="640"/>
      </w:pPr>
      <w:r>
        <w:rPr>
          <w:rFonts w:ascii="Times New Roman" w:hAnsi="Times New Roman"/>
        </w:rPr>
        <w:t>规划扩建夏馆水厂，规模为1700立方米/日</w:t>
      </w:r>
      <w:r>
        <w:t>，水源为地下水；</w:t>
      </w:r>
      <w:r>
        <w:rPr>
          <w:rFonts w:ascii="Times New Roman" w:hAnsi="Times New Roman"/>
        </w:rPr>
        <w:t>规划保留</w:t>
      </w:r>
      <w:r>
        <w:rPr>
          <w:rFonts w:hint="eastAsia" w:ascii="Times New Roman" w:hAnsi="Times New Roman"/>
          <w:szCs w:val="21"/>
        </w:rPr>
        <w:t>大块地村</w:t>
      </w:r>
      <w:r>
        <w:rPr>
          <w:rFonts w:ascii="Times New Roman" w:hAnsi="Times New Roman"/>
          <w:szCs w:val="21"/>
        </w:rPr>
        <w:t>、</w:t>
      </w:r>
      <w:r>
        <w:rPr>
          <w:rFonts w:hint="eastAsia" w:ascii="Times New Roman" w:hAnsi="Times New Roman"/>
          <w:szCs w:val="21"/>
        </w:rPr>
        <w:t>大栗坪村</w:t>
      </w:r>
      <w:r>
        <w:rPr>
          <w:rFonts w:ascii="Times New Roman" w:hAnsi="Times New Roman"/>
          <w:szCs w:val="21"/>
        </w:rPr>
        <w:t>、</w:t>
      </w:r>
      <w:r>
        <w:rPr>
          <w:rFonts w:hint="eastAsia" w:ascii="Times New Roman" w:hAnsi="Times New Roman"/>
          <w:szCs w:val="21"/>
        </w:rPr>
        <w:t>大庄沟村</w:t>
      </w:r>
      <w:r>
        <w:rPr>
          <w:rFonts w:ascii="Times New Roman" w:hAnsi="Times New Roman"/>
          <w:szCs w:val="21"/>
        </w:rPr>
        <w:t>、</w:t>
      </w:r>
      <w:r>
        <w:rPr>
          <w:rFonts w:hint="eastAsia" w:ascii="Times New Roman" w:hAnsi="Times New Roman"/>
          <w:szCs w:val="21"/>
        </w:rPr>
        <w:t>葛条爬村</w:t>
      </w:r>
      <w:r>
        <w:rPr>
          <w:rFonts w:ascii="Times New Roman" w:hAnsi="Times New Roman"/>
          <w:szCs w:val="21"/>
        </w:rPr>
        <w:t>、</w:t>
      </w:r>
      <w:r>
        <w:rPr>
          <w:rFonts w:hint="eastAsia" w:ascii="Times New Roman" w:hAnsi="Times New Roman"/>
          <w:szCs w:val="21"/>
        </w:rPr>
        <w:t>黄靳村</w:t>
      </w:r>
      <w:r>
        <w:rPr>
          <w:rFonts w:ascii="Times New Roman" w:hAnsi="Times New Roman"/>
          <w:szCs w:val="21"/>
        </w:rPr>
        <w:t>、</w:t>
      </w:r>
      <w:r>
        <w:rPr>
          <w:rFonts w:hint="eastAsia" w:ascii="Times New Roman" w:hAnsi="Times New Roman"/>
          <w:szCs w:val="21"/>
        </w:rPr>
        <w:t>黄龙村</w:t>
      </w:r>
      <w:r>
        <w:rPr>
          <w:rFonts w:ascii="Times New Roman" w:hAnsi="Times New Roman"/>
          <w:szCs w:val="21"/>
        </w:rPr>
        <w:t>、</w:t>
      </w:r>
      <w:r>
        <w:rPr>
          <w:rFonts w:hint="eastAsia" w:ascii="Times New Roman" w:hAnsi="Times New Roman"/>
          <w:szCs w:val="21"/>
        </w:rPr>
        <w:t>栗园村</w:t>
      </w:r>
      <w:r>
        <w:rPr>
          <w:rFonts w:ascii="Times New Roman" w:hAnsi="Times New Roman"/>
          <w:szCs w:val="21"/>
        </w:rPr>
        <w:t>、</w:t>
      </w:r>
      <w:r>
        <w:rPr>
          <w:rFonts w:hint="eastAsia" w:ascii="Times New Roman" w:hAnsi="Times New Roman"/>
          <w:szCs w:val="21"/>
        </w:rPr>
        <w:t>芦家坪村</w:t>
      </w:r>
      <w:r>
        <w:rPr>
          <w:rFonts w:ascii="Times New Roman" w:hAnsi="Times New Roman"/>
          <w:szCs w:val="21"/>
        </w:rPr>
        <w:t>、</w:t>
      </w:r>
      <w:r>
        <w:rPr>
          <w:rFonts w:hint="eastAsia" w:ascii="Times New Roman" w:hAnsi="Times New Roman"/>
          <w:szCs w:val="21"/>
        </w:rPr>
        <w:t>牡珠琉村</w:t>
      </w:r>
      <w:r>
        <w:rPr>
          <w:rFonts w:ascii="Times New Roman" w:hAnsi="Times New Roman"/>
          <w:szCs w:val="21"/>
        </w:rPr>
        <w:t>、</w:t>
      </w:r>
      <w:r>
        <w:rPr>
          <w:rFonts w:hint="eastAsia" w:ascii="Times New Roman" w:hAnsi="Times New Roman"/>
          <w:szCs w:val="21"/>
        </w:rPr>
        <w:t>青杠树村</w:t>
      </w:r>
      <w:r>
        <w:rPr>
          <w:rFonts w:ascii="Times New Roman" w:hAnsi="Times New Roman"/>
          <w:szCs w:val="21"/>
        </w:rPr>
        <w:t>、</w:t>
      </w:r>
      <w:r>
        <w:rPr>
          <w:rFonts w:hint="eastAsia" w:ascii="Times New Roman" w:hAnsi="Times New Roman"/>
          <w:szCs w:val="21"/>
        </w:rPr>
        <w:t>师家湾村</w:t>
      </w:r>
      <w:r>
        <w:rPr>
          <w:rFonts w:ascii="Times New Roman" w:hAnsi="Times New Roman"/>
          <w:szCs w:val="21"/>
        </w:rPr>
        <w:t>、</w:t>
      </w:r>
      <w:r>
        <w:rPr>
          <w:rFonts w:hint="eastAsia" w:ascii="Times New Roman" w:hAnsi="Times New Roman"/>
          <w:szCs w:val="21"/>
        </w:rPr>
        <w:t>四台沟村</w:t>
      </w:r>
      <w:r>
        <w:rPr>
          <w:rFonts w:ascii="Times New Roman" w:hAnsi="Times New Roman"/>
          <w:szCs w:val="21"/>
        </w:rPr>
        <w:t>、</w:t>
      </w:r>
      <w:r>
        <w:rPr>
          <w:rFonts w:hint="eastAsia" w:ascii="Times New Roman" w:hAnsi="Times New Roman"/>
          <w:szCs w:val="21"/>
        </w:rPr>
        <w:t>湍源村</w:t>
      </w:r>
      <w:r>
        <w:rPr>
          <w:rFonts w:ascii="Times New Roman" w:hAnsi="Times New Roman"/>
          <w:szCs w:val="21"/>
        </w:rPr>
        <w:t>、</w:t>
      </w:r>
      <w:r>
        <w:rPr>
          <w:rFonts w:hint="eastAsia" w:ascii="Times New Roman" w:hAnsi="Times New Roman"/>
          <w:szCs w:val="21"/>
        </w:rPr>
        <w:t>万沟村</w:t>
      </w:r>
      <w:r>
        <w:rPr>
          <w:rFonts w:ascii="Times New Roman" w:hAnsi="Times New Roman"/>
          <w:szCs w:val="21"/>
        </w:rPr>
        <w:t>、</w:t>
      </w:r>
      <w:r>
        <w:rPr>
          <w:rFonts w:hint="eastAsia" w:ascii="Times New Roman" w:hAnsi="Times New Roman"/>
          <w:szCs w:val="21"/>
        </w:rPr>
        <w:t>吴岗村</w:t>
      </w:r>
      <w:r>
        <w:rPr>
          <w:rFonts w:ascii="Times New Roman" w:hAnsi="Times New Roman"/>
          <w:szCs w:val="21"/>
        </w:rPr>
        <w:t>、</w:t>
      </w:r>
      <w:r>
        <w:rPr>
          <w:rFonts w:hint="eastAsia" w:ascii="Times New Roman" w:hAnsi="Times New Roman"/>
          <w:szCs w:val="21"/>
        </w:rPr>
        <w:t>西河堂村</w:t>
      </w:r>
      <w:r>
        <w:rPr>
          <w:rFonts w:ascii="Times New Roman" w:hAnsi="Times New Roman"/>
          <w:szCs w:val="21"/>
        </w:rPr>
        <w:t>、</w:t>
      </w:r>
      <w:r>
        <w:rPr>
          <w:rFonts w:hint="eastAsia" w:ascii="Times New Roman" w:hAnsi="Times New Roman"/>
          <w:szCs w:val="21"/>
        </w:rPr>
        <w:t>小栗坪村和小湍河村</w:t>
      </w:r>
      <w:r>
        <w:rPr>
          <w:rFonts w:ascii="Times New Roman" w:hAnsi="Times New Roman"/>
          <w:szCs w:val="21"/>
        </w:rPr>
        <w:t>供水站；规划</w:t>
      </w:r>
      <w:r>
        <w:rPr>
          <w:rFonts w:hint="eastAsia" w:ascii="Times New Roman" w:hAnsi="Times New Roman"/>
          <w:szCs w:val="21"/>
        </w:rPr>
        <w:t>师家湾供水站可与</w:t>
      </w:r>
      <w:r>
        <w:rPr>
          <w:rFonts w:ascii="Times New Roman" w:hAnsi="Times New Roman"/>
          <w:szCs w:val="21"/>
        </w:rPr>
        <w:t>夏馆水厂</w:t>
      </w:r>
      <w:r>
        <w:rPr>
          <w:rFonts w:hint="eastAsia" w:ascii="Times New Roman" w:hAnsi="Times New Roman"/>
          <w:szCs w:val="21"/>
        </w:rPr>
        <w:t>对接</w:t>
      </w:r>
      <w:r>
        <w:rPr>
          <w:rFonts w:ascii="Times New Roman" w:hAnsi="Times New Roman"/>
          <w:szCs w:val="21"/>
        </w:rPr>
        <w:t>，联合供水</w:t>
      </w:r>
      <w:r>
        <w:rPr>
          <w:rFonts w:hint="eastAsia"/>
        </w:rPr>
        <w:t>。</w:t>
      </w:r>
    </w:p>
    <w:p>
      <w:pPr>
        <w:pStyle w:val="4"/>
        <w:spacing w:before="195" w:beforeLines="60" w:after="195" w:afterLines="60" w:line="240" w:lineRule="auto"/>
      </w:pPr>
      <w:r>
        <w:rPr>
          <w:rFonts w:hint="eastAsia"/>
        </w:rPr>
        <w:t>排水工程规划</w:t>
      </w:r>
    </w:p>
    <w:p>
      <w:pPr>
        <w:spacing w:before="65"/>
        <w:ind w:firstLine="640"/>
      </w:pPr>
      <w:r>
        <w:rPr>
          <w:rFonts w:hint="eastAsia"/>
        </w:rPr>
        <w:t>规划镇区采用雨污分流制排水系统，村庄一般采用合流制，有条件时采用分流制。</w:t>
      </w:r>
    </w:p>
    <w:p>
      <w:pPr>
        <w:spacing w:before="65"/>
        <w:ind w:firstLine="640"/>
      </w:pPr>
      <w:r>
        <w:rPr>
          <w:rFonts w:hint="eastAsia"/>
        </w:rPr>
        <w:t>预测镇域最高日总污水量为</w:t>
      </w:r>
      <w:r>
        <w:rPr>
          <w:rFonts w:ascii="Times New Roman" w:hAnsi="Times New Roman"/>
        </w:rPr>
        <w:t>2050立方米/日</w:t>
      </w:r>
      <w:r>
        <w:rPr>
          <w:rFonts w:hint="eastAsia"/>
        </w:rPr>
        <w:t>。</w:t>
      </w:r>
    </w:p>
    <w:p>
      <w:pPr>
        <w:spacing w:before="65"/>
        <w:ind w:firstLine="640"/>
      </w:pPr>
      <w:r>
        <w:rPr>
          <w:rFonts w:hint="eastAsia"/>
        </w:rPr>
        <w:t>规划夏馆镇新建污水处理厂，位于南环路西侧，规模为</w:t>
      </w:r>
      <w:r>
        <w:t>2500立方米/日，服务夏馆村、栗园村；污水处理厂出水水质要求达到《城镇污水处理厂污染物排放标准》（GB 18918-2002）中规定的一级A标准，处理达标后排入鱼道河。大块地村、大栗坪村、大庄沟村等集中连片的村庄单独建设小型污水处理设施集中处理生活污水；小栗坪村等村民居住分散的村庄利用小型污水处理罐进行分户处理</w:t>
      </w:r>
      <w:r>
        <w:rPr>
          <w:rFonts w:hint="eastAsia"/>
        </w:rPr>
        <w:t>。</w:t>
      </w:r>
    </w:p>
    <w:p>
      <w:pPr>
        <w:spacing w:before="65"/>
        <w:ind w:firstLine="640"/>
      </w:pPr>
      <w:r>
        <w:rPr>
          <w:rFonts w:hint="eastAsia"/>
        </w:rPr>
        <w:t>雨水排放系统坚持就近、分散排放的原则。雨水管渠应充分利用自然河流水系、充分尊重原有生态基底，巧妙利用地形地貌实现雨水自然排放，必要时设置排涝泵站。</w:t>
      </w:r>
    </w:p>
    <w:p>
      <w:pPr>
        <w:pStyle w:val="4"/>
        <w:spacing w:before="195" w:beforeLines="60" w:after="195" w:afterLines="60" w:line="240" w:lineRule="auto"/>
      </w:pPr>
      <w:r>
        <w:rPr>
          <w:rFonts w:hint="eastAsia"/>
        </w:rPr>
        <w:t>电力工程规划</w:t>
      </w:r>
    </w:p>
    <w:p>
      <w:pPr>
        <w:spacing w:before="65"/>
        <w:ind w:firstLine="640"/>
      </w:pPr>
      <w:r>
        <w:rPr>
          <w:rFonts w:hint="eastAsia"/>
        </w:rPr>
        <w:t>预测镇域年总用电负荷为</w:t>
      </w:r>
      <w:r>
        <w:rPr>
          <w:rFonts w:ascii="Times New Roman" w:hAnsi="Times New Roman"/>
        </w:rPr>
        <w:t>2064万千瓦时</w:t>
      </w:r>
      <w:r>
        <w:rPr>
          <w:rFonts w:hint="eastAsia"/>
        </w:rPr>
        <w:t>。</w:t>
      </w:r>
    </w:p>
    <w:p>
      <w:pPr>
        <w:spacing w:before="65" w:after="120"/>
        <w:ind w:firstLine="640"/>
        <w:rPr>
          <w:rFonts w:ascii="Times New Roman" w:hAnsi="Times New Roman"/>
        </w:rPr>
      </w:pPr>
      <w:r>
        <w:rPr>
          <w:rFonts w:ascii="Times New Roman" w:hAnsi="Times New Roman"/>
        </w:rPr>
        <w:t>规划镇域电源来自</w:t>
      </w:r>
      <w:r>
        <w:rPr>
          <w:rFonts w:hint="eastAsia" w:ascii="Times New Roman" w:hAnsi="Times New Roman"/>
        </w:rPr>
        <w:t>规划</w:t>
      </w:r>
      <w:r>
        <w:rPr>
          <w:rFonts w:ascii="Times New Roman" w:hAnsi="Times New Roman"/>
        </w:rPr>
        <w:t>110千伏</w:t>
      </w:r>
      <w:r>
        <w:rPr>
          <w:rFonts w:hint="eastAsia" w:ascii="Times New Roman" w:hAnsi="Times New Roman"/>
        </w:rPr>
        <w:t>双庙</w:t>
      </w:r>
      <w:r>
        <w:rPr>
          <w:rFonts w:ascii="Times New Roman" w:hAnsi="Times New Roman"/>
        </w:rPr>
        <w:t>变</w:t>
      </w:r>
      <w:r>
        <w:rPr>
          <w:rFonts w:hint="eastAsia"/>
        </w:rPr>
        <w:t>。</w:t>
      </w:r>
      <w:r>
        <w:rPr>
          <w:rFonts w:ascii="Times New Roman" w:hAnsi="Times New Roman"/>
        </w:rPr>
        <w:t>规划保留现状35千伏</w:t>
      </w:r>
      <w:r>
        <w:rPr>
          <w:rFonts w:hint="eastAsia" w:ascii="Times New Roman" w:hAnsi="Times New Roman"/>
        </w:rPr>
        <w:t>夏馆</w:t>
      </w:r>
      <w:r>
        <w:rPr>
          <w:rFonts w:ascii="Times New Roman" w:hAnsi="Times New Roman"/>
        </w:rPr>
        <w:t>变，供电容量为10+5兆伏安；规划</w:t>
      </w:r>
      <w:r>
        <w:rPr>
          <w:rFonts w:hint="eastAsia" w:ascii="Times New Roman" w:hAnsi="Times New Roman"/>
        </w:rPr>
        <w:t>新建</w:t>
      </w:r>
      <w:r>
        <w:rPr>
          <w:rFonts w:ascii="Times New Roman" w:hAnsi="Times New Roman"/>
        </w:rPr>
        <w:t>35千伏</w:t>
      </w:r>
      <w:r>
        <w:rPr>
          <w:rFonts w:hint="eastAsia" w:ascii="Times New Roman" w:hAnsi="Times New Roman"/>
        </w:rPr>
        <w:t>葛条爬</w:t>
      </w:r>
      <w:r>
        <w:rPr>
          <w:rFonts w:ascii="Times New Roman" w:hAnsi="Times New Roman"/>
        </w:rPr>
        <w:t>变，供电容量为10+10兆伏安。</w:t>
      </w:r>
    </w:p>
    <w:p>
      <w:pPr>
        <w:spacing w:before="65"/>
        <w:ind w:firstLine="640"/>
      </w:pPr>
      <w:r>
        <w:rPr>
          <w:rFonts w:hint="eastAsia"/>
        </w:rPr>
        <w:t>依据《城市电力规划规范》（GB/T 50293-2014），220千伏高压线设置40-45米宽的高压走廊；110千伏高压线设置25-30米宽的高压走廊；35千伏高压线设置20-25米宽的高压走廊；高压走廊控制区内严禁各种开发建设活动。</w:t>
      </w:r>
    </w:p>
    <w:p>
      <w:pPr>
        <w:pStyle w:val="4"/>
        <w:spacing w:before="195" w:beforeLines="60" w:after="195" w:afterLines="60" w:line="240" w:lineRule="auto"/>
      </w:pPr>
      <w:r>
        <w:rPr>
          <w:rFonts w:hint="eastAsia"/>
        </w:rPr>
        <w:t>通信工程规划</w:t>
      </w:r>
    </w:p>
    <w:p>
      <w:pPr>
        <w:spacing w:before="65"/>
        <w:ind w:firstLine="640"/>
      </w:pPr>
      <w:r>
        <w:rPr>
          <w:rFonts w:hint="eastAsia"/>
        </w:rPr>
        <w:t>预测镇域固定电话总量为</w:t>
      </w:r>
      <w:r>
        <w:rPr>
          <w:rFonts w:ascii="Times New Roman" w:hAnsi="Times New Roman"/>
        </w:rPr>
        <w:t>0.69万线</w:t>
      </w:r>
      <w:r>
        <w:rPr>
          <w:rFonts w:hint="eastAsia"/>
        </w:rPr>
        <w:t>。</w:t>
      </w:r>
    </w:p>
    <w:p>
      <w:pPr>
        <w:spacing w:before="65"/>
        <w:ind w:firstLine="640"/>
      </w:pPr>
      <w:r>
        <w:rPr>
          <w:rFonts w:hint="eastAsia"/>
        </w:rPr>
        <w:t>积极采用高科技、新技术、新设备，建设完善大容量、高速率、广覆盖的集电信网、数据网及有线广播电视网三网合一的综合通信系统，并且数据传输光缆及电信管道统一规划、建设，适应城镇发展要求。</w:t>
      </w:r>
    </w:p>
    <w:p>
      <w:pPr>
        <w:spacing w:before="65"/>
        <w:ind w:firstLine="640"/>
      </w:pPr>
      <w:r>
        <w:rPr>
          <w:rFonts w:hint="eastAsia"/>
        </w:rPr>
        <w:t>升级完善和合理布局广电设施，提升广电网络功能，推广电视、广播的数字化、高清化和网络化，筹建大功率广播电视发射中心，继续推进“村村通”工程，到2035年实现全镇广播电视人口综合覆盖率100%。</w:t>
      </w:r>
    </w:p>
    <w:p>
      <w:pPr>
        <w:pStyle w:val="4"/>
        <w:spacing w:before="195" w:beforeLines="60" w:after="195" w:afterLines="60" w:line="240" w:lineRule="auto"/>
      </w:pPr>
      <w:r>
        <w:rPr>
          <w:rFonts w:hint="eastAsia"/>
        </w:rPr>
        <w:t>燃气工程规划</w:t>
      </w:r>
    </w:p>
    <w:p>
      <w:pPr>
        <w:spacing w:before="65"/>
        <w:ind w:firstLine="640"/>
      </w:pPr>
      <w:r>
        <w:rPr>
          <w:rFonts w:hint="eastAsia"/>
        </w:rPr>
        <w:t>预测镇域天然气总量为</w:t>
      </w:r>
      <w:r>
        <w:rPr>
          <w:rFonts w:ascii="Times New Roman" w:hAnsi="Times New Roman"/>
        </w:rPr>
        <w:t>98万立方米/年</w:t>
      </w:r>
      <w:r>
        <w:rPr>
          <w:rFonts w:hint="eastAsia"/>
        </w:rPr>
        <w:t>。</w:t>
      </w:r>
    </w:p>
    <w:p>
      <w:pPr>
        <w:spacing w:before="65"/>
        <w:ind w:firstLine="640"/>
      </w:pPr>
      <w:r>
        <w:rPr>
          <w:rFonts w:hint="eastAsia"/>
        </w:rPr>
        <w:t>规划气源接自西气东输三线。规划镇区敷设中压燃气管网，有条件的村庄引入天然气管道。</w:t>
      </w:r>
    </w:p>
    <w:p>
      <w:pPr>
        <w:pStyle w:val="4"/>
        <w:spacing w:before="195" w:beforeLines="60" w:after="195" w:afterLines="60" w:line="240" w:lineRule="auto"/>
      </w:pPr>
      <w:r>
        <w:rPr>
          <w:rFonts w:hint="eastAsia"/>
        </w:rPr>
        <w:t>热力工程规划</w:t>
      </w:r>
    </w:p>
    <w:p>
      <w:pPr>
        <w:spacing w:before="65"/>
        <w:ind w:firstLine="640"/>
      </w:pPr>
      <w:r>
        <w:rPr>
          <w:rFonts w:hint="eastAsia"/>
        </w:rPr>
        <w:t>规划镇区采用分区域集中供热模式，热源为空气源热泵；有条件的村庄可选用天然气等清洁能源分片区集中供热。</w:t>
      </w:r>
    </w:p>
    <w:p>
      <w:pPr>
        <w:pStyle w:val="4"/>
        <w:spacing w:before="195" w:beforeLines="60" w:after="195" w:afterLines="60" w:line="240" w:lineRule="auto"/>
      </w:pPr>
      <w:r>
        <w:rPr>
          <w:rFonts w:hint="eastAsia"/>
        </w:rPr>
        <w:t>环卫工程规划</w:t>
      </w:r>
    </w:p>
    <w:p>
      <w:pPr>
        <w:spacing w:before="65"/>
        <w:ind w:firstLine="640"/>
      </w:pPr>
      <w:r>
        <w:rPr>
          <w:rFonts w:hint="eastAsia"/>
        </w:rPr>
        <w:t>因此至</w:t>
      </w:r>
      <w:r>
        <w:t>2035年，规划预测全镇产生生活垃圾最高日产量为17.2吨/天</w:t>
      </w:r>
      <w:r>
        <w:rPr>
          <w:rFonts w:hint="eastAsia"/>
        </w:rPr>
        <w:t>。</w:t>
      </w:r>
    </w:p>
    <w:p>
      <w:pPr>
        <w:spacing w:before="65"/>
        <w:ind w:firstLine="640"/>
      </w:pPr>
      <w:r>
        <w:rPr>
          <w:rFonts w:hint="eastAsia"/>
        </w:rPr>
        <w:t>建立由垃圾收集点——生活垃圾转运站构成的垃圾收集转运系统。在镇区规划生活垃圾转运站，全镇生活垃圾通过垃圾收集点收集，经过垃圾转运站最终送至垃圾处理设施进行统一处理。</w:t>
      </w:r>
    </w:p>
    <w:p>
      <w:pPr>
        <w:pStyle w:val="3"/>
        <w:spacing w:before="326" w:beforeLines="100" w:after="326" w:afterLines="100"/>
      </w:pPr>
      <w:bookmarkStart w:id="84" w:name="_Toc183017798"/>
      <w:r>
        <w:rPr>
          <w:rFonts w:hint="eastAsia"/>
        </w:rPr>
        <w:t>公共服务设施规划</w:t>
      </w:r>
      <w:bookmarkEnd w:id="84"/>
    </w:p>
    <w:p>
      <w:pPr>
        <w:pStyle w:val="4"/>
        <w:spacing w:before="195" w:beforeLines="60" w:after="195" w:afterLines="60" w:line="240" w:lineRule="auto"/>
      </w:pPr>
      <w:bookmarkStart w:id="85" w:name="_Hlk200522761"/>
      <w:bookmarkStart w:id="86" w:name="_Toc183017799"/>
      <w:r>
        <w:t>教育设施</w:t>
      </w:r>
    </w:p>
    <w:p>
      <w:pPr>
        <w:spacing w:before="65"/>
        <w:ind w:firstLine="640"/>
      </w:pPr>
      <w:r>
        <w:rPr>
          <w:rFonts w:hint="eastAsia"/>
        </w:rPr>
        <w:t>保留镇域</w:t>
      </w:r>
      <w:r>
        <w:t>1所初中、5所小学（镇北中心小学、夏馆中心小学、吴岗中心小学、大栗坪中心小学、葛条爬中心小学）、3所幼儿园；规划农村小学逐步集中到镇区和中心村，幼儿园按照1所/3000-6000人布局，尽量结合中心村设置</w:t>
      </w:r>
      <w:r>
        <w:rPr>
          <w:rFonts w:hint="eastAsia"/>
        </w:rPr>
        <w:t>；根据生源和政策动态调整各行政村教学点。</w:t>
      </w:r>
    </w:p>
    <w:p>
      <w:pPr>
        <w:pStyle w:val="4"/>
        <w:spacing w:before="195" w:beforeLines="60" w:after="195" w:afterLines="60" w:line="240" w:lineRule="auto"/>
      </w:pPr>
      <w:r>
        <w:t>文化体育设施</w:t>
      </w:r>
    </w:p>
    <w:p>
      <w:pPr>
        <w:spacing w:before="65"/>
        <w:ind w:firstLine="640"/>
        <w:rPr>
          <w:rFonts w:ascii="仿宋_GB2312" w:hAnsi="仿宋_GB2312" w:cs="仿宋_GB2312"/>
        </w:rPr>
      </w:pPr>
      <w:r>
        <w:rPr>
          <w:rFonts w:hint="eastAsia"/>
        </w:rPr>
        <w:t>镇区规划文体中心</w:t>
      </w:r>
      <w:r>
        <w:t>1处。规划各村庄设置文化活动室和农家书屋各1处，宜集合党群服务中心设置。规划各村庄设置健身广场各1处，宜结合文化活动室，村庄广场设置</w:t>
      </w:r>
      <w:r>
        <w:rPr>
          <w:rFonts w:hint="eastAsia"/>
        </w:rPr>
        <w:t>。鼓励葛条爬村、湍源村等有民俗文化特色的村庄设置</w:t>
      </w:r>
      <w:r>
        <w:rPr>
          <w:rFonts w:hint="eastAsia" w:ascii="仿宋_GB2312" w:hAnsi="仿宋_GB2312" w:cs="仿宋_GB2312"/>
        </w:rPr>
        <w:t>特色民俗活动点，有条件的村庄</w:t>
      </w:r>
      <w:r>
        <w:rPr>
          <w:rFonts w:hint="eastAsia"/>
        </w:rPr>
        <w:t>可设置</w:t>
      </w:r>
      <w:r>
        <w:rPr>
          <w:rFonts w:hint="eastAsia" w:ascii="仿宋_GB2312" w:hAnsi="仿宋_GB2312" w:cs="仿宋_GB2312"/>
        </w:rPr>
        <w:t>红白喜事厅。</w:t>
      </w:r>
    </w:p>
    <w:p>
      <w:pPr>
        <w:pStyle w:val="4"/>
        <w:spacing w:before="195" w:beforeLines="60" w:after="195" w:afterLines="60" w:line="240" w:lineRule="auto"/>
      </w:pPr>
      <w:r>
        <w:t>医疗卫生设施</w:t>
      </w:r>
    </w:p>
    <w:p>
      <w:pPr>
        <w:spacing w:before="65"/>
        <w:ind w:firstLine="640"/>
      </w:pPr>
      <w:r>
        <w:rPr>
          <w:rFonts w:hint="eastAsia"/>
        </w:rPr>
        <w:t>提升乡镇基层医疗卫生设施服务水平，落实乡镇卫生院中医馆设置</w:t>
      </w:r>
      <w:r>
        <w:rPr>
          <w:rFonts w:hint="eastAsia" w:ascii="仿宋_GB2312" w:hAnsi="仿宋_GB2312" w:cs="仿宋_GB2312"/>
        </w:rPr>
        <w:t>，乡镇卫生院、村卫生室建设和服务能力全部达</w:t>
      </w:r>
      <w:r>
        <w:rPr>
          <w:rFonts w:hint="eastAsia"/>
        </w:rPr>
        <w:t>标等建设任务。完善乡镇基层医疗卫生设施配置。镇区扩建</w:t>
      </w:r>
      <w:r>
        <w:t>1处现状卫生院，床位数控制在200床以内</w:t>
      </w:r>
      <w:r>
        <w:rPr>
          <w:rFonts w:hint="eastAsia"/>
        </w:rPr>
        <w:t>。规划按照一村一室进行配置村级卫生室，每个村卫生室建设用地约</w:t>
      </w:r>
      <w:r>
        <w:t>1亩。对现有村庄卫</w:t>
      </w:r>
      <w:r>
        <w:rPr>
          <w:rFonts w:hint="eastAsia"/>
        </w:rPr>
        <w:t>生室进行提升，强化基层医疗作用，做到小病不出村。</w:t>
      </w:r>
    </w:p>
    <w:p>
      <w:pPr>
        <w:pStyle w:val="4"/>
        <w:spacing w:before="195" w:beforeLines="60" w:after="195" w:afterLines="60" w:line="240" w:lineRule="auto"/>
      </w:pPr>
      <w:r>
        <w:t>社会福利设施</w:t>
      </w:r>
    </w:p>
    <w:p>
      <w:pPr>
        <w:spacing w:before="65"/>
        <w:ind w:firstLine="640"/>
      </w:pPr>
      <w:r>
        <w:rPr>
          <w:rFonts w:hint="eastAsia"/>
        </w:rPr>
        <w:t>镇区保留现状</w:t>
      </w:r>
      <w:r>
        <w:t>3所敬老院、1所幸福大院，床位数控制在200床以内</w:t>
      </w:r>
      <w:r>
        <w:rPr>
          <w:rFonts w:hint="eastAsia"/>
        </w:rPr>
        <w:t>，提供老年人日托服务，包括餐饮、文娱、健身、医疗保健等。</w:t>
      </w:r>
      <w:bookmarkStart w:id="87" w:name="_Hlk200545963"/>
      <w:r>
        <w:rPr>
          <w:rFonts w:hint="eastAsia"/>
        </w:rPr>
        <w:t>其他村庄与村委会结合设置1</w:t>
      </w:r>
      <w:r>
        <w:t>2处</w:t>
      </w:r>
      <w:r>
        <w:rPr>
          <w:rFonts w:hint="eastAsia"/>
        </w:rPr>
        <w:t>居家养老服务站，提供居家养老相关服务</w:t>
      </w:r>
      <w:bookmarkEnd w:id="87"/>
      <w:r>
        <w:rPr>
          <w:rFonts w:hint="eastAsia"/>
        </w:rPr>
        <w:t>。</w:t>
      </w:r>
    </w:p>
    <w:p>
      <w:pPr>
        <w:pStyle w:val="4"/>
        <w:spacing w:before="195" w:beforeLines="60" w:after="195" w:afterLines="60" w:line="240" w:lineRule="auto"/>
      </w:pPr>
      <w:r>
        <w:t>商业服务设施</w:t>
      </w:r>
    </w:p>
    <w:p>
      <w:pPr>
        <w:spacing w:before="65"/>
        <w:ind w:firstLine="640"/>
      </w:pPr>
      <w:r>
        <w:rPr>
          <w:rFonts w:hint="eastAsia"/>
        </w:rPr>
        <w:t>延续镇区沿街底商的商业布局，将各类商业布局优化，将特色农产品、文旅产品等分类型进行分区布局，便于游客购物，保留镇区现状部分质量较好、商品丰富的商业服务设施。规划大栗坪村、葛条爬村、师家湾村建设小型农贸市场及小型百货超市，服务于周边村庄。</w:t>
      </w:r>
    </w:p>
    <w:p>
      <w:pPr>
        <w:pStyle w:val="4"/>
        <w:spacing w:before="195" w:beforeLines="60" w:after="195" w:afterLines="60" w:line="240" w:lineRule="auto"/>
      </w:pPr>
      <w:r>
        <w:t>殡葬设施</w:t>
      </w:r>
    </w:p>
    <w:p>
      <w:pPr>
        <w:spacing w:before="65"/>
        <w:ind w:firstLine="640"/>
      </w:pPr>
      <w:r>
        <w:rPr>
          <w:rFonts w:hint="eastAsia"/>
        </w:rPr>
        <w:t>规划在栗园村建设</w:t>
      </w:r>
      <w:r>
        <w:t>1处占地不少于50亩的公益性公墓。</w:t>
      </w:r>
    </w:p>
    <w:bookmarkEnd w:id="85"/>
    <w:p>
      <w:pPr>
        <w:pStyle w:val="3"/>
        <w:spacing w:before="326" w:beforeLines="100" w:after="326" w:afterLines="100"/>
      </w:pPr>
      <w:r>
        <w:rPr>
          <w:rFonts w:hint="eastAsia"/>
        </w:rPr>
        <w:t>防灾减灾规划</w:t>
      </w:r>
      <w:bookmarkEnd w:id="86"/>
    </w:p>
    <w:p>
      <w:pPr>
        <w:pStyle w:val="4"/>
        <w:spacing w:before="195" w:beforeLines="60" w:after="195" w:afterLines="60" w:line="240" w:lineRule="auto"/>
      </w:pPr>
      <w:r>
        <w:rPr>
          <w:rFonts w:hint="eastAsia"/>
        </w:rPr>
        <w:t>主要灾害防灾标准</w:t>
      </w:r>
    </w:p>
    <w:p>
      <w:pPr>
        <w:ind w:firstLine="640"/>
      </w:pPr>
      <w:r>
        <w:rPr>
          <w:rFonts w:hint="eastAsia"/>
        </w:rPr>
        <w:t>1</w:t>
      </w:r>
      <w:r>
        <w:t>.</w:t>
      </w:r>
      <w:r>
        <w:rPr>
          <w:rFonts w:hint="eastAsia"/>
        </w:rPr>
        <w:t>防洪标准</w:t>
      </w:r>
    </w:p>
    <w:p>
      <w:pPr>
        <w:ind w:firstLine="640"/>
      </w:pPr>
      <w:r>
        <w:rPr>
          <w:rFonts w:hint="eastAsia"/>
          <w:u w:val="single"/>
        </w:rPr>
        <w:t>夏馆镇镇区按</w:t>
      </w:r>
      <w:r>
        <w:rPr>
          <w:u w:val="single"/>
        </w:rPr>
        <w:t>20年一遇标准设防；</w:t>
      </w:r>
      <w:r>
        <w:rPr>
          <w:rFonts w:hint="eastAsia"/>
          <w:u w:val="single"/>
        </w:rPr>
        <w:t>乡村按照1</w:t>
      </w:r>
      <w:r>
        <w:rPr>
          <w:u w:val="single"/>
        </w:rPr>
        <w:t>0年一遇标准设防</w:t>
      </w:r>
      <w:r>
        <w:t>。</w:t>
      </w:r>
    </w:p>
    <w:p>
      <w:pPr>
        <w:ind w:firstLine="640"/>
      </w:pPr>
      <w:r>
        <w:rPr>
          <w:rFonts w:hint="eastAsia"/>
        </w:rPr>
        <w:t>2</w:t>
      </w:r>
      <w:r>
        <w:t>.</w:t>
      </w:r>
      <w:r>
        <w:rPr>
          <w:rFonts w:hint="eastAsia"/>
        </w:rPr>
        <w:t>排涝标准</w:t>
      </w:r>
    </w:p>
    <w:p>
      <w:pPr>
        <w:ind w:firstLine="640"/>
      </w:pPr>
      <w:r>
        <w:rPr>
          <w:rFonts w:hint="eastAsia"/>
          <w:u w:val="single"/>
        </w:rPr>
        <w:t>规划夏馆镇镇区内涝防治设计重现期为</w:t>
      </w:r>
      <w:r>
        <w:rPr>
          <w:u w:val="single"/>
        </w:rPr>
        <w:t>20年一遇</w:t>
      </w:r>
      <w:r>
        <w:t>，</w:t>
      </w:r>
      <w:r>
        <w:rPr>
          <w:rFonts w:hint="eastAsia"/>
        </w:rPr>
        <w:t>对超过内涝防治设计重现期的降雨，按照应急预案要求采取应急措施。</w:t>
      </w:r>
    </w:p>
    <w:p>
      <w:pPr>
        <w:ind w:firstLine="640"/>
      </w:pPr>
      <w:r>
        <w:rPr>
          <w:rFonts w:hint="eastAsia"/>
        </w:rPr>
        <w:t>3</w:t>
      </w:r>
      <w:r>
        <w:t>.</w:t>
      </w:r>
      <w:r>
        <w:rPr>
          <w:rFonts w:hint="eastAsia"/>
        </w:rPr>
        <w:t>抗震规划</w:t>
      </w:r>
    </w:p>
    <w:p>
      <w:pPr>
        <w:ind w:firstLine="640"/>
      </w:pPr>
      <w:r>
        <w:rPr>
          <w:rFonts w:hint="eastAsia"/>
          <w:u w:val="single"/>
        </w:rPr>
        <w:t>夏馆镇镇区地震烈度为</w:t>
      </w:r>
      <w:r>
        <w:rPr>
          <w:u w:val="single"/>
        </w:rPr>
        <w:t>7度，新建、扩建、改建建设工程应按7度进行抗震设防，重要建筑和生命线工程应按8度标准加强抗震措施</w:t>
      </w:r>
      <w:r>
        <w:t>。重大建设工程、可能产生严重次生灾害的建设工程应当进行地震安全性评价，并根据安全性评价报告确定抗震设防措施。学校、医院等人员密集场所应当按照高于7度标准加强抗震措施。</w:t>
      </w:r>
    </w:p>
    <w:p>
      <w:pPr>
        <w:pStyle w:val="4"/>
        <w:spacing w:before="195" w:beforeLines="60" w:after="195" w:afterLines="60" w:line="240" w:lineRule="auto"/>
      </w:pPr>
      <w:r>
        <w:rPr>
          <w:rFonts w:hint="eastAsia"/>
        </w:rPr>
        <w:t>构建防灾安全空间格局</w:t>
      </w:r>
    </w:p>
    <w:p>
      <w:pPr>
        <w:spacing w:before="65"/>
        <w:ind w:firstLine="640"/>
      </w:pPr>
      <w:r>
        <w:rPr>
          <w:rFonts w:hint="eastAsia"/>
        </w:rPr>
        <w:t>结合全镇主要交通干线，网上镇域救灾感到体系，与全县共同构建县-</w:t>
      </w:r>
      <w:r>
        <w:t>镇（乡）-村</w:t>
      </w:r>
      <w:r>
        <w:rPr>
          <w:rFonts w:hint="eastAsia"/>
        </w:rPr>
        <w:t>三</w:t>
      </w:r>
      <w:r>
        <w:t>级防灾设施体系。</w:t>
      </w:r>
      <w:r>
        <w:rPr>
          <w:rFonts w:hint="eastAsia"/>
        </w:rPr>
        <w:t>镇域境内，国道G</w:t>
      </w:r>
      <w:r>
        <w:t>241</w:t>
      </w:r>
      <w:r>
        <w:rPr>
          <w:rFonts w:hint="eastAsia"/>
        </w:rPr>
        <w:t>、省道</w:t>
      </w:r>
      <w:r>
        <w:t>S249</w:t>
      </w:r>
      <w:r>
        <w:rPr>
          <w:rFonts w:hint="eastAsia"/>
        </w:rPr>
        <w:t>、省道</w:t>
      </w:r>
      <w:r>
        <w:t>S243</w:t>
      </w:r>
      <w:r>
        <w:rPr>
          <w:rFonts w:hint="eastAsia"/>
        </w:rPr>
        <w:t>为全县的快速救援通道，疏散主要道路为县道</w:t>
      </w:r>
      <w:r>
        <w:t>X003、X038</w:t>
      </w:r>
      <w:r>
        <w:rPr>
          <w:rFonts w:hint="eastAsia"/>
        </w:rPr>
        <w:t>、疏散次干道为乡道</w:t>
      </w:r>
      <w:r>
        <w:t>Y003、Y004、Y008、Y031和Y034</w:t>
      </w:r>
      <w:r>
        <w:rPr>
          <w:rFonts w:hint="eastAsia"/>
        </w:rPr>
        <w:t>等组成，规划强化救灾干道防灾性能，</w:t>
      </w:r>
      <w:r>
        <w:t>加强疏散通道沿线地区地质灾害和山洪灾害的工程治理。</w:t>
      </w:r>
    </w:p>
    <w:p>
      <w:pPr>
        <w:pStyle w:val="4"/>
        <w:spacing w:before="195" w:beforeLines="60" w:after="195" w:afterLines="60" w:line="240" w:lineRule="auto"/>
      </w:pPr>
      <w:r>
        <w:rPr>
          <w:rFonts w:hint="eastAsia"/>
        </w:rPr>
        <w:t>重大防灾设施配置</w:t>
      </w:r>
    </w:p>
    <w:p>
      <w:pPr>
        <w:ind w:firstLine="640"/>
      </w:pPr>
      <w:r>
        <w:rPr>
          <w:rFonts w:hint="eastAsia"/>
        </w:rPr>
        <w:t>1</w:t>
      </w:r>
      <w:r>
        <w:t>.应急指挥设施体系</w:t>
      </w:r>
    </w:p>
    <w:p>
      <w:pPr>
        <w:ind w:firstLine="640"/>
      </w:pPr>
      <w:r>
        <w:rPr>
          <w:rFonts w:hint="eastAsia"/>
        </w:rPr>
        <w:t>设置</w:t>
      </w:r>
      <w:r>
        <w:t>镇（乡）-村</w:t>
      </w:r>
      <w:r>
        <w:rPr>
          <w:rFonts w:hint="eastAsia"/>
        </w:rPr>
        <w:t>两</w:t>
      </w:r>
      <w:r>
        <w:t>级防灾应急指挥系统，</w:t>
      </w:r>
      <w:r>
        <w:rPr>
          <w:rFonts w:hint="eastAsia"/>
        </w:rPr>
        <w:t>镇区</w:t>
      </w:r>
      <w:r>
        <w:t>设置应急指挥中心1处，位于</w:t>
      </w:r>
      <w:r>
        <w:rPr>
          <w:rFonts w:hint="eastAsia"/>
        </w:rPr>
        <w:t>夏馆镇</w:t>
      </w:r>
      <w:r>
        <w:t>人民政府，村综合防灾应急指挥中心</w:t>
      </w:r>
      <w:r>
        <w:rPr>
          <w:rFonts w:hint="eastAsia"/>
        </w:rPr>
        <w:t>设在各村</w:t>
      </w:r>
      <w:r>
        <w:t>村委会。</w:t>
      </w:r>
    </w:p>
    <w:p>
      <w:pPr>
        <w:ind w:firstLine="640"/>
      </w:pPr>
      <w:r>
        <w:rPr>
          <w:rFonts w:hint="eastAsia"/>
        </w:rPr>
        <w:t>2</w:t>
      </w:r>
      <w:r>
        <w:t>.应急救灾物资储备设施</w:t>
      </w:r>
    </w:p>
    <w:p>
      <w:pPr>
        <w:ind w:firstLine="640"/>
      </w:pPr>
      <w:r>
        <w:rPr>
          <w:rFonts w:hint="eastAsia"/>
        </w:rPr>
        <w:t>镇区设置救灾物资储备库，并配置装卸设备、技防设备、物资保管维护设备、交通工具（应急调度车、救灾物资转运车）与通讯调度设备等。</w:t>
      </w:r>
    </w:p>
    <w:p>
      <w:pPr>
        <w:ind w:firstLine="640"/>
      </w:pPr>
      <w:r>
        <w:rPr>
          <w:rFonts w:hint="eastAsia"/>
        </w:rPr>
        <w:t>3</w:t>
      </w:r>
      <w:r>
        <w:t>.提升应急医疗服务能力</w:t>
      </w:r>
    </w:p>
    <w:p>
      <w:pPr>
        <w:ind w:firstLine="640"/>
      </w:pPr>
      <w:r>
        <w:rPr>
          <w:rFonts w:hint="eastAsia"/>
        </w:rPr>
        <w:t>镇区依托卫生院设置乡镇级应急医疗设施，各村分别规划设置</w:t>
      </w:r>
      <w:r>
        <w:t>1处</w:t>
      </w:r>
      <w:r>
        <w:rPr>
          <w:rFonts w:hint="eastAsia"/>
        </w:rPr>
        <w:t>村</w:t>
      </w:r>
      <w:r>
        <w:t>级应急医疗设施。</w:t>
      </w:r>
    </w:p>
    <w:p>
      <w:pPr>
        <w:ind w:firstLine="640"/>
      </w:pPr>
      <w:r>
        <w:rPr>
          <w:rFonts w:hint="eastAsia"/>
        </w:rPr>
        <w:t>4</w:t>
      </w:r>
      <w:r>
        <w:t>.消防设施</w:t>
      </w:r>
    </w:p>
    <w:p>
      <w:pPr>
        <w:ind w:firstLine="640"/>
      </w:pPr>
      <w:bookmarkStart w:id="88" w:name="OLE_LINK1"/>
      <w:bookmarkStart w:id="89" w:name="_Hlk200546082"/>
      <w:r>
        <w:rPr>
          <w:rFonts w:hint="eastAsia"/>
          <w:u w:val="single"/>
        </w:rPr>
        <w:t>在镇区设置</w:t>
      </w:r>
      <w:r>
        <w:rPr>
          <w:u w:val="single"/>
        </w:rPr>
        <w:t>1处一级乡镇专职消防队</w:t>
      </w:r>
      <w:r>
        <w:t>，按一级乡镇专职消防队要求配各人员及相关设施，服从内乡县消防系统的指挥和调遣</w:t>
      </w:r>
      <w:bookmarkEnd w:id="88"/>
      <w:bookmarkEnd w:id="89"/>
      <w:r>
        <w:t>。</w:t>
      </w:r>
    </w:p>
    <w:p>
      <w:pPr>
        <w:pStyle w:val="4"/>
        <w:spacing w:before="195" w:beforeLines="60" w:after="195" w:afterLines="60" w:line="240" w:lineRule="auto"/>
      </w:pPr>
      <w:r>
        <w:rPr>
          <w:rFonts w:hint="eastAsia"/>
        </w:rPr>
        <w:t>防治措施</w:t>
      </w:r>
    </w:p>
    <w:p>
      <w:pPr>
        <w:ind w:firstLine="640"/>
      </w:pPr>
      <w:r>
        <w:t>1.</w:t>
      </w:r>
      <w:r>
        <w:rPr>
          <w:rFonts w:hint="eastAsia"/>
        </w:rPr>
        <w:t>防洪排涝规划措施</w:t>
      </w:r>
    </w:p>
    <w:p>
      <w:pPr>
        <w:spacing w:before="65"/>
        <w:ind w:firstLine="640"/>
      </w:pPr>
      <w:r>
        <w:t>防洪措施</w:t>
      </w:r>
      <w:r>
        <w:rPr>
          <w:rFonts w:hint="eastAsia"/>
        </w:rPr>
        <w:t>：疏浚行洪河道，提高河道堤防标准，加强河道绿化防护带建设；沿山体设置截洪沟，截洪沟及冲沟应按规划有计划、有步骤地进行治理；建立洪水预警预报系统，防洪决策支持系统，制定超标洪水应急措施。</w:t>
      </w:r>
    </w:p>
    <w:p>
      <w:pPr>
        <w:spacing w:before="65"/>
        <w:ind w:firstLine="640"/>
      </w:pPr>
      <w:r>
        <w:t>防涝措施</w:t>
      </w:r>
      <w:r>
        <w:rPr>
          <w:rFonts w:hint="eastAsia"/>
        </w:rPr>
        <w:t>：完善镇区雨水管网及排涝设施建设，采取改造原排水河道、改造旧排水管网、增建新管网、实施雨污分流以及污水集中处理和回用等措施；利用公园绿地、低洼地区及周边农田建设调蓄空间。</w:t>
      </w:r>
    </w:p>
    <w:p>
      <w:pPr>
        <w:ind w:firstLine="640"/>
      </w:pPr>
      <w:r>
        <w:rPr>
          <w:rFonts w:hint="eastAsia"/>
        </w:rPr>
        <w:t>2</w:t>
      </w:r>
      <w:r>
        <w:t>.抗震灾害防治</w:t>
      </w:r>
    </w:p>
    <w:p>
      <w:pPr>
        <w:spacing w:before="65"/>
        <w:ind w:firstLine="640"/>
      </w:pPr>
      <w:r>
        <w:rPr>
          <w:rFonts w:hint="eastAsia"/>
        </w:rPr>
        <w:t>（1）</w:t>
      </w:r>
      <w:r>
        <w:t>避震疏散场地</w:t>
      </w:r>
    </w:p>
    <w:p>
      <w:pPr>
        <w:spacing w:before="65"/>
        <w:ind w:firstLine="640"/>
      </w:pPr>
      <w:r>
        <w:rPr>
          <w:rFonts w:hint="eastAsia"/>
        </w:rPr>
        <w:t>利用公园、绿地、广场、体育场、停车场、学校操场等开敞空间设置人员避震疏散场地，固定避难场所人均有效避难面积不小于</w:t>
      </w:r>
      <w:r>
        <w:t>2.0平方米。</w:t>
      </w:r>
    </w:p>
    <w:p>
      <w:pPr>
        <w:spacing w:before="65"/>
        <w:ind w:firstLine="640"/>
      </w:pPr>
      <w:r>
        <w:rPr>
          <w:rFonts w:hint="eastAsia"/>
        </w:rPr>
        <w:t>（2）</w:t>
      </w:r>
      <w:r>
        <w:t>疏散救援通道</w:t>
      </w:r>
    </w:p>
    <w:p>
      <w:pPr>
        <w:spacing w:before="65"/>
        <w:ind w:firstLine="640"/>
      </w:pPr>
      <w:r>
        <w:rPr>
          <w:rFonts w:hint="eastAsia"/>
        </w:rPr>
        <w:t>以高速公路、国道、省道、县道作为一级疏散通道，保证震后有效宽度不小于</w:t>
      </w:r>
      <w:r>
        <w:t>15米；规划主干路作为二级疏散通道，保证震后有效宽度不小于7米；规划次干路作为三级疏散通道，保证震后有效宽度不小于4米。应严格控制抗震救灾疏散通道两侧的建筑高度及建筑后退红线距离。</w:t>
      </w:r>
    </w:p>
    <w:p>
      <w:pPr>
        <w:spacing w:before="65"/>
        <w:ind w:firstLine="640"/>
      </w:pPr>
      <w:r>
        <w:rPr>
          <w:rFonts w:hint="eastAsia"/>
        </w:rPr>
        <w:t>（3）</w:t>
      </w:r>
      <w:r>
        <w:t>抗震生命线系统</w:t>
      </w:r>
    </w:p>
    <w:p>
      <w:pPr>
        <w:spacing w:before="65"/>
        <w:ind w:firstLine="640"/>
      </w:pPr>
      <w:r>
        <w:rPr>
          <w:rFonts w:hint="eastAsia"/>
        </w:rPr>
        <w:t>城市生命线系统规划提高一度按</w:t>
      </w:r>
      <w:r>
        <w:t>8度标准设防，并采取设施地下化、对节点进行防灾处理及提高备用率等防灾措施，同时各生命线系统都要建立应急抢险队伍，提高生命线系统工程的防灾能力。</w:t>
      </w:r>
    </w:p>
    <w:p>
      <w:pPr>
        <w:ind w:firstLine="640"/>
      </w:pPr>
      <w:r>
        <w:rPr>
          <w:rFonts w:hint="eastAsia"/>
        </w:rPr>
        <w:t>3</w:t>
      </w:r>
      <w:r>
        <w:t>.地质灾害防治规划</w:t>
      </w:r>
    </w:p>
    <w:p>
      <w:pPr>
        <w:spacing w:before="65"/>
        <w:ind w:firstLine="640"/>
      </w:pPr>
      <w:r>
        <w:rPr>
          <w:rFonts w:hint="eastAsia"/>
        </w:rPr>
        <w:t>（1）</w:t>
      </w:r>
      <w:r>
        <w:t>监测预警</w:t>
      </w:r>
    </w:p>
    <w:p>
      <w:pPr>
        <w:spacing w:before="65"/>
        <w:ind w:firstLine="640"/>
      </w:pPr>
      <w:r>
        <w:rPr>
          <w:rFonts w:hint="eastAsia"/>
        </w:rPr>
        <w:t>建设地质灾害监测预警体系，建立地质灾害群测群防预警网络及重点地区地质灾害隐患点的专业监测预报网络，建设全镇地质灾害空间数据库及信息系统。</w:t>
      </w:r>
    </w:p>
    <w:p>
      <w:pPr>
        <w:spacing w:before="65"/>
        <w:ind w:firstLine="640"/>
      </w:pPr>
      <w:r>
        <w:rPr>
          <w:rFonts w:hint="eastAsia"/>
        </w:rPr>
        <w:t>（2）</w:t>
      </w:r>
      <w:r>
        <w:t>工程治理</w:t>
      </w:r>
    </w:p>
    <w:p>
      <w:pPr>
        <w:spacing w:before="65"/>
        <w:ind w:firstLine="640"/>
      </w:pPr>
      <w:r>
        <w:rPr>
          <w:rFonts w:hint="eastAsia"/>
        </w:rPr>
        <w:t>对危害公共安全、可能造成人员群死群伤和较大财产损失的、避让搬迁选址困难但易于工程治理的地质灾害隐患点，依据轻重缓急，有计划地分期、分批实施地质灾害治理工程。对于山洪易发地区，加强水土流失治理，极大限度减少泥石流灾害的发生。</w:t>
      </w:r>
    </w:p>
    <w:p>
      <w:pPr>
        <w:spacing w:before="65"/>
        <w:ind w:firstLine="640"/>
      </w:pPr>
      <w:r>
        <w:rPr>
          <w:rFonts w:hint="eastAsia"/>
        </w:rPr>
        <w:t>（3）</w:t>
      </w:r>
      <w:r>
        <w:t>避让搬迁</w:t>
      </w:r>
    </w:p>
    <w:p>
      <w:pPr>
        <w:spacing w:before="65"/>
        <w:ind w:firstLine="640"/>
      </w:pPr>
      <w:r>
        <w:rPr>
          <w:rFonts w:hint="eastAsia"/>
        </w:rPr>
        <w:t>对突发地质灾害高风险区内的居民，主动采取搬迁措施，避让地质灾害。</w:t>
      </w:r>
    </w:p>
    <w:p>
      <w:pPr>
        <w:spacing w:before="65"/>
        <w:ind w:firstLine="640"/>
      </w:pPr>
      <w:r>
        <w:rPr>
          <w:rFonts w:hint="eastAsia"/>
        </w:rPr>
        <w:t>（4）</w:t>
      </w:r>
      <w:r>
        <w:t>宣传培训</w:t>
      </w:r>
    </w:p>
    <w:p>
      <w:pPr>
        <w:spacing w:before="65"/>
        <w:ind w:firstLine="640"/>
      </w:pPr>
      <w:r>
        <w:rPr>
          <w:rFonts w:hint="eastAsia"/>
        </w:rPr>
        <w:t>对各村组级开展群测群防知识培训；每年对全镇地质灾害管理及技术人员进行年度地质灾害防治知识培训。</w:t>
      </w:r>
    </w:p>
    <w:p>
      <w:pPr>
        <w:ind w:firstLine="640"/>
      </w:pPr>
      <w:r>
        <w:rPr>
          <w:rFonts w:hint="eastAsia"/>
        </w:rPr>
        <w:t>4</w:t>
      </w:r>
      <w:r>
        <w:t>.突发公共卫生事件防御规划</w:t>
      </w:r>
    </w:p>
    <w:p>
      <w:pPr>
        <w:spacing w:before="65"/>
        <w:ind w:firstLine="640"/>
      </w:pPr>
      <w:r>
        <w:rPr>
          <w:rFonts w:hint="eastAsia"/>
        </w:rPr>
        <w:t>结合内乡县医疗卫生机构，构建突发公共卫生事件日常监测体系，以处理各类突发公共卫生事件信息分析。与内乡县共同构建县</w:t>
      </w:r>
      <w:r>
        <w:t>-镇-村三级公共卫生事件疫情预警与指挥体系，依托药店、车站、学校、社区、机关企事业单位等设施作为公共卫生事件的监测哨点，全面提升疫情监测预警能力。</w:t>
      </w:r>
    </w:p>
    <w:p>
      <w:pPr>
        <w:ind w:firstLine="640"/>
      </w:pPr>
      <w:r>
        <w:rPr>
          <w:rFonts w:hint="eastAsia"/>
        </w:rPr>
        <w:t>5</w:t>
      </w:r>
      <w:r>
        <w:t>.气象灾害防御规划</w:t>
      </w:r>
    </w:p>
    <w:p>
      <w:pPr>
        <w:spacing w:before="65"/>
        <w:ind w:firstLine="640"/>
      </w:pPr>
      <w:r>
        <w:t>加强气象灾害预警应急体系建设。加快现场气象应急保障系统建设，提高应急处置的能力和效率。</w:t>
      </w:r>
    </w:p>
    <w:p>
      <w:pPr>
        <w:ind w:firstLine="640"/>
      </w:pPr>
      <w:r>
        <w:rPr>
          <w:rFonts w:hint="eastAsia"/>
        </w:rPr>
        <w:t>6</w:t>
      </w:r>
      <w:r>
        <w:t>.消防规划</w:t>
      </w:r>
    </w:p>
    <w:p>
      <w:pPr>
        <w:spacing w:before="65"/>
        <w:ind w:firstLine="640"/>
      </w:pPr>
      <w:r>
        <w:rPr>
          <w:rFonts w:hint="eastAsia"/>
        </w:rPr>
        <w:t>提高消防站建筑物的抗灾能力；在重点保护目标内部或者附近设置消防水池或者取水平台；增强消防供水泵站、消防供水管道、消火栓等消防设施的抗震性能；设置应急疏散道路时应充分考虑消防救灾同行的需求。</w:t>
      </w:r>
    </w:p>
    <w:p>
      <w:pPr>
        <w:spacing w:before="65"/>
        <w:ind w:firstLine="640"/>
      </w:pPr>
      <w:r>
        <w:br w:type="page"/>
      </w:r>
    </w:p>
    <w:p>
      <w:pPr>
        <w:spacing w:before="65"/>
        <w:ind w:firstLine="640"/>
      </w:pPr>
    </w:p>
    <w:p>
      <w:pPr>
        <w:pStyle w:val="2"/>
        <w:spacing w:before="489" w:beforeLines="150" w:after="489" w:afterLines="150"/>
      </w:pPr>
      <w:bookmarkStart w:id="90" w:name="_Toc183017800"/>
      <w:bookmarkStart w:id="91" w:name="_Toc221006226"/>
      <w:bookmarkStart w:id="92" w:name="_Toc211259328"/>
      <w:r>
        <w:t>历史文化与景观风貌规划</w:t>
      </w:r>
      <w:bookmarkEnd w:id="90"/>
      <w:bookmarkEnd w:id="91"/>
      <w:bookmarkEnd w:id="92"/>
    </w:p>
    <w:p>
      <w:pPr>
        <w:pStyle w:val="3"/>
        <w:spacing w:before="326" w:beforeLines="100" w:after="326" w:afterLines="100"/>
      </w:pPr>
      <w:bookmarkStart w:id="93" w:name="_Toc183017801"/>
      <w:r>
        <w:rPr>
          <w:rFonts w:hint="eastAsia"/>
        </w:rPr>
        <w:t>历史文化保护传承</w:t>
      </w:r>
      <w:bookmarkEnd w:id="93"/>
    </w:p>
    <w:p>
      <w:pPr>
        <w:pStyle w:val="4"/>
        <w:spacing w:before="195" w:beforeLines="60" w:after="195" w:afterLines="60" w:line="240" w:lineRule="auto"/>
      </w:pPr>
      <w:r>
        <w:rPr>
          <w:rFonts w:hint="eastAsia"/>
        </w:rPr>
        <w:t>镇域历史文化遗存</w:t>
      </w:r>
    </w:p>
    <w:p>
      <w:pPr>
        <w:spacing w:before="65"/>
        <w:ind w:firstLine="640"/>
      </w:pPr>
      <w:r>
        <w:rPr>
          <w:rFonts w:hint="eastAsia"/>
        </w:rPr>
        <w:t>夏馆镇历史文化资源包括不可移动文物和非物质文化遗产；</w:t>
      </w:r>
      <w:r>
        <w:rPr>
          <w:rFonts w:hint="eastAsia"/>
          <w:u w:val="single"/>
        </w:rPr>
        <w:t>镇域内现存不可移动文物</w:t>
      </w:r>
      <w:r>
        <w:rPr>
          <w:u w:val="single"/>
        </w:rPr>
        <w:t>27</w:t>
      </w:r>
      <w:r>
        <w:rPr>
          <w:rFonts w:hint="eastAsia"/>
          <w:u w:val="single"/>
        </w:rPr>
        <w:t>处，其中</w:t>
      </w:r>
      <w:r>
        <w:rPr>
          <w:u w:val="single"/>
        </w:rPr>
        <w:t>5</w:t>
      </w:r>
      <w:r>
        <w:rPr>
          <w:rFonts w:hint="eastAsia"/>
          <w:u w:val="single"/>
        </w:rPr>
        <w:t>处县级文物保护单位、</w:t>
      </w:r>
      <w:r>
        <w:rPr>
          <w:u w:val="single"/>
        </w:rPr>
        <w:t>22</w:t>
      </w:r>
      <w:r>
        <w:rPr>
          <w:rFonts w:hint="eastAsia"/>
          <w:u w:val="single"/>
        </w:rPr>
        <w:t>处未定级文物</w:t>
      </w:r>
      <w:r>
        <w:rPr>
          <w:rFonts w:hint="eastAsia"/>
        </w:rPr>
        <w:t>；非物质文化遗产包括县级非物质文化遗产庙会和民间习俗等</w:t>
      </w:r>
      <w:r>
        <w:t>等。历史文化资源详见附表6</w:t>
      </w:r>
      <w:r>
        <w:rPr>
          <w:rFonts w:hint="eastAsia"/>
        </w:rPr>
        <w:t>。</w:t>
      </w:r>
    </w:p>
    <w:p>
      <w:pPr>
        <w:pStyle w:val="4"/>
        <w:spacing w:before="195" w:beforeLines="60" w:after="195" w:afterLines="60" w:line="240" w:lineRule="auto"/>
      </w:pPr>
      <w:r>
        <w:rPr>
          <w:rFonts w:hint="eastAsia"/>
        </w:rPr>
        <w:t>镇域历史文化保护规划</w:t>
      </w:r>
    </w:p>
    <w:p>
      <w:pPr>
        <w:spacing w:before="65"/>
        <w:ind w:firstLine="640"/>
        <w:rPr>
          <w:rFonts w:hAnsi="Times New Roman"/>
          <w:u w:val="single"/>
          <w:lang w:bidi="ar"/>
        </w:rPr>
      </w:pPr>
      <w:r>
        <w:rPr>
          <w:rFonts w:hint="eastAsia" w:hAnsi="Times New Roman"/>
          <w:u w:val="single"/>
          <w:lang w:bidi="ar"/>
        </w:rPr>
        <w:t>文物保护单位的保护范围和建设控制地带应以县级以上人民政府公布的具体界线为基本依据。</w:t>
      </w:r>
    </w:p>
    <w:p>
      <w:pPr>
        <w:spacing w:before="65"/>
        <w:ind w:firstLine="640"/>
        <w:rPr>
          <w:rFonts w:hAnsi="Times New Roman"/>
          <w:u w:val="single"/>
          <w:lang w:bidi="ar"/>
        </w:rPr>
      </w:pPr>
      <w:r>
        <w:rPr>
          <w:rFonts w:hint="eastAsia" w:hAnsi="Times New Roman"/>
          <w:u w:val="single"/>
          <w:lang w:bidi="ar"/>
        </w:rPr>
        <w:t>在文物保护单位的保护范围和建设控制地带内，不得建设污染文物保护单位及其环境的设施，不得进行可能影响文物保护单位安全及其环境的活动。对已有的污染文物保护单位及其环境的设施，应当限期治理。</w:t>
      </w:r>
    </w:p>
    <w:p>
      <w:pPr>
        <w:spacing w:before="65"/>
        <w:ind w:firstLine="640"/>
      </w:pPr>
      <w:r>
        <w:rPr>
          <w:rFonts w:hint="eastAsia" w:hAnsi="Times New Roman"/>
          <w:u w:val="single"/>
          <w:lang w:bidi="ar"/>
        </w:rPr>
        <w:t>各级文物保护单位应严格按照《中华人民共和国文物保护法》的有关规定，以及文物主管部门公布的保护范围和建设控制地带严格保护</w:t>
      </w:r>
      <w:r>
        <w:rPr>
          <w:rFonts w:hint="eastAsia"/>
        </w:rPr>
        <w:t>。</w:t>
      </w:r>
    </w:p>
    <w:p>
      <w:pPr>
        <w:pStyle w:val="4"/>
        <w:spacing w:before="195" w:beforeLines="60" w:after="195" w:afterLines="60" w:line="240" w:lineRule="auto"/>
      </w:pPr>
      <w:r>
        <w:rPr>
          <w:rFonts w:hint="eastAsia"/>
        </w:rPr>
        <w:t>历史文化传承与活化利用</w:t>
      </w:r>
    </w:p>
    <w:p>
      <w:pPr>
        <w:spacing w:before="65"/>
        <w:ind w:firstLine="640"/>
      </w:pPr>
      <w:r>
        <w:rPr>
          <w:rFonts w:hint="eastAsia"/>
        </w:rPr>
        <w:t>将宝天曼景区做为全镇生态文化旅游的重点地区，积极开发生态文化旅游产品和旅游线路。以自然山水为本底，引入观光度假、休闲娱乐等业态，打造高标准生态休闲旅游区；进一步挖掘文化资源，对现有文化资源进行整合，举办一些精品文化活动、文化节庆等；实施文化产业赋能乡村振兴行动，以文化产业激活乡村振兴，打造以大块地村、黄龙村、湍源村特色村庄和非物质文化遗产为主的休闲体验项目。</w:t>
      </w:r>
    </w:p>
    <w:p>
      <w:pPr>
        <w:spacing w:before="65"/>
        <w:ind w:firstLine="640"/>
      </w:pPr>
      <w:bookmarkStart w:id="94" w:name="_Hlk181976124"/>
      <w:r>
        <w:rPr>
          <w:rFonts w:hint="eastAsia"/>
        </w:rPr>
        <w:t>加大历史文化资源的挖掘保护弘扬力度，保护恐龙化石分布区域，保护不可移动文物本体及其所处的环境，根据文化旅游的需要，加强不可移动文物景观环境的塑造，提升历史文化及景观资源的综合价值。缝合文化资源碎片空间，建构文化展示体系，塑造富有魅力的文化空间节点</w:t>
      </w:r>
      <w:bookmarkEnd w:id="94"/>
      <w:r>
        <w:rPr>
          <w:rFonts w:hint="eastAsia"/>
        </w:rPr>
        <w:t>。</w:t>
      </w:r>
    </w:p>
    <w:p>
      <w:pPr>
        <w:pStyle w:val="3"/>
        <w:spacing w:before="326" w:beforeLines="100" w:after="326" w:afterLines="100"/>
      </w:pPr>
      <w:bookmarkStart w:id="95" w:name="_Toc183017802"/>
      <w:r>
        <w:rPr>
          <w:rFonts w:hint="eastAsia"/>
        </w:rPr>
        <w:t>乡村景观风貌管控</w:t>
      </w:r>
      <w:bookmarkEnd w:id="95"/>
    </w:p>
    <w:p>
      <w:pPr>
        <w:pStyle w:val="4"/>
        <w:spacing w:before="195" w:beforeLines="60" w:after="195" w:afterLines="60" w:line="240" w:lineRule="auto"/>
      </w:pPr>
      <w:r>
        <w:rPr>
          <w:rFonts w:hint="eastAsia"/>
        </w:rPr>
        <w:t>乡村风貌总体定位</w:t>
      </w:r>
    </w:p>
    <w:p>
      <w:pPr>
        <w:spacing w:before="65" w:after="120"/>
        <w:ind w:firstLine="640"/>
      </w:pPr>
      <w:r>
        <w:rPr>
          <w:rFonts w:hint="eastAsia"/>
        </w:rPr>
        <w:t>依据夏馆镇整体地形地势及发展现状，将夏馆镇乡村风貌定位为：豫西南深山生态小镇风貌。提升乡村地区的时代特征和乡村气息，注重村庄布局和山水景观、农田景观的协调，避免破坏乡村原有的形态格局，充分体现乡村风光。</w:t>
      </w:r>
    </w:p>
    <w:p>
      <w:pPr>
        <w:pStyle w:val="4"/>
        <w:spacing w:before="195" w:beforeLines="60" w:after="195" w:afterLines="60" w:line="240" w:lineRule="auto"/>
      </w:pPr>
      <w:r>
        <w:rPr>
          <w:rFonts w:hint="eastAsia"/>
        </w:rPr>
        <w:t>乡村风貌总体框架</w:t>
      </w:r>
    </w:p>
    <w:p>
      <w:pPr>
        <w:spacing w:before="65"/>
        <w:ind w:firstLine="640"/>
      </w:pPr>
      <w:r>
        <w:rPr>
          <w:rFonts w:hint="eastAsia"/>
        </w:rPr>
        <w:t>依托夏馆镇本底自然生态环境，结合文化景观资源，构建“两轴四带两核一心多点一面山”的全域景观风貌系统。</w:t>
      </w:r>
    </w:p>
    <w:p>
      <w:pPr>
        <w:spacing w:before="65"/>
        <w:ind w:firstLine="640"/>
      </w:pPr>
      <w:r>
        <w:rPr>
          <w:rFonts w:hint="eastAsia"/>
        </w:rPr>
        <w:t>四轴：沿</w:t>
      </w:r>
      <w:r>
        <w:t>G241形成的东西向乡村景观风貌轴，沿X038、S243形成的南北向乡村景观风貌轴。</w:t>
      </w:r>
    </w:p>
    <w:p>
      <w:pPr>
        <w:spacing w:before="65"/>
        <w:ind w:firstLine="640"/>
      </w:pPr>
      <w:r>
        <w:rPr>
          <w:rFonts w:hint="eastAsia"/>
        </w:rPr>
        <w:t>四带：湍河、夏馆河、鱼道河、栗坪河景观带。</w:t>
      </w:r>
    </w:p>
    <w:p>
      <w:pPr>
        <w:spacing w:before="65"/>
        <w:ind w:firstLine="640"/>
      </w:pPr>
      <w:r>
        <w:rPr>
          <w:rFonts w:hint="eastAsia"/>
        </w:rPr>
        <w:t>两核：景观核心，分别为夏馆镇区、葛条爬村。</w:t>
      </w:r>
    </w:p>
    <w:p>
      <w:pPr>
        <w:spacing w:before="65"/>
        <w:ind w:firstLine="640"/>
      </w:pPr>
      <w:r>
        <w:rPr>
          <w:rFonts w:hint="eastAsia"/>
        </w:rPr>
        <w:t>一心：宝天曼漂流水库生态节点。</w:t>
      </w:r>
    </w:p>
    <w:p>
      <w:pPr>
        <w:spacing w:before="65"/>
        <w:ind w:firstLine="640"/>
      </w:pPr>
      <w:r>
        <w:rPr>
          <w:rFonts w:hint="eastAsia"/>
        </w:rPr>
        <w:t>多点：各村庄景观节点。</w:t>
      </w:r>
    </w:p>
    <w:p>
      <w:pPr>
        <w:spacing w:before="65"/>
        <w:ind w:firstLine="640"/>
      </w:pPr>
      <w:r>
        <w:rPr>
          <w:rFonts w:hint="eastAsia"/>
        </w:rPr>
        <w:t>一面山：沿伏牛山形成的山体景观风貌带</w:t>
      </w:r>
      <w:r>
        <w:t>。</w:t>
      </w:r>
    </w:p>
    <w:p>
      <w:pPr>
        <w:pStyle w:val="4"/>
        <w:spacing w:before="195" w:beforeLines="60" w:after="195" w:afterLines="60" w:line="240" w:lineRule="auto"/>
      </w:pPr>
      <w:r>
        <w:rPr>
          <w:rFonts w:hint="eastAsia"/>
        </w:rPr>
        <w:t>乡村风貌分区引导</w:t>
      </w:r>
    </w:p>
    <w:p>
      <w:pPr>
        <w:spacing w:before="65"/>
        <w:ind w:firstLine="640"/>
      </w:pPr>
      <w:r>
        <w:rPr>
          <w:rFonts w:hint="eastAsia"/>
        </w:rPr>
        <w:t>依据地貌特征、社会经济发展状况，将夏馆镇划分为深山风貌区、农田景观风貌区三大类，营造富有特色的“山水路林村”相协调的山水景观格局；展示各区景观面貌，更好地发挥指导城乡建设作用，推进乡村净化、绿化、美化，并针对不同类型的风貌片区进一步提出符合当地特色的建设指引。</w:t>
      </w:r>
    </w:p>
    <w:p>
      <w:pPr>
        <w:spacing w:before="65"/>
        <w:ind w:firstLine="640"/>
      </w:pPr>
      <w:r>
        <w:rPr>
          <w:rFonts w:hint="eastAsia"/>
        </w:rPr>
        <w:t>深山风貌区：主要为北部山区村庄，包括湍源村、大块地村、牧珠流村、葛条爬村、小湍河村、芦家坪村、万沟村；该区域延续山水格局和乡村田园风貌，在空间尺度和建筑风貌等体现地方特色。鼓励种植体现本土特色的植物，凸显田园特色风貌，村庄建筑采用本土民居建筑风格，控制建筑高度，强化建筑色彩与建筑材质的管控，彰显特色乡韵。</w:t>
      </w:r>
    </w:p>
    <w:p>
      <w:pPr>
        <w:spacing w:before="65"/>
        <w:ind w:firstLine="640"/>
      </w:pPr>
      <w:r>
        <w:rPr>
          <w:rFonts w:hint="eastAsia"/>
        </w:rPr>
        <w:t>农田景观风貌区：主要为南部丘陵地区村庄，包括大庄沟村、青杠树村、大栗坪村、小栗坪村、四台沟村、黄龙村、黄靳村、夏馆村、吴岗村、西河堂村、栗园村、师家湾村；该区域主要体现田园风光，注重农田景观的连续性和大地景观的营造，凸显田乡风貌。</w:t>
      </w:r>
    </w:p>
    <w:p>
      <w:pPr>
        <w:pStyle w:val="4"/>
        <w:spacing w:before="195" w:beforeLines="60" w:after="195" w:afterLines="60" w:line="240" w:lineRule="auto"/>
      </w:pPr>
      <w:r>
        <w:rPr>
          <w:rFonts w:hint="eastAsia"/>
        </w:rPr>
        <w:t>乡村特色风貌引导</w:t>
      </w:r>
    </w:p>
    <w:p>
      <w:pPr>
        <w:spacing w:before="65"/>
        <w:ind w:firstLine="640"/>
      </w:pPr>
      <w:r>
        <w:rPr>
          <w:rFonts w:hint="eastAsia"/>
        </w:rPr>
        <w:t>伏牛山前村庄应随山应势，在空间尺度与建筑风貌等方面体现地方特色，控制大规模生产生活设施建设，注重村庄形态与山体地形的协调，新建建筑应延续村落肌理，风貌与周边环境及现有村落协调统一。建筑色彩上采用“黑、白、灰”三种颜色搭配，达到朴素而简洁的外观效果，突出传统的雅致风韵，使建筑色调融入自然环境。</w:t>
      </w:r>
    </w:p>
    <w:p>
      <w:pPr>
        <w:spacing w:before="65"/>
        <w:ind w:firstLine="640"/>
      </w:pPr>
      <w:r>
        <w:br w:type="page"/>
      </w:r>
    </w:p>
    <w:p>
      <w:pPr>
        <w:spacing w:before="65"/>
        <w:ind w:firstLine="640"/>
      </w:pPr>
    </w:p>
    <w:p>
      <w:pPr>
        <w:pStyle w:val="2"/>
        <w:spacing w:before="489" w:beforeLines="150" w:after="489" w:afterLines="150"/>
      </w:pPr>
      <w:bookmarkStart w:id="96" w:name="_Toc211259329"/>
      <w:bookmarkStart w:id="97" w:name="_Toc221006227"/>
      <w:bookmarkStart w:id="98" w:name="_Toc183017806"/>
      <w:r>
        <w:rPr>
          <w:rFonts w:hint="eastAsia"/>
        </w:rPr>
        <w:t>乡镇政府驻地规划</w:t>
      </w:r>
      <w:bookmarkEnd w:id="96"/>
      <w:bookmarkEnd w:id="97"/>
      <w:bookmarkEnd w:id="98"/>
    </w:p>
    <w:p>
      <w:pPr>
        <w:pStyle w:val="3"/>
        <w:spacing w:before="326" w:beforeLines="100" w:after="326" w:afterLines="100"/>
      </w:pPr>
      <w:bookmarkStart w:id="99" w:name="_Toc183017807"/>
      <w:r>
        <w:rPr>
          <w:rFonts w:hint="eastAsia"/>
        </w:rPr>
        <w:t>发展规模、发展方向</w:t>
      </w:r>
      <w:bookmarkEnd w:id="99"/>
    </w:p>
    <w:p>
      <w:pPr>
        <w:pStyle w:val="4"/>
        <w:spacing w:before="195" w:beforeLines="60" w:after="195" w:afterLines="60" w:line="240" w:lineRule="auto"/>
      </w:pPr>
      <w:bookmarkStart w:id="100" w:name="_Hlk206682324"/>
      <w:r>
        <w:rPr>
          <w:rFonts w:hint="eastAsia"/>
        </w:rPr>
        <w:t>发展规模</w:t>
      </w:r>
    </w:p>
    <w:p>
      <w:pPr>
        <w:pStyle w:val="5"/>
        <w:ind w:firstLine="640"/>
      </w:pPr>
      <w:r>
        <w:rPr>
          <w:rFonts w:hint="eastAsia"/>
        </w:rPr>
        <w:t>人口规模</w:t>
      </w:r>
    </w:p>
    <w:p>
      <w:pPr>
        <w:spacing w:before="65"/>
        <w:ind w:firstLine="640"/>
      </w:pPr>
      <w:r>
        <w:rPr>
          <w:rFonts w:hint="eastAsia"/>
        </w:rPr>
        <w:t>规划镇区人口规模为0</w:t>
      </w:r>
      <w:r>
        <w:t>.9</w:t>
      </w:r>
      <w:r>
        <w:rPr>
          <w:rFonts w:hint="eastAsia"/>
        </w:rPr>
        <w:t>万人。</w:t>
      </w:r>
    </w:p>
    <w:p>
      <w:pPr>
        <w:pStyle w:val="5"/>
        <w:ind w:firstLine="640"/>
      </w:pPr>
      <w:r>
        <w:rPr>
          <w:rFonts w:hint="eastAsia"/>
        </w:rPr>
        <w:t>城镇建设用地规模</w:t>
      </w:r>
    </w:p>
    <w:p>
      <w:pPr>
        <w:spacing w:before="65"/>
        <w:ind w:firstLine="640"/>
      </w:pPr>
      <w:r>
        <w:t>规划城镇建设用地规模为75.92公顷。</w:t>
      </w:r>
    </w:p>
    <w:bookmarkEnd w:id="100"/>
    <w:p>
      <w:pPr>
        <w:pStyle w:val="3"/>
        <w:spacing w:before="326" w:beforeLines="100" w:after="326" w:afterLines="100"/>
      </w:pPr>
      <w:bookmarkStart w:id="101" w:name="_Toc183017808"/>
      <w:r>
        <w:rPr>
          <w:rFonts w:hint="eastAsia"/>
        </w:rPr>
        <w:t>用地布局</w:t>
      </w:r>
      <w:bookmarkEnd w:id="101"/>
    </w:p>
    <w:p>
      <w:pPr>
        <w:pStyle w:val="4"/>
        <w:spacing w:before="195" w:beforeLines="60" w:after="195" w:afterLines="60" w:line="240" w:lineRule="auto"/>
      </w:pPr>
      <w:r>
        <w:rPr>
          <w:rFonts w:hint="eastAsia"/>
        </w:rPr>
        <w:t>规划空间结构</w:t>
      </w:r>
    </w:p>
    <w:p>
      <w:pPr>
        <w:spacing w:before="65"/>
        <w:ind w:firstLine="640"/>
      </w:pPr>
      <w:r>
        <w:rPr>
          <w:rFonts w:hint="eastAsia"/>
        </w:rPr>
        <w:t>基于夏馆镇滨河的现状，结合镇区内部景观架构，构建符合自然山水特征与发展需要的城镇总体空间形态与格局，确定夏馆镇镇区空间形态框架为“一轴一廊，一心两区”</w:t>
      </w:r>
    </w:p>
    <w:p>
      <w:pPr>
        <w:spacing w:before="65"/>
        <w:ind w:firstLine="640"/>
      </w:pPr>
      <w:r>
        <w:rPr>
          <w:rFonts w:hint="eastAsia"/>
        </w:rPr>
        <w:t>“一轴”为依托凤鸣街形成的现代城镇风貌轴。</w:t>
      </w:r>
    </w:p>
    <w:p>
      <w:pPr>
        <w:spacing w:before="65"/>
        <w:ind w:firstLine="640"/>
      </w:pPr>
      <w:r>
        <w:rPr>
          <w:rFonts w:hint="eastAsia"/>
        </w:rPr>
        <w:t>“一廊”为沿西侧夏馆河形成的景观绿廊。</w:t>
      </w:r>
    </w:p>
    <w:p>
      <w:pPr>
        <w:spacing w:before="65"/>
        <w:ind w:firstLine="640"/>
      </w:pPr>
      <w:r>
        <w:rPr>
          <w:rFonts w:hint="eastAsia"/>
        </w:rPr>
        <w:t>“一心”指以镇政府形成的城镇特色中心。</w:t>
      </w:r>
    </w:p>
    <w:p>
      <w:pPr>
        <w:spacing w:before="65"/>
        <w:ind w:firstLine="640"/>
      </w:pPr>
      <w:r>
        <w:rPr>
          <w:rFonts w:hint="eastAsia"/>
        </w:rPr>
        <w:t>“两区”是依据镇区特色划分的公共服务片区、传统居住区。</w:t>
      </w:r>
    </w:p>
    <w:p>
      <w:pPr>
        <w:pStyle w:val="4"/>
        <w:spacing w:before="195" w:beforeLines="60" w:after="195" w:afterLines="60" w:line="240" w:lineRule="auto"/>
      </w:pPr>
      <w:r>
        <w:rPr>
          <w:rFonts w:hint="eastAsia"/>
        </w:rPr>
        <w:t>用地布局</w:t>
      </w:r>
    </w:p>
    <w:p>
      <w:pPr>
        <w:spacing w:before="65"/>
        <w:ind w:firstLine="640"/>
      </w:pPr>
      <w:r>
        <w:rPr>
          <w:rFonts w:hint="eastAsia"/>
        </w:rPr>
        <w:t>优化镇区用地结构，完善用地功能布局。推进镇区空间高质量发展，科学配置公共资源，统筹安排镇区建设、产业发展、基础设施和公共服务，优化完善镇区功能。</w:t>
      </w:r>
    </w:p>
    <w:p>
      <w:pPr>
        <w:spacing w:before="65"/>
        <w:ind w:firstLine="640"/>
      </w:pPr>
      <w:r>
        <w:rPr>
          <w:rFonts w:hint="eastAsia"/>
        </w:rPr>
        <w:t>合理配置居住用地。统筹居住用地供给和人口发展，适度增加城镇居住用地供给。规划城镇住宅用地</w:t>
      </w:r>
      <w:r>
        <w:t>48.06公顷，人均居住用地面积为53.10平方米，占镇区建设用地面积的57.63%。</w:t>
      </w:r>
    </w:p>
    <w:p>
      <w:pPr>
        <w:spacing w:before="65"/>
        <w:ind w:firstLine="640"/>
      </w:pPr>
      <w:r>
        <w:rPr>
          <w:rFonts w:hint="eastAsia"/>
        </w:rPr>
        <w:t>统筹公共管理与服务设施用地。提升公共服务能力，促进公共资源相对集中布局，补充完善镇区公共服务设施。规划公共管理与服务设施用地</w:t>
      </w:r>
      <w:r>
        <w:t>9.75公顷，占镇区建设用地面积的11.69%。</w:t>
      </w:r>
    </w:p>
    <w:p>
      <w:pPr>
        <w:spacing w:before="65"/>
        <w:ind w:firstLine="640"/>
      </w:pPr>
      <w:r>
        <w:rPr>
          <w:rFonts w:hint="eastAsia"/>
        </w:rPr>
        <w:t>合理安排商业服务业用地。促进商业高品质发展，提升镇区活力。规划商业服务业用地</w:t>
      </w:r>
      <w:r>
        <w:t>11.60公顷，占镇区建设用地面积的13.91 %。</w:t>
      </w:r>
    </w:p>
    <w:p>
      <w:pPr>
        <w:spacing w:before="65"/>
        <w:ind w:firstLine="640"/>
      </w:pPr>
      <w:r>
        <w:rPr>
          <w:rFonts w:hint="eastAsia"/>
        </w:rPr>
        <w:t>增加绿地与开敞空间。规划绿地与开敞空间用地</w:t>
      </w:r>
      <w:r>
        <w:t>0.92公顷，占镇区建设用地面积的1.11%。其中，公园绿地0.61公顷，人均公园绿地面积0.67平方米。</w:t>
      </w:r>
    </w:p>
    <w:p>
      <w:pPr>
        <w:spacing w:before="65"/>
        <w:ind w:firstLine="640"/>
      </w:pPr>
      <w:r>
        <w:rPr>
          <w:rFonts w:hint="eastAsia"/>
        </w:rPr>
        <w:t>规划工矿用地</w:t>
      </w:r>
      <w:r>
        <w:t>2.40公顷，占镇区建设用地面积的2.87%。</w:t>
      </w:r>
    </w:p>
    <w:p>
      <w:pPr>
        <w:spacing w:before="65"/>
        <w:ind w:firstLine="640"/>
      </w:pPr>
      <w:r>
        <w:rPr>
          <w:rFonts w:hint="eastAsia"/>
        </w:rPr>
        <w:t>规划交通运输用地</w:t>
      </w:r>
      <w:r>
        <w:t>9.34公顷，占镇区建设用地面积的11.20%。</w:t>
      </w:r>
    </w:p>
    <w:p>
      <w:pPr>
        <w:spacing w:before="65"/>
        <w:ind w:firstLine="640"/>
      </w:pPr>
      <w:r>
        <w:rPr>
          <w:rFonts w:hint="eastAsia"/>
        </w:rPr>
        <w:t>规划公用设施用地</w:t>
      </w:r>
      <w:r>
        <w:t>0.44公顷，占镇区建设用地面积的0.53%。</w:t>
      </w:r>
    </w:p>
    <w:p>
      <w:pPr>
        <w:spacing w:before="65"/>
        <w:ind w:firstLine="640"/>
      </w:pPr>
      <w:r>
        <w:rPr>
          <w:rFonts w:hint="eastAsia"/>
        </w:rPr>
        <w:t>规划特殊用地</w:t>
      </w:r>
      <w:r>
        <w:t>0.09公顷，占镇区建设用地面积的0.11%。</w:t>
      </w:r>
    </w:p>
    <w:p>
      <w:pPr>
        <w:spacing w:before="65"/>
        <w:ind w:firstLine="640"/>
      </w:pPr>
      <w:r>
        <w:rPr>
          <w:rFonts w:hint="eastAsia"/>
        </w:rPr>
        <w:t>规划留白用地</w:t>
      </w:r>
      <w:r>
        <w:t>0.79公顷，占镇区建设用地面积的0.95%。</w:t>
      </w:r>
    </w:p>
    <w:p>
      <w:pPr>
        <w:pStyle w:val="3"/>
        <w:spacing w:before="326" w:beforeLines="100" w:after="326" w:afterLines="100"/>
      </w:pPr>
      <w:bookmarkStart w:id="102" w:name="_Toc183017809"/>
      <w:r>
        <w:t>公共服务设施</w:t>
      </w:r>
      <w:r>
        <w:rPr>
          <w:rFonts w:hint="eastAsia"/>
        </w:rPr>
        <w:t>规划</w:t>
      </w:r>
      <w:bookmarkEnd w:id="102"/>
    </w:p>
    <w:p>
      <w:pPr>
        <w:pStyle w:val="4"/>
        <w:spacing w:before="195" w:beforeLines="60" w:after="195" w:afterLines="60" w:line="240" w:lineRule="auto"/>
      </w:pPr>
      <w:r>
        <w:t>公共管理与公共服务设施</w:t>
      </w:r>
    </w:p>
    <w:p>
      <w:pPr>
        <w:spacing w:before="65"/>
        <w:ind w:firstLine="640"/>
      </w:pPr>
      <w:r>
        <w:rPr>
          <w:rFonts w:hint="eastAsia"/>
          <w:lang w:bidi="ar"/>
        </w:rPr>
        <w:t>规划镇区公共服务设施用地规模为</w:t>
      </w:r>
      <w:r>
        <w:rPr>
          <w:lang w:bidi="ar"/>
        </w:rPr>
        <w:t>9.75公顷，占镇区建设用地面积的11.69%</w:t>
      </w:r>
      <w:r>
        <w:rPr>
          <w:rFonts w:hint="eastAsia"/>
        </w:rPr>
        <w:t>。</w:t>
      </w:r>
    </w:p>
    <w:p>
      <w:pPr>
        <w:ind w:firstLine="640"/>
      </w:pPr>
      <w:r>
        <w:rPr>
          <w:rFonts w:hint="eastAsia"/>
        </w:rPr>
        <w:t>1</w:t>
      </w:r>
      <w:r>
        <w:t>.</w:t>
      </w:r>
      <w:r>
        <w:rPr>
          <w:rFonts w:hint="eastAsia"/>
        </w:rPr>
        <w:t>机关团体用地规划</w:t>
      </w:r>
    </w:p>
    <w:p>
      <w:pPr>
        <w:ind w:firstLine="640"/>
      </w:pPr>
      <w:bookmarkStart w:id="103" w:name="_Hlk200566683"/>
      <w:r>
        <w:rPr>
          <w:rFonts w:hint="eastAsia"/>
          <w:lang w:bidi="ar"/>
        </w:rPr>
        <w:t>规划机关团体用地面积为用地面积为</w:t>
      </w:r>
      <w:r>
        <w:rPr>
          <w:lang w:bidi="ar"/>
        </w:rPr>
        <w:t>2.77公顷，占镇区建设用地面积的3.33%，主要为</w:t>
      </w:r>
      <w:r>
        <w:rPr>
          <w:rFonts w:hint="eastAsia"/>
          <w:lang w:bidi="ar"/>
        </w:rPr>
        <w:t>镇政府、夏馆村委会、派出所、财政所</w:t>
      </w:r>
      <w:r>
        <w:rPr>
          <w:lang w:bidi="ar"/>
        </w:rPr>
        <w:t>等</w:t>
      </w:r>
      <w:bookmarkEnd w:id="103"/>
      <w:r>
        <w:rPr>
          <w:rFonts w:hint="eastAsia"/>
        </w:rPr>
        <w:t>。</w:t>
      </w:r>
    </w:p>
    <w:p>
      <w:pPr>
        <w:ind w:firstLine="640"/>
      </w:pPr>
      <w:r>
        <w:rPr>
          <w:rFonts w:hint="eastAsia"/>
        </w:rPr>
        <w:t>2</w:t>
      </w:r>
      <w:r>
        <w:t>.</w:t>
      </w:r>
      <w:r>
        <w:rPr>
          <w:rFonts w:hint="eastAsia"/>
        </w:rPr>
        <w:t>文化设施用地规划</w:t>
      </w:r>
    </w:p>
    <w:p>
      <w:pPr>
        <w:ind w:firstLine="640"/>
        <w:rPr>
          <w:lang w:bidi="ar"/>
        </w:rPr>
      </w:pPr>
      <w:r>
        <w:rPr>
          <w:rFonts w:hint="eastAsia"/>
          <w:lang w:bidi="ar"/>
        </w:rPr>
        <w:t>保留现状镇区文化中心，并扩大规模，用地面积为</w:t>
      </w:r>
      <w:r>
        <w:rPr>
          <w:lang w:bidi="ar"/>
        </w:rPr>
        <w:t>0.59公顷，占镇区建设用地面积的0.70%，满足全镇大型文化体育活动需求；人均文化设施用地面积为0.65平方米。</w:t>
      </w:r>
    </w:p>
    <w:p>
      <w:pPr>
        <w:ind w:firstLine="640"/>
      </w:pPr>
      <w:r>
        <w:rPr>
          <w:rFonts w:hint="eastAsia"/>
          <w:lang w:bidi="ar"/>
        </w:rPr>
        <w:t>结合社区布局社区级文化设施，配建</w:t>
      </w:r>
      <w:r>
        <w:rPr>
          <w:lang w:bidi="ar"/>
        </w:rPr>
        <w:t>2处社区级文化活动站。文化活动站依据相关标准配置图书阅览室、科技普法、教育培训等文化设施，并设置专门针对老人、儿童及青少年活动的文化设施</w:t>
      </w:r>
      <w:r>
        <w:rPr>
          <w:rFonts w:hint="eastAsia"/>
        </w:rPr>
        <w:t>。</w:t>
      </w:r>
    </w:p>
    <w:p>
      <w:pPr>
        <w:ind w:firstLine="640"/>
      </w:pPr>
      <w:r>
        <w:rPr>
          <w:rFonts w:hint="eastAsia"/>
        </w:rPr>
        <w:t>3</w:t>
      </w:r>
      <w:r>
        <w:t>.体育用地</w:t>
      </w:r>
    </w:p>
    <w:p>
      <w:pPr>
        <w:ind w:firstLine="640"/>
      </w:pPr>
      <w:r>
        <w:rPr>
          <w:rFonts w:hint="eastAsia"/>
        </w:rPr>
        <w:t>在镇区中部空闲地新建一处体育用地，为全镇的体育中心，用地面积为</w:t>
      </w:r>
      <w:bookmarkStart w:id="104" w:name="_Hlk200566709"/>
      <w:r>
        <w:t>1.14公顷，占镇区建设用地面积的1.37%</w:t>
      </w:r>
      <w:bookmarkEnd w:id="104"/>
      <w:r>
        <w:t>，满足全镇大型体育活动需求，人均文化设施用地面积为</w:t>
      </w:r>
      <w:bookmarkStart w:id="105" w:name="_Hlk200566717"/>
      <w:r>
        <w:t>1.26</w:t>
      </w:r>
      <w:bookmarkEnd w:id="105"/>
      <w:r>
        <w:t>平方米。结合绿地及街头广场建设小型体育设施，方便居民就近使用。</w:t>
      </w:r>
    </w:p>
    <w:p>
      <w:pPr>
        <w:ind w:firstLine="640"/>
      </w:pPr>
      <w:r>
        <w:rPr>
          <w:rFonts w:hint="eastAsia"/>
        </w:rPr>
        <w:t>4</w:t>
      </w:r>
      <w:r>
        <w:t>.</w:t>
      </w:r>
      <w:r>
        <w:rPr>
          <w:rFonts w:hint="eastAsia"/>
        </w:rPr>
        <w:t>教育用地规划</w:t>
      </w:r>
    </w:p>
    <w:p>
      <w:pPr>
        <w:ind w:firstLine="640"/>
        <w:rPr>
          <w:lang w:bidi="ar"/>
        </w:rPr>
      </w:pPr>
      <w:r>
        <w:rPr>
          <w:rFonts w:hint="eastAsia"/>
          <w:lang w:bidi="ar"/>
        </w:rPr>
        <w:t>规划教育用地主要为保留现状夏馆镇初级中学、中心小学、幼儿园，满足镇区需求；用地面积为</w:t>
      </w:r>
      <w:bookmarkStart w:id="106" w:name="_Hlk200566733"/>
      <w:r>
        <w:rPr>
          <w:lang w:bidi="ar"/>
        </w:rPr>
        <w:t>4.22公顷，占镇区建设用地面积的5.06%，人均教育用地面积4.67平方米</w:t>
      </w:r>
      <w:bookmarkEnd w:id="106"/>
      <w:r>
        <w:rPr>
          <w:lang w:bidi="ar"/>
        </w:rPr>
        <w:t>。</w:t>
      </w:r>
    </w:p>
    <w:p>
      <w:pPr>
        <w:ind w:firstLine="640"/>
        <w:rPr>
          <w:lang w:bidi="ar"/>
        </w:rPr>
      </w:pPr>
      <w:r>
        <w:rPr>
          <w:rFonts w:hint="eastAsia"/>
          <w:lang w:bidi="ar"/>
        </w:rPr>
        <w:t>规划保留现状夏馆镇初级中学，规模为</w:t>
      </w:r>
      <w:r>
        <w:rPr>
          <w:lang w:bidi="ar"/>
        </w:rPr>
        <w:t>27班，可以满足全镇居民的中学就学需求。保留现状1处中心小学，规模为24班，满足镇域居民镇区就学的需求。规划保留镇区3所幼儿园，规模分别为4班、7班和9班，满足镇区幼儿就学需求。</w:t>
      </w:r>
    </w:p>
    <w:p>
      <w:pPr>
        <w:ind w:firstLine="640"/>
      </w:pPr>
      <w:r>
        <w:rPr>
          <w:rFonts w:hint="eastAsia"/>
        </w:rPr>
        <w:t>5</w:t>
      </w:r>
      <w:r>
        <w:t>.</w:t>
      </w:r>
      <w:r>
        <w:rPr>
          <w:rFonts w:hint="eastAsia"/>
        </w:rPr>
        <w:t>医疗卫生用地规划</w:t>
      </w:r>
    </w:p>
    <w:p>
      <w:pPr>
        <w:ind w:firstLine="640"/>
        <w:rPr>
          <w:lang w:bidi="ar"/>
        </w:rPr>
      </w:pPr>
      <w:bookmarkStart w:id="107" w:name="_Hlk200566757"/>
      <w:r>
        <w:rPr>
          <w:rFonts w:hint="eastAsia"/>
          <w:lang w:bidi="ar"/>
        </w:rPr>
        <w:t>规划医疗卫生用地主要为镇区北侧的现状卫生院，用地面积为</w:t>
      </w:r>
      <w:r>
        <w:rPr>
          <w:lang w:bidi="ar"/>
        </w:rPr>
        <w:t>0.88公顷，占镇区建设用地面积的1.06%，床位数为200床，人均医疗卫生用地面积0.98平方米</w:t>
      </w:r>
      <w:bookmarkEnd w:id="107"/>
      <w:r>
        <w:rPr>
          <w:lang w:bidi="ar"/>
        </w:rPr>
        <w:t>。</w:t>
      </w:r>
    </w:p>
    <w:p>
      <w:pPr>
        <w:ind w:firstLine="640"/>
      </w:pPr>
      <w:r>
        <w:rPr>
          <w:rFonts w:hint="eastAsia"/>
          <w:lang w:bidi="ar"/>
        </w:rPr>
        <w:t>各社区按照相关标准配建社区医疗卫生服务站，按照相关标准配置社区卫生服务站等医疗卫生设施，方便社区居民的日常使用</w:t>
      </w:r>
      <w:r>
        <w:rPr>
          <w:lang w:bidi="ar"/>
        </w:rPr>
        <w:t>。</w:t>
      </w:r>
    </w:p>
    <w:p>
      <w:pPr>
        <w:ind w:firstLine="640"/>
      </w:pPr>
      <w:r>
        <w:rPr>
          <w:rFonts w:hint="eastAsia"/>
        </w:rPr>
        <w:t>6</w:t>
      </w:r>
      <w:r>
        <w:t>.</w:t>
      </w:r>
      <w:r>
        <w:rPr>
          <w:rFonts w:hint="eastAsia"/>
        </w:rPr>
        <w:t>社会福利用地规划</w:t>
      </w:r>
    </w:p>
    <w:p>
      <w:pPr>
        <w:ind w:firstLine="640"/>
        <w:rPr>
          <w:lang w:bidi="ar"/>
        </w:rPr>
      </w:pPr>
      <w:r>
        <w:rPr>
          <w:rFonts w:hint="eastAsia"/>
          <w:lang w:bidi="ar"/>
        </w:rPr>
        <w:t>保留镇区现状</w:t>
      </w:r>
      <w:r>
        <w:rPr>
          <w:lang w:bidi="ar"/>
        </w:rPr>
        <w:t>1处中心敬老院，用地面积为0.14公顷，占镇区建设用地面积的0.17%，人均社会福利用地面积0.15平方米。</w:t>
      </w:r>
    </w:p>
    <w:p>
      <w:pPr>
        <w:ind w:firstLine="640"/>
      </w:pPr>
      <w:r>
        <w:rPr>
          <w:rFonts w:hint="eastAsia"/>
          <w:lang w:bidi="ar"/>
        </w:rPr>
        <w:t>结合社区建设适当建设专业化的养老护理机构，在有条件的基层社区建设托老所、老年活动室等老年活动设施。</w:t>
      </w:r>
    </w:p>
    <w:p>
      <w:pPr>
        <w:pStyle w:val="3"/>
        <w:spacing w:before="326" w:beforeLines="100" w:after="326" w:afterLines="100"/>
      </w:pPr>
      <w:bookmarkStart w:id="108" w:name="_Toc183017810"/>
      <w:r>
        <w:rPr>
          <w:rFonts w:hint="eastAsia"/>
        </w:rPr>
        <w:t>住房建设与引导</w:t>
      </w:r>
      <w:bookmarkEnd w:id="108"/>
    </w:p>
    <w:p>
      <w:pPr>
        <w:pStyle w:val="4"/>
        <w:spacing w:before="195" w:beforeLines="60" w:after="195" w:afterLines="60" w:line="240" w:lineRule="auto"/>
      </w:pPr>
      <w:r>
        <w:rPr>
          <w:rFonts w:hint="eastAsia"/>
        </w:rPr>
        <w:t>居住用地规划</w:t>
      </w:r>
    </w:p>
    <w:p>
      <w:pPr>
        <w:spacing w:before="65"/>
        <w:ind w:firstLine="640"/>
      </w:pPr>
      <w:bookmarkStart w:id="109" w:name="_Hlk200566783"/>
      <w:r>
        <w:rPr>
          <w:rFonts w:hint="eastAsia"/>
        </w:rPr>
        <w:t>规划至</w:t>
      </w:r>
      <w:r>
        <w:t>2035年，居住用地面积为48.06公顷，占镇区建设用地面积的57.63 %，人均居住用地面积为53.10平方米</w:t>
      </w:r>
      <w:bookmarkEnd w:id="109"/>
      <w:r>
        <w:rPr>
          <w:rFonts w:hint="eastAsia"/>
        </w:rPr>
        <w:t>。</w:t>
      </w:r>
    </w:p>
    <w:p>
      <w:pPr>
        <w:pStyle w:val="4"/>
        <w:spacing w:before="195" w:beforeLines="60" w:after="195" w:afterLines="60" w:line="240" w:lineRule="auto"/>
      </w:pPr>
      <w:r>
        <w:rPr>
          <w:rFonts w:hint="eastAsia"/>
        </w:rPr>
        <w:t>住房保障规划</w:t>
      </w:r>
    </w:p>
    <w:p>
      <w:pPr>
        <w:spacing w:before="65"/>
        <w:ind w:firstLine="640"/>
      </w:pPr>
      <w:r>
        <w:rPr>
          <w:rFonts w:hint="eastAsia"/>
        </w:rPr>
        <w:t>住宅建设规划宜采取保留、更新改造、拆迁置换和新区建设等多种方式。规划保留镇区内现有的建筑质量较高、居住环境较好、配套服务设施齐全、规划布局较为合理的居住用地；对镇区中村庄用地采取逐步更新改造方式；对部分建筑质量较差、配套设施缺乏、环境恶劣、且与其他用地混杂布局的住宅，可根据实际建设需要，拆迁置换为其他城镇用地，如可开发为公共绿地。</w:t>
      </w:r>
    </w:p>
    <w:p>
      <w:pPr>
        <w:pStyle w:val="3"/>
        <w:spacing w:before="326" w:beforeLines="100" w:after="326" w:afterLines="100"/>
      </w:pPr>
      <w:bookmarkStart w:id="110" w:name="_Toc183017811"/>
      <w:r>
        <w:rPr>
          <w:rFonts w:hint="eastAsia"/>
        </w:rPr>
        <w:t>空间形态与风貌管控</w:t>
      </w:r>
      <w:bookmarkEnd w:id="110"/>
    </w:p>
    <w:p>
      <w:pPr>
        <w:pStyle w:val="4"/>
        <w:spacing w:before="195" w:beforeLines="60" w:after="195" w:afterLines="60" w:line="240" w:lineRule="auto"/>
      </w:pPr>
      <w:r>
        <w:t>空间风貌结构</w:t>
      </w:r>
    </w:p>
    <w:p>
      <w:pPr>
        <w:spacing w:before="65"/>
        <w:ind w:firstLine="640"/>
      </w:pPr>
      <w:r>
        <w:rPr>
          <w:rFonts w:hint="eastAsia"/>
        </w:rPr>
        <w:t>基于夏馆镇滨河的现状，结合镇区内部景观架构，构建符合自然山水特征与发展需要的城镇总体空间形态与格局，确定夏馆镇镇区空间形态框架为“一轴一廊，一心两区”</w:t>
      </w:r>
    </w:p>
    <w:p>
      <w:pPr>
        <w:spacing w:before="65"/>
        <w:ind w:firstLine="640"/>
      </w:pPr>
      <w:r>
        <w:rPr>
          <w:rFonts w:hint="eastAsia"/>
        </w:rPr>
        <w:t>“一轴”为依托凤鸣街形成的现代城镇风貌轴。</w:t>
      </w:r>
    </w:p>
    <w:p>
      <w:pPr>
        <w:spacing w:before="65"/>
        <w:ind w:firstLine="640"/>
      </w:pPr>
      <w:r>
        <w:rPr>
          <w:rFonts w:hint="eastAsia"/>
        </w:rPr>
        <w:t>“一廊”为沿西侧夏馆河形成的景观绿廊。</w:t>
      </w:r>
    </w:p>
    <w:p>
      <w:pPr>
        <w:spacing w:before="65"/>
        <w:ind w:firstLine="640"/>
      </w:pPr>
      <w:r>
        <w:rPr>
          <w:rFonts w:hint="eastAsia"/>
        </w:rPr>
        <w:t>“一心”指以镇政府形成的城镇特色中心。</w:t>
      </w:r>
    </w:p>
    <w:p>
      <w:pPr>
        <w:spacing w:before="65"/>
        <w:ind w:firstLine="640"/>
      </w:pPr>
      <w:r>
        <w:rPr>
          <w:rFonts w:hint="eastAsia"/>
        </w:rPr>
        <w:t>“两区”是依据镇区特色划分的公共服务片区、传统居住区。</w:t>
      </w:r>
    </w:p>
    <w:p>
      <w:pPr>
        <w:pStyle w:val="4"/>
        <w:spacing w:before="195" w:beforeLines="60" w:after="195" w:afterLines="60" w:line="240" w:lineRule="auto"/>
      </w:pPr>
      <w:r>
        <w:rPr>
          <w:rFonts w:hint="eastAsia"/>
        </w:rPr>
        <w:t>开发强度和高度分区</w:t>
      </w:r>
    </w:p>
    <w:p>
      <w:pPr>
        <w:spacing w:before="65"/>
        <w:ind w:firstLine="640"/>
      </w:pPr>
      <w:r>
        <w:rPr>
          <w:rFonts w:hint="eastAsia"/>
        </w:rPr>
        <w:t>镇区建设用地开发强度按两级控制，实行差异化的土地开发强度管制。Ⅰ级强度区容积率控制为小于</w:t>
      </w:r>
      <w:r>
        <w:t>1.0，主要为公共服务片区；Ⅱ级强度区容积率控制为1.0-2.0，主要为商业区和居住生活区。</w:t>
      </w:r>
    </w:p>
    <w:p>
      <w:pPr>
        <w:spacing w:before="65"/>
        <w:ind w:firstLine="640"/>
      </w:pPr>
      <w:r>
        <w:rPr>
          <w:rFonts w:hint="eastAsia"/>
        </w:rPr>
        <w:t>Ⅰ级高度区建筑控制为不大于</w:t>
      </w:r>
      <w:r>
        <w:t>3层，高度不大于12米；Ⅱ级高度区建筑控制为不大于6层，高度不大于24米。</w:t>
      </w:r>
    </w:p>
    <w:p>
      <w:pPr>
        <w:pStyle w:val="4"/>
        <w:spacing w:before="195" w:beforeLines="60" w:after="195" w:afterLines="60" w:line="240" w:lineRule="auto"/>
      </w:pPr>
      <w:r>
        <w:rPr>
          <w:rFonts w:hint="eastAsia"/>
        </w:rPr>
        <w:t>风貌管控</w:t>
      </w:r>
    </w:p>
    <w:p>
      <w:pPr>
        <w:spacing w:before="65"/>
        <w:ind w:firstLine="640"/>
      </w:pPr>
      <w:r>
        <w:t>线性风貌管控</w:t>
      </w:r>
      <w:r>
        <w:rPr>
          <w:rFonts w:hint="eastAsia"/>
        </w:rPr>
        <w:t>：重点对凤鸣街道路沿线和滨河沿线进行控制。沿道路主要控制道路两旁的绿化与公共空间，形成连续的视觉空间，加强与次级空间轴线、节点、绿化廊道的渗透、延展和联系，形成网络状的功能和慢行空间，强化行人街道空间和步行体验，强化城市空间的层次性、多样性和可达性；滨河风貌管控地带建筑不宜过高，控制滨水建筑形式，处理好建筑与水体之间的关系，保证滨水沿岸的天际线优美连续，留足水体边界的公共空间。</w:t>
      </w:r>
    </w:p>
    <w:p>
      <w:pPr>
        <w:spacing w:before="65"/>
        <w:ind w:firstLine="640"/>
      </w:pPr>
      <w:r>
        <w:t>片区风貌管控</w:t>
      </w:r>
      <w:r>
        <w:rPr>
          <w:rFonts w:hint="eastAsia"/>
        </w:rPr>
        <w:t>：重点对中部综合服务片区进行管控。中部综合服务片区指以镇政府为中心形成的公共服务设施集中的地区，片区应营造舒朗大气、积极明快的氛围，展示夏馆形象。</w:t>
      </w:r>
    </w:p>
    <w:p>
      <w:pPr>
        <w:pStyle w:val="3"/>
        <w:spacing w:before="326" w:beforeLines="100" w:after="326" w:afterLines="100"/>
      </w:pPr>
      <w:bookmarkStart w:id="111" w:name="_Toc183017812"/>
      <w:r>
        <w:rPr>
          <w:rFonts w:hint="eastAsia"/>
        </w:rPr>
        <w:t>道路交通系统规划</w:t>
      </w:r>
      <w:bookmarkEnd w:id="111"/>
    </w:p>
    <w:p>
      <w:pPr>
        <w:pStyle w:val="4"/>
        <w:spacing w:before="195" w:beforeLines="60" w:after="195" w:afterLines="60" w:line="240" w:lineRule="auto"/>
      </w:pPr>
      <w:r>
        <w:rPr>
          <w:rFonts w:hint="eastAsia"/>
        </w:rPr>
        <w:t>规划目标</w:t>
      </w:r>
    </w:p>
    <w:p>
      <w:pPr>
        <w:spacing w:before="65"/>
        <w:ind w:firstLine="640"/>
      </w:pPr>
      <w:r>
        <w:rPr>
          <w:rFonts w:hint="eastAsia"/>
        </w:rPr>
        <w:t>形成高效通畅的交通网络体系；保障过境公路畅通，提高镇区道路网密度，注重与对外交通的联系和衔接。构建以慢行为主的绿色出行结构；构建尺度宜人、安全连续的慢行网络，至</w:t>
      </w:r>
      <w:r>
        <w:t>2035年，</w:t>
      </w:r>
      <w:r>
        <w:rPr>
          <w:rFonts w:hint="eastAsia"/>
        </w:rPr>
        <w:t>道路</w:t>
      </w:r>
      <w:r>
        <w:t>密度不小于8千米/平方千米</w:t>
      </w:r>
      <w:r>
        <w:rPr>
          <w:rFonts w:hint="eastAsia"/>
        </w:rPr>
        <w:t>。</w:t>
      </w:r>
    </w:p>
    <w:p>
      <w:pPr>
        <w:pStyle w:val="4"/>
        <w:spacing w:before="195" w:beforeLines="60" w:after="195" w:afterLines="60" w:line="240" w:lineRule="auto"/>
      </w:pPr>
      <w:r>
        <w:rPr>
          <w:rFonts w:hint="eastAsia"/>
        </w:rPr>
        <w:t>对外交通系统</w:t>
      </w:r>
    </w:p>
    <w:p>
      <w:pPr>
        <w:spacing w:before="65"/>
        <w:ind w:firstLine="640"/>
      </w:pPr>
      <w:r>
        <w:rPr>
          <w:rFonts w:hint="eastAsia"/>
        </w:rPr>
        <w:t>强化镇区内外交通衔接，搭建高效便捷的内外道路转换体系。保留镇区东侧南北向</w:t>
      </w:r>
      <w:r>
        <w:t>G241，规划双向2车道，红线宽度控制为16米。</w:t>
      </w:r>
    </w:p>
    <w:p>
      <w:pPr>
        <w:spacing w:before="65"/>
        <w:ind w:firstLine="640"/>
      </w:pPr>
      <w:r>
        <w:rPr>
          <w:rFonts w:hint="eastAsia"/>
        </w:rPr>
        <w:t>强化镇区主干路与</w:t>
      </w:r>
      <w:r>
        <w:t>G241的衔接，并尽量减少镇区低等级道路与过境道路的交叉口数量，以保证交通安全、美化道路景观，提高镇区的环境质量。</w:t>
      </w:r>
    </w:p>
    <w:p>
      <w:pPr>
        <w:pStyle w:val="4"/>
        <w:spacing w:before="195" w:beforeLines="60" w:after="195" w:afterLines="60" w:line="240" w:lineRule="auto"/>
      </w:pPr>
      <w:r>
        <w:rPr>
          <w:rFonts w:hint="eastAsia"/>
        </w:rPr>
        <w:t>道路交通系统</w:t>
      </w:r>
    </w:p>
    <w:p>
      <w:pPr>
        <w:spacing w:before="65"/>
        <w:ind w:firstLine="640"/>
      </w:pPr>
      <w:r>
        <w:rPr>
          <w:rFonts w:hint="eastAsia"/>
        </w:rPr>
        <w:t>构建城市主干路、次干路、支路三级路网体系，构建“两横两纵”的主要交通通道，形成方格网型的窄路密网格局。</w:t>
      </w:r>
    </w:p>
    <w:p>
      <w:pPr>
        <w:spacing w:before="65"/>
        <w:ind w:firstLine="640"/>
      </w:pPr>
      <w:r>
        <w:rPr>
          <w:rFonts w:hint="eastAsia"/>
        </w:rPr>
        <w:t>主干路：红线宽度为</w:t>
      </w:r>
      <w:r>
        <w:t>16-20米。</w:t>
      </w:r>
    </w:p>
    <w:p>
      <w:pPr>
        <w:spacing w:before="65"/>
        <w:ind w:firstLine="640"/>
      </w:pPr>
      <w:r>
        <w:rPr>
          <w:rFonts w:hint="eastAsia"/>
        </w:rPr>
        <w:t>次干路：红线宽度为</w:t>
      </w:r>
      <w:r>
        <w:t>12米。</w:t>
      </w:r>
    </w:p>
    <w:p>
      <w:pPr>
        <w:spacing w:before="65"/>
        <w:ind w:firstLine="640"/>
      </w:pPr>
      <w:r>
        <w:rPr>
          <w:rFonts w:hint="eastAsia"/>
        </w:rPr>
        <w:t>支路：红线宽度为</w:t>
      </w:r>
      <w:r>
        <w:t>5-8米。</w:t>
      </w:r>
    </w:p>
    <w:p>
      <w:pPr>
        <w:pStyle w:val="4"/>
        <w:spacing w:before="195" w:beforeLines="60" w:after="195" w:afterLines="60" w:line="240" w:lineRule="auto"/>
      </w:pPr>
      <w:r>
        <w:rPr>
          <w:rFonts w:hint="eastAsia"/>
        </w:rPr>
        <w:t>公共交通规划</w:t>
      </w:r>
    </w:p>
    <w:p>
      <w:pPr>
        <w:ind w:firstLine="640"/>
      </w:pPr>
      <w:r>
        <w:rPr>
          <w:rFonts w:hint="eastAsia"/>
        </w:rPr>
        <w:t>1</w:t>
      </w:r>
      <w:r>
        <w:t>.公共交通场站</w:t>
      </w:r>
    </w:p>
    <w:p>
      <w:pPr>
        <w:spacing w:before="65"/>
        <w:ind w:firstLine="640"/>
      </w:pPr>
      <w:r>
        <w:rPr>
          <w:rFonts w:hint="eastAsia"/>
        </w:rPr>
        <w:t>保留现状镇区北侧</w:t>
      </w:r>
      <w:r>
        <w:t>1处公共交通场站，用地面积为0.19公顷，为城乡公交客运站。</w:t>
      </w:r>
    </w:p>
    <w:p>
      <w:pPr>
        <w:ind w:firstLine="640"/>
      </w:pPr>
      <w:r>
        <w:rPr>
          <w:rFonts w:hint="eastAsia"/>
        </w:rPr>
        <w:t>2</w:t>
      </w:r>
      <w:r>
        <w:t>.加油加气站用地</w:t>
      </w:r>
    </w:p>
    <w:p>
      <w:pPr>
        <w:spacing w:before="65"/>
        <w:ind w:firstLine="640"/>
      </w:pPr>
      <w:r>
        <w:rPr>
          <w:rFonts w:hint="eastAsia"/>
        </w:rPr>
        <w:t>保留镇区现状</w:t>
      </w:r>
      <w:r>
        <w:t>2处加油站，位于凤鸣街东侧，总用地面积为0.18公顷。</w:t>
      </w:r>
    </w:p>
    <w:p>
      <w:pPr>
        <w:ind w:firstLine="640"/>
      </w:pPr>
      <w:r>
        <w:rPr>
          <w:rFonts w:hint="eastAsia"/>
        </w:rPr>
        <w:t>3</w:t>
      </w:r>
      <w:r>
        <w:t>.公交站点</w:t>
      </w:r>
    </w:p>
    <w:p>
      <w:pPr>
        <w:spacing w:before="65"/>
        <w:ind w:firstLine="640"/>
      </w:pPr>
      <w:r>
        <w:rPr>
          <w:rFonts w:hint="eastAsia"/>
        </w:rPr>
        <w:t>保留现状凤鸣街上城乡公交站点，满足居民需求。</w:t>
      </w:r>
    </w:p>
    <w:p>
      <w:pPr>
        <w:pStyle w:val="4"/>
        <w:spacing w:before="195" w:beforeLines="60" w:after="195" w:afterLines="60" w:line="240" w:lineRule="auto"/>
      </w:pPr>
      <w:r>
        <w:rPr>
          <w:rFonts w:hint="eastAsia"/>
        </w:rPr>
        <w:t>停车设施规划</w:t>
      </w:r>
    </w:p>
    <w:p>
      <w:pPr>
        <w:spacing w:before="65"/>
        <w:ind w:firstLine="640"/>
      </w:pPr>
      <w:r>
        <w:rPr>
          <w:rFonts w:hint="eastAsia"/>
        </w:rPr>
        <w:t>结合镇区用地情况和现状居民需求，镇区停车以沿街停车为主。</w:t>
      </w:r>
    </w:p>
    <w:p>
      <w:pPr>
        <w:pStyle w:val="4"/>
        <w:spacing w:before="195" w:beforeLines="60" w:after="195" w:afterLines="60" w:line="240" w:lineRule="auto"/>
      </w:pPr>
      <w:r>
        <w:rPr>
          <w:rFonts w:hint="eastAsia"/>
        </w:rPr>
        <w:t>慢行系统规划</w:t>
      </w:r>
    </w:p>
    <w:p>
      <w:pPr>
        <w:spacing w:before="65"/>
        <w:ind w:firstLine="640"/>
      </w:pPr>
      <w:r>
        <w:rPr>
          <w:rFonts w:hint="eastAsia"/>
        </w:rPr>
        <w:t>推进绿道系统建设，打造以镇区次干路为骨架、支路为补充的两级慢行绿道系统，加强滨河绿地建设，构建安全连续的慢行系统。各次干路串联镇区休闲绿地，并沿次干路两侧打造休闲绿道；各支路深入至居住组团，便捷联通小游园、街头绿地；结合党建文化广场、滨河公园绿地等设置慢性游憩公园。</w:t>
      </w:r>
    </w:p>
    <w:p>
      <w:pPr>
        <w:spacing w:before="65"/>
        <w:ind w:firstLine="640"/>
      </w:pPr>
      <w:r>
        <w:rPr>
          <w:rFonts w:hint="eastAsia"/>
        </w:rPr>
        <w:t>城乡公交站点与慢行系统结合设置，建设便于居民使用的慢行体系。</w:t>
      </w:r>
    </w:p>
    <w:p>
      <w:pPr>
        <w:pStyle w:val="3"/>
        <w:spacing w:before="326" w:beforeLines="100" w:after="326" w:afterLines="100"/>
      </w:pPr>
      <w:bookmarkStart w:id="112" w:name="_Toc183017813"/>
      <w:r>
        <w:rPr>
          <w:rFonts w:hint="eastAsia"/>
        </w:rPr>
        <w:t>基础设施规划</w:t>
      </w:r>
      <w:bookmarkEnd w:id="112"/>
    </w:p>
    <w:p>
      <w:pPr>
        <w:pStyle w:val="4"/>
        <w:spacing w:before="195" w:beforeLines="60" w:after="195" w:afterLines="60" w:line="240" w:lineRule="auto"/>
      </w:pPr>
      <w:r>
        <w:rPr>
          <w:rFonts w:hint="eastAsia"/>
        </w:rPr>
        <w:t>给水工程规划</w:t>
      </w:r>
    </w:p>
    <w:p>
      <w:pPr>
        <w:ind w:firstLine="640"/>
      </w:pPr>
      <w:r>
        <w:rPr>
          <w:rFonts w:hint="eastAsia"/>
        </w:rPr>
        <w:t>1</w:t>
      </w:r>
      <w:r>
        <w:t>.</w:t>
      </w:r>
      <w:r>
        <w:rPr>
          <w:rFonts w:hint="eastAsia"/>
        </w:rPr>
        <w:t>用水量预测</w:t>
      </w:r>
    </w:p>
    <w:p>
      <w:pPr>
        <w:ind w:firstLine="640"/>
      </w:pPr>
      <w:r>
        <w:rPr>
          <w:rFonts w:hint="eastAsia"/>
        </w:rPr>
        <w:t>规划范围最高日用水量约为</w:t>
      </w:r>
      <w:r>
        <w:t>1658.7立方米/日</w:t>
      </w:r>
      <w:r>
        <w:rPr>
          <w:rFonts w:hint="eastAsia"/>
        </w:rPr>
        <w:t>。</w:t>
      </w:r>
    </w:p>
    <w:p>
      <w:pPr>
        <w:ind w:firstLine="640"/>
      </w:pPr>
      <w:r>
        <w:rPr>
          <w:rFonts w:hint="eastAsia"/>
        </w:rPr>
        <w:t>2</w:t>
      </w:r>
      <w:r>
        <w:t>.</w:t>
      </w:r>
      <w:r>
        <w:rPr>
          <w:rFonts w:hint="eastAsia"/>
        </w:rPr>
        <w:t>水厂规划</w:t>
      </w:r>
    </w:p>
    <w:p>
      <w:pPr>
        <w:ind w:firstLine="640"/>
      </w:pPr>
      <w:r>
        <w:rPr>
          <w:rFonts w:hint="eastAsia"/>
        </w:rPr>
        <w:t>规划扩建夏馆水厂，</w:t>
      </w:r>
      <w:r>
        <w:t>1700立方米/日，水源采用中深层地下水</w:t>
      </w:r>
      <w:r>
        <w:rPr>
          <w:rFonts w:hint="eastAsia"/>
        </w:rPr>
        <w:t>。</w:t>
      </w:r>
    </w:p>
    <w:p>
      <w:pPr>
        <w:ind w:firstLine="640"/>
      </w:pPr>
      <w:r>
        <w:rPr>
          <w:rFonts w:hint="eastAsia"/>
        </w:rPr>
        <w:t>3</w:t>
      </w:r>
      <w:r>
        <w:t>.</w:t>
      </w:r>
      <w:r>
        <w:rPr>
          <w:rFonts w:hint="eastAsia"/>
        </w:rPr>
        <w:t>供水管网规划</w:t>
      </w:r>
    </w:p>
    <w:p>
      <w:pPr>
        <w:ind w:firstLine="640"/>
      </w:pPr>
      <w:r>
        <w:rPr>
          <w:rFonts w:hint="eastAsia"/>
          <w:bCs/>
        </w:rPr>
        <w:t>供水主干线沿主干路敷设并尽量靠近大用水量单位，综合考虑技术、经济以及可靠性等因素，采用环、支状网相结合的布置方式。规划保留镇区现状</w:t>
      </w:r>
      <w:r>
        <w:rPr>
          <w:bCs/>
        </w:rPr>
        <w:t>DN100~DN200给水管，沿新建道路敷设DN100~DN150给水管。规划给水管与相交道路给水管相接，形成安全可靠的环状供水系统</w:t>
      </w:r>
      <w:r>
        <w:rPr>
          <w:rFonts w:hint="eastAsia"/>
          <w:bCs/>
        </w:rPr>
        <w:t>。</w:t>
      </w:r>
    </w:p>
    <w:p>
      <w:pPr>
        <w:pStyle w:val="4"/>
        <w:spacing w:before="195" w:beforeLines="60" w:after="195" w:afterLines="60" w:line="240" w:lineRule="auto"/>
      </w:pPr>
      <w:r>
        <w:rPr>
          <w:rFonts w:hint="eastAsia"/>
        </w:rPr>
        <w:t>排水工程规划</w:t>
      </w:r>
    </w:p>
    <w:p>
      <w:pPr>
        <w:ind w:firstLine="640"/>
      </w:pPr>
      <w:r>
        <w:rPr>
          <w:rFonts w:hint="eastAsia"/>
        </w:rPr>
        <w:t>1</w:t>
      </w:r>
      <w:r>
        <w:t>.</w:t>
      </w:r>
      <w:r>
        <w:rPr>
          <w:rFonts w:hint="eastAsia"/>
        </w:rPr>
        <w:t>污水工程</w:t>
      </w:r>
    </w:p>
    <w:p>
      <w:pPr>
        <w:ind w:firstLine="640"/>
        <w:rPr>
          <w:bCs/>
        </w:rPr>
      </w:pPr>
      <w:r>
        <w:rPr>
          <w:rFonts w:hint="eastAsia"/>
          <w:bCs/>
        </w:rPr>
        <w:t>规划镇区实行雨污分流制排水系统。</w:t>
      </w:r>
    </w:p>
    <w:p>
      <w:pPr>
        <w:ind w:firstLine="640"/>
      </w:pPr>
      <w:r>
        <w:rPr>
          <w:rFonts w:hint="eastAsia"/>
        </w:rPr>
        <w:t>预测镇区</w:t>
      </w:r>
      <w:r>
        <w:rPr>
          <w:rFonts w:hint="eastAsia" w:ascii="Times New Roman" w:hAnsi="Times New Roman"/>
          <w:lang w:bidi="ar"/>
        </w:rPr>
        <w:t>平均日污水量为</w:t>
      </w:r>
      <w:r>
        <w:rPr>
          <w:rFonts w:ascii="Times New Roman" w:hAnsi="Times New Roman"/>
          <w:lang w:bidi="ar"/>
        </w:rPr>
        <w:t>860.2</w:t>
      </w:r>
      <w:bookmarkStart w:id="113" w:name="_Hlk183015923"/>
      <w:r>
        <w:rPr>
          <w:rFonts w:ascii="Times New Roman" w:hAnsi="Times New Roman"/>
          <w:lang w:bidi="ar"/>
        </w:rPr>
        <w:t>立方米/日</w:t>
      </w:r>
      <w:bookmarkEnd w:id="113"/>
      <w:r>
        <w:rPr>
          <w:rFonts w:hint="eastAsia"/>
        </w:rPr>
        <w:t>。</w:t>
      </w:r>
    </w:p>
    <w:p>
      <w:pPr>
        <w:ind w:firstLine="640"/>
      </w:pPr>
      <w:r>
        <w:rPr>
          <w:rFonts w:hint="eastAsia"/>
        </w:rPr>
        <w:t>规划保留镇区现状</w:t>
      </w:r>
      <w:r>
        <w:t>d300~d500污水管，沿新建道路敷设d300~d500污水管，污水向</w:t>
      </w:r>
      <w:r>
        <w:rPr>
          <w:rFonts w:hint="eastAsia"/>
        </w:rPr>
        <w:t>东</w:t>
      </w:r>
      <w:r>
        <w:t>南排入夏馆污水处理厂。</w:t>
      </w:r>
      <w:r>
        <w:rPr>
          <w:rFonts w:hint="eastAsia"/>
        </w:rPr>
        <w:t>污水处理厂规模为</w:t>
      </w:r>
      <w:r>
        <w:t>2500</w:t>
      </w:r>
      <w:r>
        <w:rPr>
          <w:rFonts w:hint="eastAsia"/>
        </w:rPr>
        <w:t>立方米</w:t>
      </w:r>
      <w:r>
        <w:t>/日；污水处理厂出水水质要求达到《城镇污水处理厂污染物排放标准》（GB 18918-2002）中规定的一级A标准，处理达标后排入</w:t>
      </w:r>
      <w:r>
        <w:rPr>
          <w:rFonts w:hint="eastAsia"/>
        </w:rPr>
        <w:t>鱼道河。</w:t>
      </w:r>
    </w:p>
    <w:p>
      <w:pPr>
        <w:ind w:firstLine="640"/>
      </w:pPr>
      <w:r>
        <w:rPr>
          <w:rFonts w:hint="eastAsia"/>
        </w:rPr>
        <w:t>2</w:t>
      </w:r>
      <w:r>
        <w:t>.</w:t>
      </w:r>
      <w:r>
        <w:rPr>
          <w:rFonts w:hint="eastAsia"/>
        </w:rPr>
        <w:t>雨水工程</w:t>
      </w:r>
    </w:p>
    <w:p>
      <w:pPr>
        <w:ind w:firstLine="640"/>
      </w:pPr>
      <w:r>
        <w:rPr>
          <w:rFonts w:hint="eastAsia"/>
        </w:rPr>
        <w:t>镇区雨水管渠设计重现期为2～3年；镇区的重要地区如行政中心、学校、医院、商业聚集区等雨水管渠设计重现期为3～5年；镇区的地下通道和下沉式广场等雨水管渠设计重现期为10～20年</w:t>
      </w:r>
      <w:r>
        <w:rPr>
          <w:rFonts w:hint="eastAsia"/>
          <w:szCs w:val="24"/>
        </w:rPr>
        <w:t>。</w:t>
      </w:r>
    </w:p>
    <w:p>
      <w:pPr>
        <w:ind w:firstLine="640"/>
      </w:pPr>
      <w:r>
        <w:rPr>
          <w:rFonts w:hint="eastAsia"/>
          <w:bCs/>
        </w:rPr>
        <w:t>规划沿镇区道路敷设</w:t>
      </w:r>
      <w:r>
        <w:rPr>
          <w:bCs/>
        </w:rPr>
        <w:t>d400~d600雨水管，雨水就近排入</w:t>
      </w:r>
      <w:r>
        <w:rPr>
          <w:rFonts w:hint="eastAsia"/>
          <w:bCs/>
        </w:rPr>
        <w:t>鱼道河。</w:t>
      </w:r>
    </w:p>
    <w:p>
      <w:pPr>
        <w:pStyle w:val="4"/>
        <w:spacing w:before="195" w:beforeLines="60" w:after="195" w:afterLines="60" w:line="240" w:lineRule="auto"/>
      </w:pPr>
      <w:r>
        <w:rPr>
          <w:rFonts w:hint="eastAsia"/>
        </w:rPr>
        <w:t>电力工程规划</w:t>
      </w:r>
    </w:p>
    <w:p>
      <w:pPr>
        <w:ind w:firstLine="640"/>
      </w:pPr>
      <w:r>
        <w:rPr>
          <w:rFonts w:hint="eastAsia"/>
        </w:rPr>
        <w:t>1</w:t>
      </w:r>
      <w:r>
        <w:t>.</w:t>
      </w:r>
      <w:r>
        <w:rPr>
          <w:rFonts w:hint="eastAsia"/>
        </w:rPr>
        <w:t>用电负荷预测</w:t>
      </w:r>
    </w:p>
    <w:p>
      <w:pPr>
        <w:ind w:firstLine="640"/>
      </w:pPr>
      <w:r>
        <w:rPr>
          <w:rFonts w:hint="eastAsia"/>
        </w:rPr>
        <w:t>预测镇区用电负荷约为</w:t>
      </w:r>
      <w:r>
        <w:t>13.5兆瓦</w:t>
      </w:r>
      <w:r>
        <w:rPr>
          <w:rFonts w:hint="eastAsia"/>
        </w:rPr>
        <w:t>。</w:t>
      </w:r>
    </w:p>
    <w:p>
      <w:pPr>
        <w:ind w:firstLine="640"/>
      </w:pPr>
      <w:r>
        <w:rPr>
          <w:rFonts w:hint="eastAsia"/>
        </w:rPr>
        <w:t>2</w:t>
      </w:r>
      <w:r>
        <w:t>.</w:t>
      </w:r>
      <w:r>
        <w:rPr>
          <w:rFonts w:hint="eastAsia"/>
        </w:rPr>
        <w:t>变电设施规划</w:t>
      </w:r>
    </w:p>
    <w:p>
      <w:pPr>
        <w:ind w:firstLine="640"/>
      </w:pPr>
      <w:r>
        <w:rPr>
          <w:rFonts w:hint="eastAsia"/>
        </w:rPr>
        <w:t>规划保留现状</w:t>
      </w:r>
      <w:r>
        <w:t>35千伏夏馆变；镇区电源来自规划110千伏双庙变。</w:t>
      </w:r>
    </w:p>
    <w:p>
      <w:pPr>
        <w:ind w:firstLine="640"/>
      </w:pPr>
      <w:r>
        <w:rPr>
          <w:rFonts w:hint="eastAsia"/>
        </w:rPr>
        <w:t>新建</w:t>
      </w:r>
      <w:r>
        <w:t>10千伏电力线沿干道采用地埋电缆沟的敷设方式，并在重点地段形成环路，以保证供电可靠安全性，同时确保每一个地块均能从临路一侧方便接入10千伏电源线。尽量避免架空铺设，不仅防止镇区景观的破坏，还能减少因人为原因造成的事故。为减少10千伏线路出线紧张问题，在镇区用电负荷中心相应位置设置市政公用开闭所</w:t>
      </w:r>
      <w:r>
        <w:rPr>
          <w:rFonts w:hint="eastAsia"/>
        </w:rPr>
        <w:t>。</w:t>
      </w:r>
    </w:p>
    <w:p>
      <w:pPr>
        <w:ind w:firstLine="640"/>
      </w:pPr>
      <w:r>
        <w:rPr>
          <w:rFonts w:hint="eastAsia"/>
        </w:rPr>
        <w:t>3</w:t>
      </w:r>
      <w:r>
        <w:t>.</w:t>
      </w:r>
      <w:r>
        <w:rPr>
          <w:rFonts w:hint="eastAsia"/>
        </w:rPr>
        <w:t>电力廊道规划</w:t>
      </w:r>
    </w:p>
    <w:p>
      <w:pPr>
        <w:ind w:firstLine="640"/>
      </w:pPr>
      <w:r>
        <w:rPr>
          <w:rFonts w:hint="eastAsia"/>
          <w:bCs/>
        </w:rPr>
        <w:t>110千伏电力线路采用架空敷设，高压线路走廊不小于25米。</w:t>
      </w:r>
      <w:r>
        <w:rPr>
          <w:rFonts w:hint="eastAsia"/>
        </w:rPr>
        <w:t>根据《电力设施保护条例实施细则》要求廊道内不得进行建设及危害电力设施的行为。</w:t>
      </w:r>
    </w:p>
    <w:p>
      <w:pPr>
        <w:pStyle w:val="4"/>
        <w:spacing w:before="195" w:beforeLines="60" w:after="195" w:afterLines="60" w:line="240" w:lineRule="auto"/>
      </w:pPr>
      <w:r>
        <w:rPr>
          <w:rFonts w:hint="eastAsia"/>
        </w:rPr>
        <w:t>通信工程规划</w:t>
      </w:r>
    </w:p>
    <w:p>
      <w:pPr>
        <w:ind w:firstLine="640"/>
      </w:pPr>
      <w:r>
        <w:rPr>
          <w:rFonts w:hint="eastAsia"/>
        </w:rPr>
        <w:t>1</w:t>
      </w:r>
      <w:r>
        <w:t>.</w:t>
      </w:r>
      <w:r>
        <w:rPr>
          <w:rFonts w:hint="eastAsia"/>
        </w:rPr>
        <w:t>邮政设施与电信设施规划</w:t>
      </w:r>
    </w:p>
    <w:p>
      <w:pPr>
        <w:ind w:firstLine="640"/>
      </w:pPr>
      <w:r>
        <w:rPr>
          <w:rFonts w:hint="eastAsia"/>
        </w:rPr>
        <w:t>规划保留夏馆镇现状邮政支局</w:t>
      </w:r>
      <w:r>
        <w:t>1处，</w:t>
      </w:r>
      <w:r>
        <w:rPr>
          <w:rFonts w:hint="eastAsia"/>
        </w:rPr>
        <w:t>位于凤鸣街与嵩华街交叉口西北角</w:t>
      </w:r>
      <w:r>
        <w:t>。规划沿镇区主干道每隔500米设信箱一个，住宅楼各单元入口处设报箱</w:t>
      </w:r>
      <w:r>
        <w:rPr>
          <w:rFonts w:hint="eastAsia"/>
        </w:rPr>
        <w:t>。</w:t>
      </w:r>
    </w:p>
    <w:p>
      <w:pPr>
        <w:ind w:firstLine="640"/>
      </w:pPr>
      <w:r>
        <w:rPr>
          <w:rFonts w:hint="eastAsia"/>
        </w:rPr>
        <w:t>2</w:t>
      </w:r>
      <w:r>
        <w:t>.</w:t>
      </w:r>
      <w:r>
        <w:rPr>
          <w:rFonts w:hint="eastAsia"/>
        </w:rPr>
        <w:t>广播电视设施规划</w:t>
      </w:r>
    </w:p>
    <w:p>
      <w:pPr>
        <w:ind w:firstLine="640"/>
      </w:pPr>
      <w:r>
        <w:rPr>
          <w:rFonts w:hint="eastAsia"/>
        </w:rPr>
        <w:t>规划广播电视综合交叉覆盖率达到</w:t>
      </w:r>
      <w:r>
        <w:t>98％以上，有线电视入户实现数字化、传输线路全部采用光缆，埋户率达100％</w:t>
      </w:r>
      <w:r>
        <w:rPr>
          <w:rFonts w:hint="eastAsia"/>
        </w:rPr>
        <w:t>。</w:t>
      </w:r>
    </w:p>
    <w:p>
      <w:pPr>
        <w:pStyle w:val="4"/>
        <w:spacing w:before="195" w:beforeLines="60" w:after="195" w:afterLines="60" w:line="240" w:lineRule="auto"/>
      </w:pPr>
      <w:r>
        <w:rPr>
          <w:rFonts w:hint="eastAsia"/>
        </w:rPr>
        <w:t>燃气工程规划</w:t>
      </w:r>
    </w:p>
    <w:p>
      <w:pPr>
        <w:ind w:firstLine="640"/>
      </w:pPr>
      <w:r>
        <w:rPr>
          <w:rFonts w:hint="eastAsia"/>
        </w:rPr>
        <w:t>1</w:t>
      </w:r>
      <w:r>
        <w:t>.</w:t>
      </w:r>
      <w:r>
        <w:rPr>
          <w:rFonts w:hint="eastAsia"/>
        </w:rPr>
        <w:t>用气负荷预测</w:t>
      </w:r>
    </w:p>
    <w:p>
      <w:pPr>
        <w:ind w:firstLine="640"/>
      </w:pPr>
      <w:r>
        <w:rPr>
          <w:rFonts w:hint="eastAsia"/>
        </w:rPr>
        <w:t>预测镇区用气负荷约</w:t>
      </w:r>
      <w:r>
        <w:rPr>
          <w:rFonts w:ascii="Times New Roman" w:hAnsi="Times New Roman"/>
        </w:rPr>
        <w:t>2583立方米/日</w:t>
      </w:r>
      <w:r>
        <w:rPr>
          <w:rFonts w:hint="eastAsia"/>
        </w:rPr>
        <w:t>。</w:t>
      </w:r>
    </w:p>
    <w:p>
      <w:pPr>
        <w:ind w:firstLine="640"/>
      </w:pPr>
      <w:r>
        <w:rPr>
          <w:rFonts w:hint="eastAsia"/>
        </w:rPr>
        <w:t>2</w:t>
      </w:r>
      <w:r>
        <w:t>.</w:t>
      </w:r>
      <w:r>
        <w:rPr>
          <w:rFonts w:hint="eastAsia"/>
        </w:rPr>
        <w:t>燃气管网规划</w:t>
      </w:r>
    </w:p>
    <w:p>
      <w:pPr>
        <w:ind w:firstLine="640"/>
      </w:pPr>
      <w:r>
        <w:rPr>
          <w:rFonts w:hint="eastAsia"/>
        </w:rPr>
        <w:t>规划沿镇区道路敷设</w:t>
      </w:r>
      <w:r>
        <w:t>de90~de110燃气管线，燃气管线呈环状布置，局部为支状。</w:t>
      </w:r>
      <w:r>
        <w:rPr>
          <w:rFonts w:hint="eastAsia"/>
        </w:rPr>
        <w:t>规划镇区采用中压一级管网系统，中压管网进气压力为</w:t>
      </w:r>
      <w:r>
        <w:t>0.4兆帕。一般居民用户和公共福利用户通过楼栋调压箱调节至低压后供气</w:t>
      </w:r>
      <w:r>
        <w:rPr>
          <w:rFonts w:hint="eastAsia"/>
          <w:bCs/>
        </w:rPr>
        <w:t>。</w:t>
      </w:r>
    </w:p>
    <w:p>
      <w:pPr>
        <w:pStyle w:val="4"/>
        <w:spacing w:before="195" w:beforeLines="60" w:after="195" w:afterLines="60" w:line="240" w:lineRule="auto"/>
      </w:pPr>
      <w:r>
        <w:rPr>
          <w:rFonts w:hint="eastAsia"/>
        </w:rPr>
        <w:t>热力工程规划</w:t>
      </w:r>
    </w:p>
    <w:p>
      <w:pPr>
        <w:ind w:firstLine="640"/>
      </w:pPr>
      <w:r>
        <w:rPr>
          <w:rFonts w:hint="eastAsia"/>
        </w:rPr>
        <w:t>1</w:t>
      </w:r>
      <w:r>
        <w:t>.</w:t>
      </w:r>
      <w:r>
        <w:rPr>
          <w:rFonts w:hint="eastAsia"/>
        </w:rPr>
        <w:t>热负荷预测</w:t>
      </w:r>
    </w:p>
    <w:p>
      <w:pPr>
        <w:ind w:firstLine="640"/>
      </w:pPr>
      <w:r>
        <w:rPr>
          <w:rFonts w:hint="eastAsia"/>
        </w:rPr>
        <w:t>预测镇区采暖热负荷约</w:t>
      </w:r>
      <w:r>
        <w:t>49.26</w:t>
      </w:r>
      <w:r>
        <w:rPr>
          <w:rFonts w:hint="eastAsia"/>
        </w:rPr>
        <w:t>兆瓦。</w:t>
      </w:r>
    </w:p>
    <w:p>
      <w:pPr>
        <w:ind w:firstLine="640"/>
      </w:pPr>
      <w:r>
        <w:rPr>
          <w:rFonts w:hint="eastAsia"/>
        </w:rPr>
        <w:t>2</w:t>
      </w:r>
      <w:r>
        <w:t>.</w:t>
      </w:r>
      <w:r>
        <w:rPr>
          <w:rFonts w:hint="eastAsia"/>
        </w:rPr>
        <w:t>热源规划</w:t>
      </w:r>
    </w:p>
    <w:p>
      <w:pPr>
        <w:ind w:firstLine="640"/>
      </w:pPr>
      <w:r>
        <w:rPr>
          <w:rFonts w:hint="eastAsia"/>
        </w:rPr>
        <w:t>规划镇区采用分区域集中供热模式，热源为电能、风能、燃气等清洁能源，规划在镇区内设置</w:t>
      </w:r>
      <w:r>
        <w:t>3座供热站</w:t>
      </w:r>
      <w:r>
        <w:rPr>
          <w:rFonts w:hint="eastAsia"/>
        </w:rPr>
        <w:t>。</w:t>
      </w:r>
    </w:p>
    <w:p>
      <w:pPr>
        <w:pStyle w:val="4"/>
        <w:spacing w:before="195" w:beforeLines="60" w:after="195" w:afterLines="60" w:line="240" w:lineRule="auto"/>
      </w:pPr>
      <w:r>
        <w:rPr>
          <w:rFonts w:hint="eastAsia"/>
        </w:rPr>
        <w:t>环卫工程规划</w:t>
      </w:r>
    </w:p>
    <w:p>
      <w:pPr>
        <w:ind w:firstLine="640"/>
      </w:pPr>
      <w:r>
        <w:rPr>
          <w:rFonts w:hint="eastAsia"/>
        </w:rPr>
        <w:t>1</w:t>
      </w:r>
      <w:r>
        <w:t>.生活垃圾量预测</w:t>
      </w:r>
    </w:p>
    <w:p>
      <w:pPr>
        <w:ind w:firstLine="640"/>
      </w:pPr>
      <w:r>
        <w:t>2035年，镇区规划人口约9040人，人均生活垃圾产生量1.0千克/人·日进行预测。规划至2035年，镇区预测生活垃圾产量为9.04吨/日。</w:t>
      </w:r>
    </w:p>
    <w:p>
      <w:pPr>
        <w:ind w:firstLine="640"/>
      </w:pPr>
      <w:r>
        <w:rPr>
          <w:rFonts w:hint="eastAsia"/>
        </w:rPr>
        <w:t>2</w:t>
      </w:r>
      <w:r>
        <w:t>.垃圾收运与处置</w:t>
      </w:r>
    </w:p>
    <w:p>
      <w:pPr>
        <w:ind w:firstLine="640"/>
      </w:pPr>
      <w:bookmarkStart w:id="114" w:name="_Hlk183016210"/>
      <w:r>
        <w:rPr>
          <w:rFonts w:hint="eastAsia"/>
        </w:rPr>
        <w:t>镇区</w:t>
      </w:r>
      <w:bookmarkEnd w:id="114"/>
      <w:r>
        <w:rPr>
          <w:rFonts w:hint="eastAsia"/>
        </w:rPr>
        <w:t>建立二级转运系统，生活垃圾由垃圾收集点收集后运送至生活垃圾收集站，再运输至规划垃圾转运站进行压缩处理，直接送至垃圾处理场统一处理。</w:t>
      </w:r>
    </w:p>
    <w:p>
      <w:pPr>
        <w:ind w:firstLine="640"/>
      </w:pPr>
      <w:r>
        <w:rPr>
          <w:rFonts w:hint="eastAsia"/>
        </w:rPr>
        <w:t>建筑垃圾运至建筑垃圾处理厂进行处理；医疗垃圾应采用医疗卫生垃圾专用车运输，统一运输至南阳市医疗垃圾集中处理中心处理；工业一般垃圾以各厂区内部处置为主，资源化与最终处置相结合；危险废弃物纳入南阳市危废处置系统，运至危废处置中心安全处置。</w:t>
      </w:r>
    </w:p>
    <w:p>
      <w:pPr>
        <w:ind w:firstLine="640"/>
      </w:pPr>
      <w:r>
        <w:rPr>
          <w:rFonts w:hint="eastAsia"/>
        </w:rPr>
        <w:t>3</w:t>
      </w:r>
      <w:r>
        <w:t>.环卫设施布局</w:t>
      </w:r>
    </w:p>
    <w:p>
      <w:pPr>
        <w:ind w:firstLine="640"/>
      </w:pPr>
      <w:bookmarkStart w:id="115" w:name="_Hlk183016276"/>
      <w:r>
        <w:rPr>
          <w:rFonts w:hint="eastAsia"/>
        </w:rPr>
        <w:t>镇区东侧栗园村内</w:t>
      </w:r>
      <w:r>
        <w:t>规划一座小型（V）生活垃圾转运站，转运规模为40吨/日。</w:t>
      </w:r>
    </w:p>
    <w:bookmarkEnd w:id="115"/>
    <w:p>
      <w:pPr>
        <w:ind w:firstLine="640"/>
      </w:pPr>
      <w:r>
        <w:rPr>
          <w:rFonts w:hint="eastAsia"/>
        </w:rPr>
        <w:t>镇区</w:t>
      </w:r>
      <w:r>
        <w:t>需环卫停车场面积0.25公顷。</w:t>
      </w:r>
      <w:r>
        <w:rPr>
          <w:rFonts w:hint="eastAsia"/>
        </w:rPr>
        <w:t>规划</w:t>
      </w:r>
      <w:r>
        <w:t>1处环卫车辆停车场，结合垃圾转运站停放。</w:t>
      </w:r>
    </w:p>
    <w:p>
      <w:pPr>
        <w:pStyle w:val="3"/>
        <w:spacing w:before="326" w:beforeLines="100" w:after="326" w:afterLines="100"/>
      </w:pPr>
      <w:bookmarkStart w:id="116" w:name="_Toc183017814"/>
      <w:r>
        <w:rPr>
          <w:rFonts w:hint="eastAsia"/>
        </w:rPr>
        <w:t>综合防灾减灾规划</w:t>
      </w:r>
      <w:bookmarkEnd w:id="116"/>
    </w:p>
    <w:p>
      <w:pPr>
        <w:pStyle w:val="4"/>
        <w:spacing w:before="195" w:beforeLines="60" w:after="195" w:afterLines="60" w:line="240" w:lineRule="auto"/>
      </w:pPr>
      <w:r>
        <w:rPr>
          <w:rFonts w:hint="eastAsia"/>
        </w:rPr>
        <w:t>综合防灾减灾目标</w:t>
      </w:r>
    </w:p>
    <w:p>
      <w:pPr>
        <w:spacing w:before="65"/>
        <w:ind w:firstLine="640"/>
      </w:pPr>
      <w:r>
        <w:rPr>
          <w:rFonts w:hint="eastAsia"/>
        </w:rPr>
        <w:t>完善避难场所和疏散通道体系，健全各类防灾设施体系，加强生命线系统应急保障能力，优化应急服务设施布局，构建基于社区层面的防灾生活圈，通过灾害隐患点治理全面降低镇区的灾害风险，提高镇区的防灾减灾能力。</w:t>
      </w:r>
    </w:p>
    <w:p>
      <w:pPr>
        <w:pStyle w:val="4"/>
        <w:spacing w:before="195" w:beforeLines="60" w:after="195" w:afterLines="60" w:line="240" w:lineRule="auto"/>
      </w:pPr>
      <w:r>
        <w:rPr>
          <w:rFonts w:hint="eastAsia"/>
        </w:rPr>
        <w:t>综合防灾空间布局</w:t>
      </w:r>
    </w:p>
    <w:p>
      <w:pPr>
        <w:ind w:firstLine="640"/>
      </w:pPr>
      <w:r>
        <w:rPr>
          <w:rFonts w:hint="eastAsia"/>
        </w:rPr>
        <w:t>1</w:t>
      </w:r>
      <w:r>
        <w:t>.防洪排涝规划</w:t>
      </w:r>
    </w:p>
    <w:p>
      <w:pPr>
        <w:ind w:firstLine="640"/>
      </w:pPr>
      <w:r>
        <w:rPr>
          <w:rFonts w:hint="eastAsia"/>
        </w:rPr>
        <w:t>防洪标准：夏馆镇镇区按</w:t>
      </w:r>
      <w:r>
        <w:t>20年一遇标准设防；镇</w:t>
      </w:r>
      <w:r>
        <w:rPr>
          <w:rFonts w:hint="eastAsia"/>
        </w:rPr>
        <w:t>中部鱼道河</w:t>
      </w:r>
      <w:r>
        <w:t>按20年一遇标准设防。</w:t>
      </w:r>
    </w:p>
    <w:p>
      <w:pPr>
        <w:ind w:firstLine="640"/>
      </w:pPr>
      <w:r>
        <w:rPr>
          <w:rFonts w:hint="eastAsia"/>
        </w:rPr>
        <w:t>内涝防治标准：夏馆镇能有效应对不低于</w:t>
      </w:r>
      <w:r>
        <w:t>20年一遇的暴雨。</w:t>
      </w:r>
    </w:p>
    <w:p>
      <w:pPr>
        <w:ind w:firstLine="640"/>
      </w:pPr>
      <w:r>
        <w:rPr>
          <w:rFonts w:hint="eastAsia"/>
        </w:rPr>
        <w:t>2</w:t>
      </w:r>
      <w:r>
        <w:t>.消防规划</w:t>
      </w:r>
    </w:p>
    <w:p>
      <w:pPr>
        <w:ind w:firstLine="640"/>
      </w:pPr>
      <w:r>
        <w:rPr>
          <w:rFonts w:hint="eastAsia"/>
        </w:rPr>
        <w:t>镇区按照普通消防站接警后</w:t>
      </w:r>
      <w:r>
        <w:t>5分钟内消防队可以到达责任区边缘为原则，及消防站责任区范围小于7平方千米的要求设置消防站，</w:t>
      </w:r>
      <w:r>
        <w:rPr>
          <w:rFonts w:hint="eastAsia"/>
        </w:rPr>
        <w:t>规划在镇区南侧、凤鸣街东设置</w:t>
      </w:r>
      <w:bookmarkStart w:id="117" w:name="_Hlk183016452"/>
      <w:r>
        <w:rPr>
          <w:rFonts w:hint="eastAsia"/>
        </w:rPr>
        <w:t>1处一级乡镇专职消防队</w:t>
      </w:r>
      <w:bookmarkEnd w:id="117"/>
      <w:r>
        <w:t>。</w:t>
      </w:r>
    </w:p>
    <w:p>
      <w:pPr>
        <w:ind w:firstLine="640"/>
      </w:pPr>
      <w:r>
        <w:rPr>
          <w:rFonts w:hint="eastAsia"/>
        </w:rPr>
        <w:t>3</w:t>
      </w:r>
      <w:r>
        <w:t>.抗震防灾规划</w:t>
      </w:r>
    </w:p>
    <w:p>
      <w:pPr>
        <w:ind w:firstLine="640"/>
      </w:pPr>
      <w:r>
        <w:rPr>
          <w:rFonts w:hint="eastAsia"/>
        </w:rPr>
        <w:t>夏馆镇地震烈度为</w:t>
      </w:r>
      <w:r>
        <w:t>7度。新建、扩建、改建建设工程应当达到抗震设防要求；镇区生命线工程（给排水、供电、通讯、道路、桥梁、堤坝等）及主要公共建筑（如体育馆、学校、卫生院、消防站、重要仓库等）按照8度设防。</w:t>
      </w:r>
    </w:p>
    <w:p>
      <w:pPr>
        <w:ind w:firstLine="640"/>
      </w:pPr>
      <w:r>
        <w:rPr>
          <w:rFonts w:hint="eastAsia"/>
        </w:rPr>
        <w:t>利用镇区公园、绿地、广场、学校、体育场、空地等作为避震疏散场地。固定避难场所人均有效避难面积不小于</w:t>
      </w:r>
      <w:r>
        <w:t>2.0平方米。</w:t>
      </w:r>
    </w:p>
    <w:p>
      <w:pPr>
        <w:ind w:firstLine="640"/>
      </w:pPr>
      <w:r>
        <w:rPr>
          <w:rFonts w:hint="eastAsia"/>
        </w:rPr>
        <w:t>将镇区主次干道、过境公路作为主要避震疏散通道。</w:t>
      </w:r>
    </w:p>
    <w:p>
      <w:pPr>
        <w:ind w:firstLine="640"/>
        <w:rPr>
          <w:lang w:val="zh-CN"/>
        </w:rPr>
      </w:pPr>
      <w:r>
        <w:rPr>
          <w:rFonts w:hint="eastAsia"/>
          <w:lang w:val="zh-CN"/>
        </w:rPr>
        <w:t>救灾干道：凤鸣街、嵩华街</w:t>
      </w:r>
    </w:p>
    <w:p>
      <w:pPr>
        <w:ind w:firstLine="640"/>
      </w:pPr>
      <w:r>
        <w:rPr>
          <w:rFonts w:hint="eastAsia"/>
        </w:rPr>
        <w:t>疏散主干道：以龙翔街、南环路等镇区主干道为主要疏散干道。</w:t>
      </w:r>
    </w:p>
    <w:p>
      <w:pPr>
        <w:ind w:firstLine="640"/>
      </w:pPr>
      <w:r>
        <w:rPr>
          <w:rFonts w:hint="eastAsia"/>
        </w:rPr>
        <w:t>4</w:t>
      </w:r>
      <w:r>
        <w:t>.突发公共卫生事件防御规划</w:t>
      </w:r>
    </w:p>
    <w:p>
      <w:pPr>
        <w:ind w:firstLine="640"/>
      </w:pPr>
      <w:r>
        <w:rPr>
          <w:rFonts w:hint="eastAsia"/>
        </w:rPr>
        <w:t>出现灾情、疫情时，在镇区主入口设公安劝阻站，控制疏导车辆、人流进出镇区，保证救灾车辆顺利通行，所有出入疫区的人流、车流经过消毒，防止疫情扩散。</w:t>
      </w:r>
    </w:p>
    <w:p>
      <w:pPr>
        <w:pStyle w:val="4"/>
        <w:spacing w:before="195" w:beforeLines="60" w:after="195" w:afterLines="60" w:line="240" w:lineRule="auto"/>
      </w:pPr>
      <w:r>
        <w:rPr>
          <w:rFonts w:hint="eastAsia"/>
        </w:rPr>
        <w:t>综合防灾应急服务设施规划</w:t>
      </w:r>
    </w:p>
    <w:p>
      <w:pPr>
        <w:ind w:firstLine="640"/>
      </w:pPr>
      <w:r>
        <w:rPr>
          <w:rFonts w:hint="eastAsia"/>
        </w:rPr>
        <w:t>1</w:t>
      </w:r>
      <w:r>
        <w:t>.应急指挥设施体系</w:t>
      </w:r>
    </w:p>
    <w:p>
      <w:pPr>
        <w:ind w:firstLine="640"/>
      </w:pPr>
      <w:r>
        <w:rPr>
          <w:rFonts w:hint="eastAsia"/>
        </w:rPr>
        <w:t>镇区设置应急指挥中心</w:t>
      </w:r>
      <w:r>
        <w:t>1处，位于镇人民政府。</w:t>
      </w:r>
    </w:p>
    <w:p>
      <w:pPr>
        <w:ind w:firstLine="640"/>
      </w:pPr>
      <w:r>
        <w:rPr>
          <w:rFonts w:hint="eastAsia"/>
        </w:rPr>
        <w:t>2</w:t>
      </w:r>
      <w:r>
        <w:t>.应急救灾物资储备设施</w:t>
      </w:r>
    </w:p>
    <w:p>
      <w:pPr>
        <w:ind w:firstLine="640"/>
      </w:pPr>
      <w:r>
        <w:rPr>
          <w:rFonts w:hint="eastAsia"/>
        </w:rPr>
        <w:t>镇区设置救灾物资储备库，并配置装卸设备、技防设备、物资保管维护设备、交通工具（应急调度车、救灾物资转运车）与通讯调度设备等。</w:t>
      </w:r>
    </w:p>
    <w:p>
      <w:pPr>
        <w:ind w:firstLine="640"/>
      </w:pPr>
      <w:r>
        <w:rPr>
          <w:rFonts w:hint="eastAsia"/>
        </w:rPr>
        <w:t>3</w:t>
      </w:r>
      <w:r>
        <w:t>.提升应急医疗服务能力</w:t>
      </w:r>
    </w:p>
    <w:p>
      <w:pPr>
        <w:ind w:firstLine="640"/>
      </w:pPr>
      <w:r>
        <w:rPr>
          <w:rFonts w:hint="eastAsia"/>
        </w:rPr>
        <w:t>镇区依托卫生院设置镇级应急医疗设施。</w:t>
      </w:r>
    </w:p>
    <w:p>
      <w:pPr>
        <w:ind w:firstLine="640"/>
      </w:pPr>
      <w:r>
        <w:rPr>
          <w:rFonts w:hint="eastAsia"/>
        </w:rPr>
        <w:t>4</w:t>
      </w:r>
      <w:r>
        <w:t>.生命线系统</w:t>
      </w:r>
    </w:p>
    <w:p>
      <w:pPr>
        <w:ind w:firstLine="640"/>
      </w:pPr>
      <w:r>
        <w:rPr>
          <w:rFonts w:hint="eastAsia"/>
        </w:rPr>
        <w:t>供水系统：水厂建设标准应满足放在要求，在每个紧急避难场所设取水井供灾时使用；配备送水车以备应急时使用。</w:t>
      </w:r>
    </w:p>
    <w:p>
      <w:pPr>
        <w:ind w:firstLine="640"/>
      </w:pPr>
      <w:r>
        <w:rPr>
          <w:rFonts w:hint="eastAsia"/>
        </w:rPr>
        <w:t>供电系统：避震疏散场所储备必要的供电设施（小型发电机、应急电源接入开关柜），特别是政府救灾部门、卫生院、派出所、消防部门。配备一定数量的移动发电车，保障灾害时救灾相关部门发电机出现故障时的供电。</w:t>
      </w:r>
    </w:p>
    <w:p>
      <w:pPr>
        <w:ind w:firstLine="640"/>
      </w:pPr>
      <w:r>
        <w:rPr>
          <w:rFonts w:hint="eastAsia"/>
        </w:rPr>
        <w:t>通信系统：为政府救灾部门、卫生院、派出所、消防部门配备防灾通信机房及无线基站，采用专线光缆与重要通信机楼联络。配备一定数量的移动通信车、全球卫星通信设备，加强重大灾害时政府救灾部门、卫生院、派出所、消防部门的通信能力。</w:t>
      </w:r>
    </w:p>
    <w:p>
      <w:pPr>
        <w:ind w:firstLine="640"/>
      </w:pPr>
      <w:r>
        <w:rPr>
          <w:rFonts w:hint="eastAsia"/>
        </w:rPr>
        <w:t>燃气系统：维修和改造现有燃气系统薄弱环节；加强新铺设管道抗灾能力；设置防灾自动化控制系统；燃料供应点（加油加气站）由防灾指挥部统一调配；设立一网统管燃气管理系统，燃气设施增加互联网传感器；配备一定数量的燃气应急泄露疏散设备移动发电车移动通信车抢险维修维护车辆。</w:t>
      </w:r>
    </w:p>
    <w:p>
      <w:pPr>
        <w:pStyle w:val="3"/>
        <w:spacing w:before="326" w:beforeLines="100" w:after="326" w:afterLines="100"/>
      </w:pPr>
      <w:bookmarkStart w:id="118" w:name="_Toc183017815"/>
      <w:r>
        <w:rPr>
          <w:rFonts w:hint="eastAsia"/>
        </w:rPr>
        <w:t>控制线划定</w:t>
      </w:r>
      <w:bookmarkEnd w:id="118"/>
    </w:p>
    <w:p>
      <w:pPr>
        <w:pStyle w:val="4"/>
        <w:spacing w:before="195" w:beforeLines="60" w:after="195" w:afterLines="60" w:line="240" w:lineRule="auto"/>
      </w:pPr>
      <w:r>
        <w:rPr>
          <w:rFonts w:hint="eastAsia"/>
        </w:rPr>
        <w:t>城市黄</w:t>
      </w:r>
      <w:r>
        <w:t>线</w:t>
      </w:r>
    </w:p>
    <w:p>
      <w:pPr>
        <w:spacing w:before="65"/>
        <w:ind w:firstLine="640"/>
        <w:rPr>
          <w:u w:val="single"/>
        </w:rPr>
      </w:pPr>
      <w:r>
        <w:rPr>
          <w:rFonts w:hint="eastAsia"/>
          <w:u w:val="single"/>
        </w:rPr>
        <w:t>城市黄线包括夏馆镇汽车客运站、</w:t>
      </w:r>
      <w:r>
        <w:rPr>
          <w:u w:val="single"/>
        </w:rPr>
        <w:t>35KV变电站和消防站，面积分别为0.19公顷、0.39公顷和0.05公顷</w:t>
      </w:r>
      <w:r>
        <w:rPr>
          <w:rFonts w:hint="eastAsia"/>
          <w:u w:val="single"/>
        </w:rPr>
        <w:t>。</w:t>
      </w:r>
    </w:p>
    <w:p>
      <w:pPr>
        <w:spacing w:before="65"/>
        <w:ind w:firstLine="640"/>
        <w:rPr>
          <w:u w:val="single"/>
        </w:rPr>
      </w:pPr>
      <w:r>
        <w:rPr>
          <w:rFonts w:hint="eastAsia"/>
          <w:u w:val="single"/>
        </w:rPr>
        <w:t>重大基础设施和公共安全设施控制线内不得改作他用，不得违反法律法规、强制性标准以及批准的规划进行开发建设。</w:t>
      </w:r>
      <w:r>
        <w:rPr>
          <w:u w:val="single"/>
        </w:rPr>
        <w:t>违反国家有关技术标准和规范进行建设；未经批准，改装、迁移或拆毁原有城市基础设施；其他损坏城市基础设施或影响城市基础设施安全和正常运转的行为。</w:t>
      </w:r>
    </w:p>
    <w:p>
      <w:pPr>
        <w:pStyle w:val="4"/>
        <w:spacing w:before="195" w:beforeLines="60" w:after="195" w:afterLines="60" w:line="240" w:lineRule="auto"/>
      </w:pPr>
      <w:r>
        <w:rPr>
          <w:rFonts w:hint="eastAsia"/>
        </w:rPr>
        <w:t>城市绿线</w:t>
      </w:r>
    </w:p>
    <w:p>
      <w:pPr>
        <w:spacing w:before="65"/>
        <w:ind w:firstLine="640"/>
        <w:rPr>
          <w:u w:val="single"/>
        </w:rPr>
      </w:pPr>
      <w:r>
        <w:rPr>
          <w:rFonts w:hint="eastAsia"/>
          <w:u w:val="single"/>
        </w:rPr>
        <w:t>城市绿线控制范围共</w:t>
      </w:r>
      <w:r>
        <w:rPr>
          <w:u w:val="single"/>
        </w:rPr>
        <w:t>0.92公顷，为规划范围内的公园绿地和广场用地</w:t>
      </w:r>
      <w:r>
        <w:rPr>
          <w:rFonts w:hint="eastAsia"/>
          <w:u w:val="single"/>
        </w:rPr>
        <w:t>。</w:t>
      </w:r>
    </w:p>
    <w:p>
      <w:pPr>
        <w:spacing w:before="65"/>
        <w:ind w:firstLine="640"/>
      </w:pPr>
      <w:r>
        <w:rPr>
          <w:rFonts w:hint="eastAsia"/>
          <w:u w:val="single"/>
        </w:rPr>
        <w:t>城市绿线内的用地，不得改作他用，不得违反法律法规、强制性标准以及批准的规划进行开发建设。控制线内的用地，不得改作他用，不得违反法律法规、强制性标准以及批准的规划进行开发建设。有关部门不得违反规定，批准在城市绿线范围内进行建设。因建设或者其他特殊情况，需要临时占用城市绿线内用地的，必须依法办理相关审批手续。在城市绿线范围内，不符合规划要求的建筑物、构筑物及其他设施应当限期迁出。任何单位和个人不得在绿地控制线范围内进行拦河截溪、取土采石、设置垃圾堆场、排放污水以及其他对生态环境构成破坏的活动。近期不进行绿化建设的规划绿地范围内的建设活动，应当进行生态环境影响分析，并按照《中华人民共和国城乡规划法》的规定，予以严格控制</w:t>
      </w:r>
      <w:r>
        <w:rPr>
          <w:rFonts w:hint="eastAsia"/>
        </w:rPr>
        <w:t>。</w:t>
      </w:r>
    </w:p>
    <w:p>
      <w:pPr>
        <w:pStyle w:val="4"/>
        <w:spacing w:before="195" w:beforeLines="60" w:after="195" w:afterLines="60" w:line="240" w:lineRule="auto"/>
      </w:pPr>
      <w:r>
        <w:rPr>
          <w:rFonts w:hint="eastAsia"/>
        </w:rPr>
        <w:t>城市蓝线</w:t>
      </w:r>
    </w:p>
    <w:p>
      <w:pPr>
        <w:spacing w:before="65"/>
        <w:ind w:firstLine="640"/>
        <w:rPr>
          <w:u w:val="single"/>
        </w:rPr>
      </w:pPr>
      <w:r>
        <w:rPr>
          <w:rFonts w:hint="eastAsia"/>
          <w:u w:val="single"/>
        </w:rPr>
        <w:t>城市蓝线主要控制夏馆河两侧约</w:t>
      </w:r>
      <w:r>
        <w:rPr>
          <w:u w:val="single"/>
        </w:rPr>
        <w:t>80到100米的控制线</w:t>
      </w:r>
      <w:r>
        <w:rPr>
          <w:rFonts w:hint="eastAsia"/>
          <w:u w:val="single"/>
        </w:rPr>
        <w:t>。</w:t>
      </w:r>
    </w:p>
    <w:p>
      <w:pPr>
        <w:spacing w:before="65"/>
        <w:ind w:firstLine="640"/>
        <w:rPr>
          <w:u w:val="single"/>
        </w:rPr>
      </w:pPr>
      <w:r>
        <w:rPr>
          <w:rFonts w:hint="eastAsia"/>
          <w:u w:val="single"/>
        </w:rPr>
        <w:t>在城市蓝线内禁止擅自填埋、占用城市蓝线内水域；禁止影响水系安全的爆破、采石、取土；禁止擅自建设各类排污设施；禁止其它对城市水系保护构成破坏的活动。</w:t>
      </w:r>
    </w:p>
    <w:p>
      <w:pPr>
        <w:spacing w:before="65"/>
        <w:ind w:firstLine="640"/>
        <w:rPr>
          <w:u w:val="single"/>
        </w:rPr>
      </w:pPr>
      <w:r>
        <w:rPr>
          <w:rFonts w:hint="eastAsia"/>
          <w:u w:val="single"/>
        </w:rPr>
        <w:t>在城市蓝线内进行各项建设，必须符合经批准的国土空间规划。</w:t>
      </w:r>
    </w:p>
    <w:p>
      <w:pPr>
        <w:spacing w:before="65"/>
        <w:ind w:firstLine="640"/>
      </w:pPr>
      <w:r>
        <w:rPr>
          <w:rFonts w:hint="eastAsia"/>
          <w:u w:val="single"/>
        </w:rPr>
        <w:t>在城市蓝线内新建、改建、扩建各类建筑物、构筑物、道路、管线和其他工程设施，应当依法向建设主管部门（城乡规划主管部门）申请办理城市规划许可，并依照有关法律、法规办理相关手续</w:t>
      </w:r>
      <w:r>
        <w:rPr>
          <w:rFonts w:hint="eastAsia"/>
        </w:rPr>
        <w:t>。</w:t>
      </w:r>
    </w:p>
    <w:p>
      <w:pPr>
        <w:spacing w:before="65"/>
        <w:ind w:firstLine="640"/>
      </w:pPr>
      <w:r>
        <w:br w:type="page"/>
      </w:r>
    </w:p>
    <w:p>
      <w:pPr>
        <w:spacing w:before="65"/>
        <w:ind w:firstLine="640"/>
      </w:pPr>
    </w:p>
    <w:p>
      <w:pPr>
        <w:pStyle w:val="2"/>
        <w:spacing w:before="489" w:beforeLines="150" w:after="489" w:afterLines="150"/>
      </w:pPr>
      <w:bookmarkStart w:id="119" w:name="_Toc211259330"/>
      <w:bookmarkStart w:id="120" w:name="_Toc183017803"/>
      <w:bookmarkStart w:id="121" w:name="_Toc221006228"/>
      <w:r>
        <w:rPr>
          <w:rFonts w:hint="eastAsia"/>
        </w:rPr>
        <w:t>土地综合整治与生态修复</w:t>
      </w:r>
      <w:bookmarkEnd w:id="119"/>
      <w:bookmarkEnd w:id="120"/>
      <w:bookmarkEnd w:id="121"/>
    </w:p>
    <w:p>
      <w:pPr>
        <w:pStyle w:val="3"/>
        <w:spacing w:before="326" w:beforeLines="100" w:after="326" w:afterLines="100"/>
      </w:pPr>
      <w:bookmarkStart w:id="122" w:name="_Toc183017804"/>
      <w:r>
        <w:rPr>
          <w:rFonts w:hint="eastAsia"/>
        </w:rPr>
        <w:t>土地综合整治</w:t>
      </w:r>
      <w:bookmarkEnd w:id="122"/>
    </w:p>
    <w:p>
      <w:pPr>
        <w:pStyle w:val="4"/>
        <w:spacing w:before="195" w:beforeLines="60" w:after="195" w:afterLines="60" w:line="240" w:lineRule="auto"/>
      </w:pPr>
      <w:r>
        <w:rPr>
          <w:rFonts w:hint="eastAsia"/>
        </w:rPr>
        <w:t>落实</w:t>
      </w:r>
      <w:r>
        <w:t>整治</w:t>
      </w:r>
      <w:r>
        <w:rPr>
          <w:rFonts w:hint="eastAsia"/>
        </w:rPr>
        <w:t>任务</w:t>
      </w:r>
    </w:p>
    <w:p>
      <w:pPr>
        <w:spacing w:before="65"/>
        <w:ind w:firstLine="640"/>
        <w:rPr>
          <w:rFonts w:ascii="Times New Roman" w:hAnsi="Times New Roman"/>
        </w:rPr>
      </w:pPr>
      <w:r>
        <w:rPr>
          <w:rFonts w:hint="eastAsia"/>
        </w:rPr>
        <w:t>规划期内，</w:t>
      </w:r>
      <w:bookmarkStart w:id="123" w:name="_Hlk200566390"/>
      <w:r>
        <w:rPr>
          <w:rFonts w:hint="eastAsia"/>
        </w:rPr>
        <w:t>落实土地整治补充耕地任务不低于</w:t>
      </w:r>
      <w:r>
        <w:t>197.73公顷，其中</w:t>
      </w:r>
      <w:bookmarkStart w:id="124" w:name="_Hlk200565381"/>
      <w:r>
        <w:t>农用地整理补充耕地</w:t>
      </w:r>
      <w:bookmarkStart w:id="125" w:name="OLE_LINK2"/>
      <w:bookmarkStart w:id="126" w:name="OLE_LINK3"/>
      <w:r>
        <w:rPr>
          <w:rFonts w:hint="eastAsia"/>
        </w:rPr>
        <w:t>潜力</w:t>
      </w:r>
      <w:bookmarkEnd w:id="125"/>
      <w:bookmarkEnd w:id="126"/>
      <w:r>
        <w:t>规模127.38公顷，农村建设用地整理补充耕地</w:t>
      </w:r>
      <w:r>
        <w:rPr>
          <w:rFonts w:hint="eastAsia"/>
        </w:rPr>
        <w:t>潜力</w:t>
      </w:r>
      <w:r>
        <w:t>规模48.22公顷，耕地后备资源开发补充耕地</w:t>
      </w:r>
      <w:r>
        <w:rPr>
          <w:rFonts w:hint="eastAsia"/>
        </w:rPr>
        <w:t>潜力</w:t>
      </w:r>
      <w:r>
        <w:t>规模22.13公顷</w:t>
      </w:r>
      <w:bookmarkEnd w:id="124"/>
      <w:r>
        <w:t>。区域内永久基本农田全部建成为高标准农田</w:t>
      </w:r>
      <w:bookmarkEnd w:id="123"/>
      <w:r>
        <w:rPr>
          <w:rFonts w:ascii="Times New Roman" w:hAnsi="Times New Roman"/>
          <w:lang w:bidi="ar"/>
        </w:rPr>
        <w:t>。</w:t>
      </w:r>
    </w:p>
    <w:p>
      <w:pPr>
        <w:pStyle w:val="4"/>
        <w:spacing w:before="195" w:beforeLines="60" w:after="195" w:afterLines="60" w:line="240" w:lineRule="auto"/>
      </w:pPr>
      <w:bookmarkStart w:id="127" w:name="_Hlk200566539"/>
      <w:r>
        <w:rPr>
          <w:rFonts w:hint="eastAsia"/>
        </w:rPr>
        <w:t>整治</w:t>
      </w:r>
      <w:r>
        <w:t>重点区域</w:t>
      </w:r>
    </w:p>
    <w:p>
      <w:pPr>
        <w:ind w:firstLine="640"/>
      </w:pPr>
      <w:r>
        <w:rPr>
          <w:rFonts w:hint="eastAsia"/>
        </w:rPr>
        <w:t>1</w:t>
      </w:r>
      <w:r>
        <w:t>.</w:t>
      </w:r>
      <w:r>
        <w:rPr>
          <w:rFonts w:hint="eastAsia"/>
        </w:rPr>
        <w:t>土地</w:t>
      </w:r>
      <w:r>
        <w:t>综合整治重点区域</w:t>
      </w:r>
    </w:p>
    <w:p>
      <w:pPr>
        <w:ind w:firstLine="640"/>
      </w:pPr>
      <w:r>
        <w:rPr>
          <w:rFonts w:hint="eastAsia" w:ascii="Times New Roman" w:hAnsi="Times New Roman"/>
          <w:lang w:bidi="ar"/>
        </w:rPr>
        <w:t>包括大栗坪村、小栗坪村、黄靳村、四台沟村等</w:t>
      </w:r>
      <w:r>
        <w:rPr>
          <w:rFonts w:ascii="Times New Roman" w:hAnsi="Times New Roman"/>
          <w:lang w:bidi="ar"/>
        </w:rPr>
        <w:t>4个村庄。</w:t>
      </w:r>
      <w:r>
        <w:rPr>
          <w:rFonts w:hint="eastAsia" w:ascii="Times New Roman" w:hAnsi="Times New Roman"/>
          <w:lang w:bidi="ar"/>
        </w:rPr>
        <w:t>此区域</w:t>
      </w:r>
      <w:r>
        <w:rPr>
          <w:rFonts w:ascii="Times New Roman" w:hAnsi="Times New Roman"/>
          <w:lang w:bidi="ar"/>
        </w:rPr>
        <w:t>宜</w:t>
      </w:r>
      <w:r>
        <w:rPr>
          <w:rFonts w:hint="eastAsia" w:ascii="Times New Roman" w:hAnsi="Times New Roman"/>
          <w:lang w:bidi="ar"/>
        </w:rPr>
        <w:t>整体推进农用地整理、建设用地整理和生态保护修复，优化生产、生活、生态空间，促进土地节约集约利用，改善农村人居环境，加快推进农业农村现代化。</w:t>
      </w:r>
    </w:p>
    <w:p>
      <w:pPr>
        <w:ind w:firstLine="640"/>
      </w:pPr>
      <w:r>
        <w:rPr>
          <w:rFonts w:hint="eastAsia"/>
        </w:rPr>
        <w:t>2</w:t>
      </w:r>
      <w:r>
        <w:t>.</w:t>
      </w:r>
      <w:r>
        <w:rPr>
          <w:rFonts w:hint="eastAsia"/>
        </w:rPr>
        <w:t>农用地</w:t>
      </w:r>
      <w:r>
        <w:t>整理重点区域</w:t>
      </w:r>
    </w:p>
    <w:p>
      <w:pPr>
        <w:ind w:firstLine="640"/>
      </w:pPr>
      <w:r>
        <w:rPr>
          <w:rFonts w:hint="eastAsia" w:ascii="Times New Roman" w:hAnsi="Times New Roman"/>
          <w:lang w:bidi="ar"/>
        </w:rPr>
        <w:t>包括夏馆村、栗园村、黄龙村、西河堂村等</w:t>
      </w:r>
      <w:r>
        <w:rPr>
          <w:rFonts w:ascii="Times New Roman" w:hAnsi="Times New Roman"/>
          <w:lang w:bidi="ar"/>
        </w:rPr>
        <w:t>4个村庄。</w:t>
      </w:r>
      <w:r>
        <w:rPr>
          <w:rFonts w:hint="eastAsia" w:ascii="Times New Roman" w:hAnsi="Times New Roman"/>
          <w:lang w:bidi="ar"/>
        </w:rPr>
        <w:t>此区域</w:t>
      </w:r>
      <w:r>
        <w:rPr>
          <w:rFonts w:ascii="Times New Roman" w:hAnsi="Times New Roman"/>
          <w:lang w:bidi="ar"/>
        </w:rPr>
        <w:t>宜</w:t>
      </w:r>
      <w:r>
        <w:rPr>
          <w:rFonts w:hint="eastAsia"/>
          <w:lang w:bidi="ar"/>
        </w:rPr>
        <w:t>统筹推进低效林草地和园林地整理、农田基础设施建设和现状耕地提质改造等，加快推进高标准农田建设，夯实农业现代化基础。</w:t>
      </w:r>
    </w:p>
    <w:p>
      <w:pPr>
        <w:pStyle w:val="4"/>
        <w:spacing w:before="195" w:beforeLines="60" w:after="195" w:afterLines="60" w:line="240" w:lineRule="auto"/>
      </w:pPr>
      <w:r>
        <w:rPr>
          <w:rFonts w:hint="eastAsia"/>
        </w:rPr>
        <w:t>整治</w:t>
      </w:r>
      <w:r>
        <w:t>重点工程</w:t>
      </w:r>
    </w:p>
    <w:p>
      <w:pPr>
        <w:spacing w:before="65"/>
        <w:ind w:firstLine="640"/>
      </w:pPr>
      <w:r>
        <w:rPr>
          <w:rFonts w:hint="eastAsia"/>
          <w:bCs/>
        </w:rPr>
        <w:t>全域土地综合整治项目。在板场乡和夏馆镇综合安排国土综合整治重点项目——板场乡、夏馆镇等</w:t>
      </w:r>
      <w:r>
        <w:rPr>
          <w:bCs/>
        </w:rPr>
        <w:t>21个村全域土地综合整治项目，开展全域土地综合整治项目，包含农用地整治、建设用地整治、乡村生态保护修复、乡村振兴及人居环境提升等。综合整治过程中，以整治重点区域为引，分别侧重综合整治、农用地整理、农村建设用地整理、耕地后备资源开发等，分解补充耕地任务，完成耕地保护目标</w:t>
      </w:r>
      <w:r>
        <w:t>。</w:t>
      </w:r>
    </w:p>
    <w:bookmarkEnd w:id="127"/>
    <w:p>
      <w:pPr>
        <w:pStyle w:val="3"/>
        <w:spacing w:before="326" w:beforeLines="100" w:after="326" w:afterLines="100"/>
      </w:pPr>
      <w:bookmarkStart w:id="128" w:name="_Toc183017805"/>
      <w:r>
        <w:rPr>
          <w:rFonts w:hint="eastAsia"/>
        </w:rPr>
        <w:t>国土空间生态修复</w:t>
      </w:r>
      <w:bookmarkEnd w:id="128"/>
    </w:p>
    <w:p>
      <w:pPr>
        <w:pStyle w:val="4"/>
        <w:spacing w:before="195" w:beforeLines="60" w:after="195" w:afterLines="60" w:line="240" w:lineRule="auto"/>
      </w:pPr>
      <w:bookmarkStart w:id="129" w:name="_Hlk200547309"/>
      <w:bookmarkStart w:id="130" w:name="_Hlk200566578"/>
      <w:r>
        <w:rPr>
          <w:rFonts w:hint="eastAsia"/>
        </w:rPr>
        <w:t>落实生态修复目标</w:t>
      </w:r>
      <w:bookmarkEnd w:id="129"/>
    </w:p>
    <w:p>
      <w:pPr>
        <w:spacing w:before="65"/>
        <w:ind w:firstLine="640"/>
      </w:pPr>
      <w:bookmarkStart w:id="131" w:name="_Hlk200548306"/>
      <w:bookmarkStart w:id="132" w:name="OLE_LINK4"/>
      <w:r>
        <w:rPr>
          <w:rFonts w:hint="eastAsia"/>
        </w:rPr>
        <w:t>夏馆镇</w:t>
      </w:r>
      <w:r>
        <w:t>在内乡县生态修复分区中属于</w:t>
      </w:r>
      <w:r>
        <w:rPr>
          <w:rFonts w:hint="eastAsia"/>
        </w:rPr>
        <w:t>北部伏牛山地生物多样性与水源涵养生态功能区。主要涵盖河南伏牛山国家级自然保护区、河南宝天曼国家级自然保护区及河南内乡湍河湿地省级自然保护区大部分区域。</w:t>
      </w:r>
      <w:bookmarkStart w:id="133" w:name="_Hlk200559485"/>
      <w:bookmarkStart w:id="134" w:name="OLE_LINK6"/>
      <w:r>
        <w:rPr>
          <w:rFonts w:hint="eastAsia"/>
        </w:rPr>
        <w:t>生态修复主要目标是恢复与提升山地生态系统健康、稳定性和服务功能，构建“山青、水秀、林茂、景美、灾少”的生态安全格局，支撑生态友好型旅游产业高质量发展，打造人与自然和谐共生的美丽宜居乡镇</w:t>
      </w:r>
      <w:bookmarkEnd w:id="131"/>
      <w:bookmarkEnd w:id="132"/>
      <w:r>
        <w:rPr>
          <w:rFonts w:hint="eastAsia"/>
        </w:rPr>
        <w:t>。</w:t>
      </w:r>
      <w:bookmarkEnd w:id="133"/>
      <w:bookmarkEnd w:id="134"/>
    </w:p>
    <w:p>
      <w:pPr>
        <w:pStyle w:val="4"/>
        <w:spacing w:before="195" w:beforeLines="60" w:after="195" w:afterLines="60" w:line="240" w:lineRule="auto"/>
      </w:pPr>
      <w:bookmarkStart w:id="135" w:name="_Hlk200548472"/>
      <w:r>
        <w:t>生态修复</w:t>
      </w:r>
      <w:r>
        <w:rPr>
          <w:rFonts w:hint="eastAsia"/>
        </w:rPr>
        <w:t>主要任务</w:t>
      </w:r>
    </w:p>
    <w:p>
      <w:pPr>
        <w:spacing w:before="65"/>
        <w:ind w:firstLine="640"/>
      </w:pPr>
      <w:r>
        <w:t>1.水生态修复</w:t>
      </w:r>
    </w:p>
    <w:p>
      <w:pPr>
        <w:spacing w:before="65"/>
        <w:ind w:firstLine="640"/>
      </w:pPr>
      <w:r>
        <w:rPr>
          <w:rFonts w:hint="eastAsia"/>
        </w:rPr>
        <w:t>系统推进水体生态修复和污染防治，实现水环境质量全面改善。到</w:t>
      </w:r>
      <w:r>
        <w:t>2025年，重要江河湖泊水功能区水质达标率达到100%，</w:t>
      </w:r>
      <w:r>
        <w:rPr>
          <w:rFonts w:hint="eastAsia"/>
        </w:rPr>
        <w:t>夏馆镇</w:t>
      </w:r>
      <w:r>
        <w:t>地表水体政府责任目标断面水质达到或优于Ⅳ类水质；到2035年，重要江河湖泊水功能区水质达标率达到100%，</w:t>
      </w:r>
      <w:r>
        <w:rPr>
          <w:rFonts w:hint="eastAsia"/>
        </w:rPr>
        <w:t>夏馆镇</w:t>
      </w:r>
      <w:r>
        <w:t>地表水体政府责任目标断面水质达到或优于Ⅲ类水质。</w:t>
      </w:r>
    </w:p>
    <w:p>
      <w:pPr>
        <w:spacing w:before="65"/>
        <w:ind w:firstLine="640"/>
      </w:pPr>
      <w:r>
        <w:rPr>
          <w:rFonts w:hint="eastAsia"/>
        </w:rPr>
        <w:t>强化湍河重点区域修复。以河渠为骨架，开展河道湿地水生态修复和生物多样性保护，推进沿线天然湿地保护；全面推进水源涵养和水质保护行动。重点推进内乡县湍河水环境综合治理项目。</w:t>
      </w:r>
    </w:p>
    <w:p>
      <w:pPr>
        <w:spacing w:before="65"/>
        <w:ind w:firstLine="640"/>
      </w:pPr>
      <w:r>
        <w:t>2.森林生态修复</w:t>
      </w:r>
    </w:p>
    <w:p>
      <w:pPr>
        <w:spacing w:before="65"/>
        <w:ind w:firstLine="640"/>
      </w:pPr>
      <w:r>
        <w:rPr>
          <w:rFonts w:hint="eastAsia"/>
        </w:rPr>
        <w:t>统筹推进森林生态修复，森林质量明显提升，森林生态服务功能进一步完善。至</w:t>
      </w:r>
      <w:r>
        <w:t>2035年，宜林荒山、荒地、荒滩绿化率达到90%以上；县乡道路、旅游通道宜绿化里程95%以上；</w:t>
      </w:r>
      <w:r>
        <w:rPr>
          <w:rFonts w:hint="eastAsia"/>
        </w:rPr>
        <w:t>湍河</w:t>
      </w:r>
      <w:r>
        <w:t>等河流宜绿化地段95%以上；</w:t>
      </w:r>
      <w:r>
        <w:rPr>
          <w:rFonts w:hint="eastAsia"/>
        </w:rPr>
        <w:t>夏馆镇</w:t>
      </w:r>
      <w:r>
        <w:t>乡村绿化示范村达标率达到80%，村庄整体绿化率达到35%以上。</w:t>
      </w:r>
    </w:p>
    <w:p>
      <w:pPr>
        <w:spacing w:before="65"/>
        <w:ind w:firstLine="640"/>
      </w:pPr>
      <w:r>
        <w:t>3.矿山生态修复</w:t>
      </w:r>
    </w:p>
    <w:p>
      <w:pPr>
        <w:spacing w:before="65"/>
        <w:ind w:firstLine="640"/>
      </w:pPr>
      <w:r>
        <w:rPr>
          <w:rFonts w:hint="eastAsia"/>
        </w:rPr>
        <w:t>系统推进矿山地质环境恢复和综合治理，全面提升矿山生态环境质量。到</w:t>
      </w:r>
      <w:r>
        <w:t>2025年，历史遗留矿山治理率不低于95%，生产矿山实行边开采边治理，矿山地质环境治理率达到95%；到2035年，全面完成历史遗留矿山生态修复，历史遗留矿山治理率达到100%。全面推进绿色矿山发展示范区建设，绿色矿山建成率达到100%。</w:t>
      </w:r>
    </w:p>
    <w:p>
      <w:pPr>
        <w:spacing w:before="65"/>
        <w:ind w:firstLine="640"/>
      </w:pPr>
      <w:r>
        <w:rPr>
          <w:rFonts w:hint="eastAsia"/>
        </w:rPr>
        <w:t>强化重点区域修复。重点推进南水北调中线工程水源地（南阳片区）历史遗留废弃矿山生态修复示范工程项目（内乡县），包括西河堂村、吴岗村、芦家坪村、牡珠流村等区域的废弃矿山治理。</w:t>
      </w:r>
    </w:p>
    <w:p>
      <w:pPr>
        <w:spacing w:before="65"/>
        <w:ind w:firstLine="640"/>
      </w:pPr>
      <w:r>
        <w:t>4.地质灾害治理</w:t>
      </w:r>
    </w:p>
    <w:p>
      <w:pPr>
        <w:spacing w:before="65"/>
        <w:ind w:firstLine="640"/>
      </w:pPr>
      <w:r>
        <w:rPr>
          <w:rFonts w:hint="eastAsia"/>
        </w:rPr>
        <w:t>明确地质灾害治理目标。地质灾害治理工程与生态措施结合，恢复地质灾害隐患点地质环境。规划目标年，全面建成夏馆镇地质灾害排查评价体系、监测预警体系、防治体系和应急体系。严格执行、落实地质灾害年度巡查、排查、核查制度，全面掌握地质灾害隐患的基本信息及变动情况，实施内乡县地质灾害防治规划，落实重要地质灾害隐患点专群结合监测预警措施，完成主要地质灾害隐患点的治理工作，使地质灾害得到及时监控和有效处置，最大程度地减少因地质灾害造成的人员伤亡和财产损失。</w:t>
      </w:r>
    </w:p>
    <w:p>
      <w:pPr>
        <w:spacing w:before="65"/>
        <w:ind w:firstLine="640"/>
      </w:pPr>
      <w:r>
        <w:rPr>
          <w:rFonts w:hint="eastAsia"/>
        </w:rPr>
        <w:t>强化重点区域治理。重点对地质灾害高易发区的地质灾害隐患点进行治理。</w:t>
      </w:r>
    </w:p>
    <w:bookmarkEnd w:id="130"/>
    <w:bookmarkEnd w:id="135"/>
    <w:p>
      <w:pPr>
        <w:spacing w:before="65"/>
        <w:ind w:firstLine="640"/>
      </w:pPr>
      <w:r>
        <w:br w:type="page"/>
      </w:r>
    </w:p>
    <w:p>
      <w:pPr>
        <w:spacing w:before="65"/>
        <w:ind w:firstLine="640"/>
      </w:pPr>
    </w:p>
    <w:p>
      <w:pPr>
        <w:pStyle w:val="2"/>
        <w:spacing w:before="489" w:beforeLines="150" w:after="489" w:afterLines="150"/>
      </w:pPr>
      <w:bookmarkStart w:id="136" w:name="_Toc183017817"/>
      <w:bookmarkStart w:id="137" w:name="_Toc211259331"/>
      <w:bookmarkStart w:id="138" w:name="_Toc221006229"/>
      <w:r>
        <w:rPr>
          <w:rFonts w:hint="eastAsia"/>
        </w:rPr>
        <w:t>规划传导</w:t>
      </w:r>
      <w:bookmarkEnd w:id="136"/>
      <w:bookmarkEnd w:id="137"/>
      <w:bookmarkEnd w:id="138"/>
    </w:p>
    <w:p>
      <w:pPr>
        <w:pStyle w:val="3"/>
        <w:spacing w:before="326" w:beforeLines="100" w:after="326" w:afterLines="100"/>
      </w:pPr>
      <w:bookmarkStart w:id="139" w:name="_Toc183017818"/>
      <w:r>
        <w:rPr>
          <w:rFonts w:hint="eastAsia"/>
        </w:rPr>
        <w:t>镇区详细规划单元与指引</w:t>
      </w:r>
      <w:bookmarkEnd w:id="139"/>
    </w:p>
    <w:p>
      <w:pPr>
        <w:pStyle w:val="4"/>
        <w:spacing w:before="195" w:beforeLines="60" w:after="195" w:afterLines="60" w:line="240" w:lineRule="auto"/>
      </w:pPr>
      <w:r>
        <w:rPr>
          <w:rFonts w:hint="eastAsia"/>
        </w:rPr>
        <w:t>划分镇区详规单元</w:t>
      </w:r>
    </w:p>
    <w:p>
      <w:pPr>
        <w:spacing w:before="65"/>
        <w:ind w:firstLine="640"/>
      </w:pPr>
      <w:r>
        <w:rPr>
          <w:rFonts w:hint="eastAsia"/>
        </w:rPr>
        <w:t>根据用地功能、镇区更新和发展需求，以城市道路等为界，划分为若干详细规划管理单元；镇区共划定</w:t>
      </w:r>
      <w:r>
        <w:t>1个详细规划单元。</w:t>
      </w:r>
    </w:p>
    <w:p>
      <w:pPr>
        <w:pStyle w:val="4"/>
        <w:spacing w:before="195" w:beforeLines="60" w:after="195" w:afterLines="60" w:line="240" w:lineRule="auto"/>
      </w:pPr>
      <w:r>
        <w:rPr>
          <w:rFonts w:hint="eastAsia"/>
        </w:rPr>
        <w:t>单元规划指引</w:t>
      </w:r>
    </w:p>
    <w:p>
      <w:pPr>
        <w:spacing w:before="163" w:beforeLines="50"/>
        <w:ind w:firstLine="640"/>
      </w:pPr>
      <w:r>
        <w:rPr>
          <w:rFonts w:hint="eastAsia"/>
        </w:rPr>
        <w:t>公共活动中心单元：以提供商业商务、市民服务、文体中心、医疗卫生等为主要功能导向的区域，传导乡镇国土空间总体规划功能分区中商业商务区和综合服务区的功能，在统筹考虑主导功能、服务能级、服务人口、市政承载力、功能特色的基础上，坚持核心带动、集约高效、功能复合、绿色低碳的原则，打造开放复合、尺度宜人、富有活力的功能片区</w:t>
      </w:r>
      <w:r>
        <w:rPr>
          <w:rFonts w:hint="eastAsia" w:hAnsi="Times New Roman"/>
          <w:lang w:bidi="ar"/>
        </w:rPr>
        <w:t>。</w:t>
      </w:r>
    </w:p>
    <w:p>
      <w:pPr>
        <w:pStyle w:val="3"/>
        <w:spacing w:before="326" w:beforeLines="100" w:after="326" w:afterLines="100"/>
      </w:pPr>
      <w:bookmarkStart w:id="140" w:name="_Toc183017819"/>
      <w:r>
        <w:rPr>
          <w:rFonts w:hint="eastAsia"/>
        </w:rPr>
        <w:t>详细规划编制单元与指引</w:t>
      </w:r>
      <w:bookmarkEnd w:id="140"/>
    </w:p>
    <w:p>
      <w:pPr>
        <w:pStyle w:val="4"/>
        <w:spacing w:before="195" w:beforeLines="60" w:after="195" w:afterLines="60" w:line="240" w:lineRule="auto"/>
      </w:pPr>
      <w:r>
        <w:rPr>
          <w:rFonts w:hint="eastAsia"/>
        </w:rPr>
        <w:t>划定镇域详细规划编制单元</w:t>
      </w:r>
    </w:p>
    <w:p>
      <w:pPr>
        <w:spacing w:before="65"/>
        <w:ind w:firstLine="640"/>
      </w:pPr>
      <w:r>
        <w:rPr>
          <w:rFonts w:hint="eastAsia"/>
        </w:rPr>
        <w:t>全镇共划定</w:t>
      </w:r>
      <w:r>
        <w:t>20个详细规划编制单元，包括镇区1个编制单元。以夏馆镇镇区城镇开发边界为依据，确定为夏馆镇镇区编制单元,</w:t>
      </w:r>
      <w:bookmarkStart w:id="141" w:name="_Hlk200566930"/>
      <w:r>
        <w:t>分别为</w:t>
      </w:r>
      <w:r>
        <w:rPr>
          <w:rFonts w:hint="eastAsia"/>
        </w:rPr>
        <w:t>夏馆镇区</w:t>
      </w:r>
      <w:r>
        <w:t>组团XG01；其余为以行政村界限为边界的详规单元，分别为</w:t>
      </w:r>
      <w:r>
        <w:rPr>
          <w:rFonts w:hint="eastAsia"/>
        </w:rPr>
        <w:t>夏馆村编制单元XG</w:t>
      </w:r>
      <w:r>
        <w:t>02</w:t>
      </w:r>
      <w:r>
        <w:rPr>
          <w:rFonts w:hint="eastAsia"/>
        </w:rPr>
        <w:t>、</w:t>
      </w:r>
      <w:r>
        <w:t>栗园村编制单元XG03、湍源村编制单元XG04</w:t>
      </w:r>
      <w:r>
        <w:rPr>
          <w:rFonts w:hint="eastAsia"/>
        </w:rPr>
        <w:t>、</w:t>
      </w:r>
      <w:r>
        <w:t>大块地村编制单元XG05、牡珠流村编制单元XG06、小湍河村编制单元XG07</w:t>
      </w:r>
      <w:r>
        <w:rPr>
          <w:rFonts w:hint="eastAsia"/>
        </w:rPr>
        <w:t>、</w:t>
      </w:r>
      <w:r>
        <w:t>葛条爬村编制单元XG08、芦家坪村编制单元XG09、大庄沟村编制单元XG10、万沟村编制单元XG11、大栗坪村编制单元XG12、青杠树村编制单元XG13、小栗坪村编制单元XG14、四台沟村编制单元XG15、黄靳村编制单元XG16、黄龙村编制单元XG17、吴岗村编制单元XG18、西河堂村编制单元XG19、师家湾村编制单元XG20</w:t>
      </w:r>
      <w:bookmarkEnd w:id="141"/>
      <w:r>
        <w:rPr>
          <w:rFonts w:hint="eastAsia"/>
        </w:rPr>
        <w:t>。</w:t>
      </w:r>
    </w:p>
    <w:p>
      <w:pPr>
        <w:pStyle w:val="4"/>
        <w:spacing w:before="195" w:beforeLines="60" w:after="195" w:afterLines="60" w:line="240" w:lineRule="auto"/>
      </w:pPr>
      <w:r>
        <w:rPr>
          <w:rFonts w:hint="eastAsia"/>
        </w:rPr>
        <w:t>详细规划编制指引</w:t>
      </w:r>
    </w:p>
    <w:p>
      <w:pPr>
        <w:spacing w:before="48"/>
        <w:ind w:firstLine="640"/>
        <w:rPr>
          <w:rFonts w:ascii="仿宋_GB2312"/>
          <w:lang w:bidi="ar"/>
        </w:rPr>
      </w:pPr>
      <w:r>
        <w:rPr>
          <w:rFonts w:hint="eastAsia"/>
          <w:lang w:bidi="ar"/>
        </w:rPr>
        <w:t>全镇镇区范围外，城镇开发边界外共涉及</w:t>
      </w:r>
      <w:r>
        <w:rPr>
          <w:lang w:bidi="ar"/>
        </w:rPr>
        <w:t>19个详细规划编制单元</w:t>
      </w:r>
      <w:r>
        <w:rPr>
          <w:rFonts w:hint="eastAsia" w:ascii="仿宋_GB2312"/>
          <w:lang w:bidi="ar"/>
        </w:rPr>
        <w:t>，根据村庄类型和发展需求选择编制“实用性”村庄规划、“通则式”村庄规划、“通则式村庄规划管理规定”和“单元”村庄规划。</w:t>
      </w:r>
    </w:p>
    <w:p>
      <w:pPr>
        <w:spacing w:before="65"/>
        <w:ind w:firstLine="640"/>
        <w:rPr>
          <w:lang w:bidi="ar"/>
        </w:rPr>
      </w:pPr>
      <w:r>
        <w:rPr>
          <w:rFonts w:hint="eastAsia" w:ascii="仿宋_GB2312"/>
          <w:lang w:bidi="ar"/>
        </w:rPr>
        <w:t>“实用性”村庄规划编制深度最深，集“策划、规划、设计、管控”四位一体，成果应符合《河南省实用性村庄规划编制导则（第二次修订）》的要求。“通则式”村庄规划内容相对简单，深度介于实用性村庄规划、“通则式村庄规划管理规定”之间，成果应符合《河南省通则式村庄规划管理规定（修订）》的要求。“通则式村庄规划管理规定”的内容最为简单，成果应符合《河南省“通则式村庄规划管理规定”编制导则（试行）》的要求。“单元”村庄规划重点是对规划范围内的村庄建设边界做优化、建设项目做安排、建筑风貌做引导，可参照《河南省实用性村庄规划编制导则（第二次修订）》要求编制涉及的规划内容，无需面面俱到</w:t>
      </w:r>
      <w:r>
        <w:rPr>
          <w:rFonts w:hint="eastAsia"/>
          <w:lang w:bidi="ar"/>
        </w:rPr>
        <w:t>。</w:t>
      </w:r>
    </w:p>
    <w:p>
      <w:pPr>
        <w:pStyle w:val="3"/>
      </w:pPr>
      <w:r>
        <w:t>“</w:t>
      </w:r>
      <w:r>
        <w:rPr>
          <w:rFonts w:hint="eastAsia"/>
        </w:rPr>
        <w:t>通则式</w:t>
      </w:r>
      <w:r>
        <w:t>”</w:t>
      </w:r>
      <w:r>
        <w:rPr>
          <w:rFonts w:hint="eastAsia"/>
        </w:rPr>
        <w:t>村庄规划管理规定</w:t>
      </w:r>
    </w:p>
    <w:p>
      <w:pPr>
        <w:pStyle w:val="4"/>
      </w:pPr>
      <w:r>
        <w:rPr>
          <w:rFonts w:hint="eastAsia"/>
        </w:rPr>
        <w:t>适用范围</w:t>
      </w:r>
    </w:p>
    <w:p>
      <w:pPr>
        <w:ind w:firstLine="640"/>
      </w:pPr>
      <w:r>
        <w:rPr>
          <w:rFonts w:hint="eastAsia"/>
        </w:rPr>
        <w:t>本管理规定适用于夏馆镇城镇开发边界外，村庄规划未覆盖的乡村地区。符合条件的农民建房（新建、改建、扩建）、乡村公共服务设施、公用设施和产业项目的建设，可依据通则式村庄规划管理规定，按相关规定办理规划许可手续。已单独编制村庄规划的，可参照执行。</w:t>
      </w:r>
    </w:p>
    <w:p>
      <w:pPr>
        <w:pStyle w:val="4"/>
      </w:pPr>
      <w:r>
        <w:rPr>
          <w:rFonts w:hint="eastAsia"/>
        </w:rPr>
        <w:t>农业空间管控</w:t>
      </w:r>
    </w:p>
    <w:p>
      <w:pPr>
        <w:ind w:firstLine="640"/>
      </w:pPr>
      <w:r>
        <w:rPr>
          <w:rFonts w:hint="eastAsia"/>
        </w:rPr>
        <w:t>1</w:t>
      </w:r>
      <w:r>
        <w:t>.</w:t>
      </w:r>
      <w:r>
        <w:rPr>
          <w:rFonts w:hint="eastAsia"/>
        </w:rPr>
        <w:t>耕地保护</w:t>
      </w:r>
    </w:p>
    <w:p>
      <w:pPr>
        <w:ind w:firstLine="640"/>
      </w:pPr>
      <w:r>
        <w:rPr>
          <w:rFonts w:hint="eastAsia"/>
        </w:rPr>
        <w:t>耕地主要用于粮食和棉、油、糖、蔬菜等农产品及饲草饲料生产；在不破坏耕地耕作层且不造成耕地地类改变的前提下,可以适度种植其他农作物。耕地管控“八不准”、“六严禁、五不得”。</w:t>
      </w:r>
    </w:p>
    <w:tbl>
      <w:tblPr>
        <w:tblStyle w:val="31"/>
        <w:tblW w:w="87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3"/>
        <w:gridCol w:w="2913"/>
        <w:gridCol w:w="29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8739" w:type="dxa"/>
            <w:gridSpan w:val="3"/>
            <w:vAlign w:val="center"/>
          </w:tcPr>
          <w:p>
            <w:pPr>
              <w:pStyle w:val="98"/>
            </w:pPr>
            <w:r>
              <w:rPr>
                <w:rFonts w:hint="eastAsia"/>
              </w:rPr>
              <w:t>专栏14-1 耕地管控要求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2913" w:type="dxa"/>
            <w:vAlign w:val="center"/>
          </w:tcPr>
          <w:p>
            <w:pPr>
              <w:pStyle w:val="96"/>
              <w:rPr>
                <w:sz w:val="24"/>
                <w:szCs w:val="24"/>
              </w:rPr>
            </w:pPr>
            <w:r>
              <w:rPr>
                <w:rFonts w:hint="eastAsia"/>
                <w:sz w:val="24"/>
                <w:szCs w:val="24"/>
              </w:rPr>
              <w:t>八不准</w:t>
            </w:r>
          </w:p>
        </w:tc>
        <w:tc>
          <w:tcPr>
            <w:tcW w:w="2913" w:type="dxa"/>
            <w:vAlign w:val="center"/>
          </w:tcPr>
          <w:p>
            <w:pPr>
              <w:pStyle w:val="96"/>
              <w:rPr>
                <w:sz w:val="24"/>
                <w:szCs w:val="24"/>
              </w:rPr>
            </w:pPr>
            <w:r>
              <w:rPr>
                <w:rFonts w:hint="eastAsia"/>
                <w:sz w:val="24"/>
                <w:szCs w:val="24"/>
              </w:rPr>
              <w:t>六严禁</w:t>
            </w:r>
          </w:p>
        </w:tc>
        <w:tc>
          <w:tcPr>
            <w:tcW w:w="2913" w:type="dxa"/>
            <w:vAlign w:val="center"/>
          </w:tcPr>
          <w:p>
            <w:pPr>
              <w:pStyle w:val="96"/>
              <w:rPr>
                <w:sz w:val="24"/>
                <w:szCs w:val="24"/>
              </w:rPr>
            </w:pPr>
            <w:r>
              <w:rPr>
                <w:rFonts w:hint="eastAsia"/>
                <w:sz w:val="24"/>
                <w:szCs w:val="24"/>
              </w:rPr>
              <w:t>五不得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6" w:hRule="atLeast"/>
          <w:jc w:val="center"/>
        </w:trPr>
        <w:tc>
          <w:tcPr>
            <w:tcW w:w="2913" w:type="dxa"/>
          </w:tcPr>
          <w:p>
            <w:pPr>
              <w:pStyle w:val="103"/>
              <w:spacing w:line="500" w:lineRule="exact"/>
              <w:ind w:firstLine="0" w:firstLineChars="0"/>
              <w:jc w:val="left"/>
              <w:rPr>
                <w:sz w:val="24"/>
                <w:szCs w:val="24"/>
              </w:rPr>
            </w:pPr>
            <w:r>
              <w:rPr>
                <w:sz w:val="24"/>
                <w:szCs w:val="24"/>
              </w:rPr>
              <w:t>不准占用永久基本农田建房。</w:t>
            </w:r>
          </w:p>
          <w:p>
            <w:pPr>
              <w:pStyle w:val="103"/>
              <w:spacing w:line="500" w:lineRule="exact"/>
              <w:ind w:firstLine="0" w:firstLineChars="0"/>
              <w:jc w:val="left"/>
              <w:rPr>
                <w:sz w:val="24"/>
                <w:szCs w:val="24"/>
              </w:rPr>
            </w:pPr>
            <w:r>
              <w:rPr>
                <w:sz w:val="24"/>
                <w:szCs w:val="24"/>
              </w:rPr>
              <w:t>不准强占多占耕地建房。</w:t>
            </w:r>
          </w:p>
          <w:p>
            <w:pPr>
              <w:pStyle w:val="103"/>
              <w:spacing w:line="500" w:lineRule="exact"/>
              <w:ind w:firstLine="0" w:firstLineChars="0"/>
              <w:jc w:val="left"/>
              <w:rPr>
                <w:sz w:val="24"/>
                <w:szCs w:val="24"/>
              </w:rPr>
            </w:pPr>
            <w:r>
              <w:rPr>
                <w:sz w:val="24"/>
                <w:szCs w:val="24"/>
              </w:rPr>
              <w:t>不准买卖、流转耕地违法建房。</w:t>
            </w:r>
          </w:p>
          <w:p>
            <w:pPr>
              <w:pStyle w:val="103"/>
              <w:spacing w:line="500" w:lineRule="exact"/>
              <w:ind w:firstLine="0" w:firstLineChars="0"/>
              <w:jc w:val="left"/>
              <w:rPr>
                <w:sz w:val="24"/>
                <w:szCs w:val="24"/>
              </w:rPr>
            </w:pPr>
            <w:r>
              <w:rPr>
                <w:sz w:val="24"/>
                <w:szCs w:val="24"/>
              </w:rPr>
              <w:t>不准在承包耕地上违法建房。</w:t>
            </w:r>
          </w:p>
          <w:p>
            <w:pPr>
              <w:pStyle w:val="103"/>
              <w:spacing w:line="500" w:lineRule="exact"/>
              <w:ind w:firstLine="0" w:firstLineChars="0"/>
              <w:jc w:val="left"/>
              <w:rPr>
                <w:sz w:val="24"/>
                <w:szCs w:val="24"/>
              </w:rPr>
            </w:pPr>
            <w:r>
              <w:rPr>
                <w:sz w:val="24"/>
                <w:szCs w:val="24"/>
              </w:rPr>
              <w:t>不准巧立名目违法占用耕地建房。</w:t>
            </w:r>
          </w:p>
          <w:p>
            <w:pPr>
              <w:pStyle w:val="103"/>
              <w:spacing w:line="500" w:lineRule="exact"/>
              <w:ind w:firstLine="0" w:firstLineChars="0"/>
              <w:jc w:val="left"/>
              <w:rPr>
                <w:sz w:val="24"/>
                <w:szCs w:val="24"/>
              </w:rPr>
            </w:pPr>
            <w:r>
              <w:rPr>
                <w:sz w:val="24"/>
                <w:szCs w:val="24"/>
              </w:rPr>
              <w:t>不准违反“一户一宅”规定占用耕地建房。</w:t>
            </w:r>
          </w:p>
          <w:p>
            <w:pPr>
              <w:pStyle w:val="103"/>
              <w:spacing w:line="500" w:lineRule="exact"/>
              <w:ind w:firstLine="0" w:firstLineChars="0"/>
              <w:jc w:val="left"/>
              <w:rPr>
                <w:sz w:val="24"/>
                <w:szCs w:val="24"/>
              </w:rPr>
            </w:pPr>
            <w:r>
              <w:rPr>
                <w:sz w:val="24"/>
                <w:szCs w:val="24"/>
              </w:rPr>
              <w:t>不准非法出售占用耕地建的房屋。</w:t>
            </w:r>
          </w:p>
          <w:p>
            <w:pPr>
              <w:pStyle w:val="103"/>
              <w:spacing w:line="500" w:lineRule="exact"/>
              <w:ind w:firstLine="0" w:firstLineChars="0"/>
              <w:jc w:val="left"/>
              <w:rPr>
                <w:sz w:val="24"/>
                <w:szCs w:val="24"/>
              </w:rPr>
            </w:pPr>
            <w:r>
              <w:rPr>
                <w:sz w:val="24"/>
                <w:szCs w:val="24"/>
              </w:rPr>
              <w:t>不准违法审批占用耕地建房。</w:t>
            </w:r>
          </w:p>
        </w:tc>
        <w:tc>
          <w:tcPr>
            <w:tcW w:w="2913" w:type="dxa"/>
          </w:tcPr>
          <w:p>
            <w:pPr>
              <w:pStyle w:val="103"/>
              <w:spacing w:line="500" w:lineRule="exact"/>
              <w:ind w:firstLine="0" w:firstLineChars="0"/>
              <w:jc w:val="left"/>
              <w:rPr>
                <w:sz w:val="24"/>
                <w:szCs w:val="24"/>
              </w:rPr>
            </w:pPr>
            <w:r>
              <w:rPr>
                <w:sz w:val="24"/>
                <w:szCs w:val="24"/>
              </w:rPr>
              <w:t>严禁违规占用耕地绿化造林；</w:t>
            </w:r>
          </w:p>
          <w:p>
            <w:pPr>
              <w:pStyle w:val="103"/>
              <w:spacing w:line="500" w:lineRule="exact"/>
              <w:ind w:firstLine="0" w:firstLineChars="0"/>
              <w:jc w:val="left"/>
              <w:rPr>
                <w:sz w:val="24"/>
                <w:szCs w:val="24"/>
              </w:rPr>
            </w:pPr>
            <w:r>
              <w:rPr>
                <w:sz w:val="24"/>
                <w:szCs w:val="24"/>
              </w:rPr>
              <w:t>严禁超标准建设绿色通道</w:t>
            </w:r>
          </w:p>
          <w:p>
            <w:pPr>
              <w:pStyle w:val="103"/>
              <w:spacing w:line="500" w:lineRule="exact"/>
              <w:ind w:firstLine="0" w:firstLineChars="0"/>
              <w:jc w:val="left"/>
              <w:rPr>
                <w:sz w:val="24"/>
                <w:szCs w:val="24"/>
              </w:rPr>
            </w:pPr>
            <w:r>
              <w:rPr>
                <w:sz w:val="24"/>
                <w:szCs w:val="24"/>
              </w:rPr>
              <w:t>严禁违规占用耕地挖湖造景；</w:t>
            </w:r>
          </w:p>
          <w:p>
            <w:pPr>
              <w:pStyle w:val="103"/>
              <w:spacing w:line="500" w:lineRule="exact"/>
              <w:ind w:firstLine="0" w:firstLineChars="0"/>
              <w:jc w:val="left"/>
              <w:rPr>
                <w:sz w:val="24"/>
                <w:szCs w:val="24"/>
              </w:rPr>
            </w:pPr>
            <w:r>
              <w:rPr>
                <w:sz w:val="24"/>
                <w:szCs w:val="24"/>
              </w:rPr>
              <w:t>严禁占用永久基本农田扩大自然保护地；</w:t>
            </w:r>
          </w:p>
          <w:p>
            <w:pPr>
              <w:pStyle w:val="103"/>
              <w:spacing w:line="500" w:lineRule="exact"/>
              <w:ind w:firstLine="0" w:firstLineChars="0"/>
              <w:jc w:val="left"/>
              <w:rPr>
                <w:sz w:val="24"/>
                <w:szCs w:val="24"/>
              </w:rPr>
            </w:pPr>
            <w:r>
              <w:rPr>
                <w:sz w:val="24"/>
                <w:szCs w:val="24"/>
              </w:rPr>
              <w:t>严禁违规占用耕地从事非农建设；</w:t>
            </w:r>
          </w:p>
          <w:p>
            <w:pPr>
              <w:pStyle w:val="103"/>
              <w:spacing w:line="500" w:lineRule="exact"/>
              <w:ind w:firstLine="0" w:firstLineChars="0"/>
              <w:jc w:val="left"/>
              <w:rPr>
                <w:sz w:val="24"/>
                <w:szCs w:val="24"/>
              </w:rPr>
            </w:pPr>
            <w:r>
              <w:rPr>
                <w:sz w:val="24"/>
                <w:szCs w:val="24"/>
              </w:rPr>
              <w:t>严禁违法违规批地用地。</w:t>
            </w:r>
          </w:p>
          <w:p>
            <w:pPr>
              <w:pStyle w:val="103"/>
              <w:spacing w:line="500" w:lineRule="exact"/>
              <w:ind w:firstLine="0" w:firstLineChars="0"/>
              <w:jc w:val="left"/>
              <w:rPr>
                <w:sz w:val="24"/>
                <w:szCs w:val="24"/>
              </w:rPr>
            </w:pPr>
          </w:p>
        </w:tc>
        <w:tc>
          <w:tcPr>
            <w:tcW w:w="2913" w:type="dxa"/>
          </w:tcPr>
          <w:p>
            <w:pPr>
              <w:pStyle w:val="96"/>
              <w:spacing w:line="500" w:lineRule="exact"/>
              <w:jc w:val="left"/>
              <w:rPr>
                <w:sz w:val="24"/>
                <w:szCs w:val="24"/>
              </w:rPr>
            </w:pPr>
            <w:r>
              <w:rPr>
                <w:sz w:val="24"/>
                <w:szCs w:val="24"/>
              </w:rPr>
              <w:t>不得在一般耕地上挖湖造景、种植草皮；</w:t>
            </w:r>
          </w:p>
          <w:p>
            <w:pPr>
              <w:pStyle w:val="96"/>
              <w:spacing w:line="500" w:lineRule="exact"/>
              <w:jc w:val="left"/>
              <w:rPr>
                <w:sz w:val="24"/>
                <w:szCs w:val="24"/>
              </w:rPr>
            </w:pPr>
            <w:r>
              <w:rPr>
                <w:sz w:val="24"/>
                <w:szCs w:val="24"/>
              </w:rPr>
              <w:t>不得擅自扩大退耕还林还草还湖规模；</w:t>
            </w:r>
          </w:p>
          <w:p>
            <w:pPr>
              <w:pStyle w:val="96"/>
              <w:spacing w:line="500" w:lineRule="exact"/>
              <w:jc w:val="left"/>
              <w:rPr>
                <w:sz w:val="24"/>
                <w:szCs w:val="24"/>
              </w:rPr>
            </w:pPr>
            <w:r>
              <w:rPr>
                <w:sz w:val="24"/>
                <w:szCs w:val="24"/>
              </w:rPr>
              <w:t>不得违规超标准在铁路、公路等用地红线外，以及河渠两侧、水库周边占用一般耕地种树建设绿化带；</w:t>
            </w:r>
          </w:p>
          <w:p>
            <w:pPr>
              <w:pStyle w:val="96"/>
              <w:spacing w:line="500" w:lineRule="exact"/>
              <w:jc w:val="left"/>
              <w:rPr>
                <w:sz w:val="24"/>
                <w:szCs w:val="24"/>
              </w:rPr>
            </w:pPr>
            <w:r>
              <w:rPr>
                <w:sz w:val="24"/>
                <w:szCs w:val="24"/>
              </w:rPr>
              <w:t>未经批准不得占用一般耕地实施国土绿化；</w:t>
            </w:r>
          </w:p>
          <w:p>
            <w:pPr>
              <w:pStyle w:val="96"/>
              <w:spacing w:line="500" w:lineRule="exact"/>
              <w:jc w:val="left"/>
              <w:rPr>
                <w:sz w:val="24"/>
                <w:szCs w:val="24"/>
              </w:rPr>
            </w:pPr>
            <w:r>
              <w:rPr>
                <w:sz w:val="24"/>
                <w:szCs w:val="24"/>
              </w:rPr>
              <w:t>未经批准工商企业等社会资本不得将通过流转获得土地经营权的一般耕地转为林地、园地等其他农用地。</w:t>
            </w:r>
          </w:p>
        </w:tc>
      </w:tr>
    </w:tbl>
    <w:p>
      <w:pPr>
        <w:ind w:firstLine="640"/>
      </w:pPr>
      <w:r>
        <w:rPr>
          <w:rFonts w:hint="eastAsia"/>
        </w:rPr>
        <w:t>2</w:t>
      </w:r>
      <w:r>
        <w:t>.</w:t>
      </w:r>
      <w:r>
        <w:rPr>
          <w:rFonts w:hint="eastAsia"/>
        </w:rPr>
        <w:t>永久基本农田保护</w:t>
      </w:r>
    </w:p>
    <w:p>
      <w:pPr>
        <w:ind w:firstLine="640"/>
      </w:pPr>
      <w:r>
        <w:rPr>
          <w:rFonts w:hint="eastAsia"/>
        </w:rPr>
        <w:t>永久基本农田主要用于种植粮食作物，对现状种植棉、油、糖、蔬菜等非粮食作物的,可以维持不变。</w:t>
      </w:r>
    </w:p>
    <w:p>
      <w:pPr>
        <w:ind w:firstLine="640"/>
      </w:pPr>
      <w:r>
        <w:rPr>
          <w:rFonts w:hint="eastAsia"/>
        </w:rPr>
        <w:t>严禁占用永久基本农田发展林果业和挖塘养鱼；严禁占用永久基本农田种植苗木、草皮等用于绿化装饰以及其他破坏耕作层的植物；严禁占用永久基本农田挖湖造景、建设绿化带；严禁新增占用永久基本农田建设畜禽养殖设施、水产养殖设施和破坏耕作层的种植业设施。</w:t>
      </w:r>
    </w:p>
    <w:p>
      <w:pPr>
        <w:ind w:firstLine="640"/>
      </w:pPr>
      <w:r>
        <w:rPr>
          <w:rFonts w:hint="eastAsia"/>
        </w:rPr>
        <w:t>3</w:t>
      </w:r>
      <w:r>
        <w:t>.</w:t>
      </w:r>
      <w:r>
        <w:rPr>
          <w:rFonts w:hint="eastAsia"/>
        </w:rPr>
        <w:t>设施农用地</w:t>
      </w:r>
    </w:p>
    <w:p>
      <w:pPr>
        <w:ind w:firstLine="640"/>
      </w:pPr>
      <w:r>
        <w:rPr>
          <w:rFonts w:hint="eastAsia"/>
        </w:rPr>
        <w:t>设施农业用地包括农业生产中直接用于作物（含食用菌、中药材、茶叶、水果、花木等）种植和畜禽水产养殖的设施用地。其中，作物种植设施用地包括作物生产、育种、制种、初加工和为生产服务的生产场地、化验室、看护房、农资农机具存放场所等，以及与生产农产品直接关联的烘干晾晒、分拣包装、炒制、保鲜存储等设施用地，工厂化农作物（食用菌）栽培烘干、食用菌集中制棒等设施用地；畜禽水产养殖设施用地包括养殖生产及直接关联的粪污处置（含散养密集区建设的非经营性畜禽粪污集中处置站点）、检验检疫等设施用地，不包括屠宰、肉类加工、商业化畜禽粪污集中处理中心等场所用地。</w:t>
      </w:r>
    </w:p>
    <w:p>
      <w:pPr>
        <w:ind w:firstLine="640"/>
      </w:pPr>
      <w:r>
        <w:rPr>
          <w:rFonts w:hint="eastAsia"/>
        </w:rPr>
        <w:t>种植</w:t>
      </w:r>
      <w:r>
        <w:t>设施农业建设尽量利用未利用地、低效闲置的土地以及工矿废弃地等土地，不占或少占耕地，避让永久基本农田。生产设施用地按照种植规模核定用地面积。作物生产的服务和直接关联设施用地，原则上不超过用地规模的10%，确因生产需要可适当增加，但不得超过15%，其中规模化粮食种植的直接关联设施用地，由</w:t>
      </w:r>
      <w:r>
        <w:rPr>
          <w:rFonts w:hint="eastAsia"/>
        </w:rPr>
        <w:t>内乡县</w:t>
      </w:r>
      <w:r>
        <w:t>自然资源主管部门会同农业农村主管部门根据农业生产需要合理确定。看护房应为单层，用地规模控制在22.5平方米以内。</w:t>
      </w:r>
    </w:p>
    <w:p>
      <w:pPr>
        <w:ind w:firstLine="640"/>
      </w:pPr>
      <w:r>
        <w:t>畜禽水产养殖生产设施用地按照养殖规模核定用地面积。畜禽养殖的直接关联用地原则上不超过用地规模的 20%，确因生产需要可适当增加，但不得超过50%；露天水产养殖池的直接关联用地原则上不超过用地规模的15%，确因生产需要可适当增加，但不得超过20%；工厂化水产养殖场的直接关联用地原则上不超过用地规模的20%，确因生产需要可适当增加，但不得超过25%。</w:t>
      </w:r>
    </w:p>
    <w:p>
      <w:pPr>
        <w:ind w:firstLine="640"/>
      </w:pPr>
      <w:r>
        <w:t>设施农业用地不再使用的，由经营者负责恢复原用途。对擅自或变相将设施农用地用于非农建设、违规占用永久基本农田、擅自扩大设施用地规模等行为，按违法用地进行查处，确保农地农用。设施农用地用于非农建设或破坏耕作层的，按建设用地有关规定办理相关手续。</w:t>
      </w:r>
    </w:p>
    <w:p>
      <w:pPr>
        <w:pStyle w:val="4"/>
      </w:pPr>
      <w:r>
        <w:rPr>
          <w:rFonts w:hint="eastAsia"/>
        </w:rPr>
        <w:t>生态空间管控</w:t>
      </w:r>
    </w:p>
    <w:p>
      <w:pPr>
        <w:ind w:firstLine="640"/>
      </w:pPr>
      <w:r>
        <w:rPr>
          <w:rFonts w:hint="eastAsia"/>
        </w:rPr>
        <w:t>加强生态保护红线管理，严守自然生态安全边界。</w:t>
      </w:r>
    </w:p>
    <w:p>
      <w:pPr>
        <w:ind w:firstLine="640"/>
      </w:pPr>
      <w:r>
        <w:rPr>
          <w:rFonts w:hint="eastAsia"/>
        </w:rPr>
        <w:t>水域、林地、草地等生态空间，原则上不允许进行开发性、生产性建设，已有的、不符合资源环境保护要求的建设项目，应限期搬迁。</w:t>
      </w:r>
    </w:p>
    <w:p>
      <w:pPr>
        <w:ind w:firstLine="640"/>
      </w:pPr>
      <w:r>
        <w:rPr>
          <w:rFonts w:hint="eastAsia"/>
        </w:rPr>
        <w:t>禁止任何单位和个人危害、破坏林地，不得擅自毁林开垦和毁林采矿、采石、采砂、取士、造墓、修筑工程设施及其他造成毁坏林地的行为。涉及建设占用林地等生态空间的，须办理林地等相关手续。鼓励利用宜林荒山、荒地、荒滩、废弃地造林</w:t>
      </w:r>
    </w:p>
    <w:p>
      <w:pPr>
        <w:pStyle w:val="4"/>
      </w:pPr>
      <w:r>
        <w:t>建设空间管控</w:t>
      </w:r>
    </w:p>
    <w:p>
      <w:pPr>
        <w:ind w:firstLine="640"/>
      </w:pPr>
      <w:r>
        <w:rPr>
          <w:rFonts w:hint="eastAsia"/>
        </w:rPr>
        <w:t>1</w:t>
      </w:r>
      <w:r>
        <w:t>.</w:t>
      </w:r>
      <w:r>
        <w:rPr>
          <w:rFonts w:hint="eastAsia"/>
        </w:rPr>
        <w:t>村庄建设用地管控</w:t>
      </w:r>
    </w:p>
    <w:p>
      <w:pPr>
        <w:ind w:firstLine="640"/>
      </w:pPr>
      <w:r>
        <w:rPr>
          <w:rFonts w:hint="eastAsia"/>
        </w:rPr>
        <w:t>村庄建设项目应当位于村庄建设边界内，符合镇国土空间规划明确的国土空间用途管制规则和建设管控要求。</w:t>
      </w:r>
    </w:p>
    <w:p>
      <w:pPr>
        <w:ind w:firstLine="640"/>
      </w:pPr>
      <w:r>
        <w:rPr>
          <w:rFonts w:hint="eastAsia"/>
        </w:rPr>
        <w:t>位于村庄建设边界外拟撤并搬迁村庄部分，不得进行翻建、扩建、改建。</w:t>
      </w:r>
    </w:p>
    <w:p>
      <w:pPr>
        <w:ind w:firstLine="640"/>
      </w:pPr>
      <w:r>
        <w:rPr>
          <w:rFonts w:hint="eastAsia"/>
        </w:rPr>
        <w:t>位于村庄建设边界内但属于撤并搬迁类村庄部分，可以进行加固、维修，但不能进行翻建、扩建、改建。</w:t>
      </w:r>
    </w:p>
    <w:p>
      <w:pPr>
        <w:ind w:firstLine="640"/>
      </w:pPr>
      <w:r>
        <w:t>村庄建设项目位于自然保护地、风景名胜区、文物保护范围和建设控制地带、历史文化名村、传统村落等区域的,还须符合相关专项规划。</w:t>
      </w:r>
    </w:p>
    <w:p>
      <w:pPr>
        <w:ind w:firstLine="640"/>
      </w:pPr>
      <w:r>
        <w:t>村庄建设项目选址位置应当遵循的一般原则：</w:t>
      </w:r>
      <w:r>
        <w:rPr>
          <w:rFonts w:hint="eastAsia"/>
        </w:rPr>
        <w:t>应选址在地质条件较好、环境适宜、交通方便的地段。坚持节约集约用地，充分利用村内空闲地、废弃地，满足消防、抗震、防洪要求，不得阻碍交通、侵占公共用地和邻里通道，妥善处理给水、排水、日照、采光、通风等方面的相邻关系。严格控制切坡建房，确因用地因难需要切坡的，应当在乡镇政府指导下，按照有关技术规范做好坡体防护工作，确保安全。</w:t>
      </w:r>
    </w:p>
    <w:p>
      <w:pPr>
        <w:ind w:firstLine="640"/>
      </w:pPr>
      <w:r>
        <w:t>村庄建设项目不得在下列地点或地段选址：</w:t>
      </w:r>
      <w:r>
        <w:rPr>
          <w:rFonts w:hint="eastAsia"/>
        </w:rPr>
        <w:t>山体滑坡、泥石流、危岩、塌陷等地质灾害易发区或次生灾害隐患易发地段。洪涝灾害危险地段。文物保护区。生态保护红线、永久基本农田保护区、永久基本农田储备区、生态资源保护区、饮用水源一级保护区、风景名胜区核心保护区、自然保护区核心区和缓冲区、历史文化核心保护范围内。输油、输气管道上、高压供电走廊下。危险化学品生产企业、危险化学品储存仓库或危房旁边。河道管理范围和水库、渠道的控制区范围内。法律、法规禁止建设建（构）筑物的其他区域。</w:t>
      </w:r>
    </w:p>
    <w:p>
      <w:pPr>
        <w:ind w:firstLine="640"/>
        <w:rPr>
          <w:lang w:bidi="ar"/>
        </w:rPr>
      </w:pPr>
      <w:r>
        <w:rPr>
          <w:lang w:bidi="ar"/>
        </w:rPr>
        <w:t>在高铁、国道、省道等交通干线两侧新建农村建筑，必须满足以下铁路、公路</w:t>
      </w:r>
      <w:r>
        <w:rPr>
          <w:rFonts w:hint="eastAsia"/>
          <w:lang w:bidi="ar"/>
        </w:rPr>
        <w:t>控制距离</w:t>
      </w:r>
      <w:r>
        <w:rPr>
          <w:lang w:bidi="ar"/>
        </w:rPr>
        <w:t>要求：</w:t>
      </w:r>
    </w:p>
    <w:tbl>
      <w:tblPr>
        <w:tblStyle w:val="31"/>
        <w:tblW w:w="8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5155"/>
        <w:gridCol w:w="1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5" w:type="dxa"/>
            <w:gridSpan w:val="3"/>
          </w:tcPr>
          <w:p>
            <w:pPr>
              <w:pStyle w:val="98"/>
              <w:rPr>
                <w:lang w:bidi="ar"/>
              </w:rPr>
            </w:pPr>
            <w:r>
              <w:rPr>
                <w:rFonts w:hint="eastAsia"/>
                <w:lang w:bidi="ar"/>
              </w:rPr>
              <w:t>专栏14-</w:t>
            </w:r>
            <w:r>
              <w:rPr>
                <w:lang w:bidi="ar"/>
              </w:rPr>
              <w:t>2</w:t>
            </w:r>
            <w:r>
              <w:rPr>
                <w:rFonts w:hint="eastAsia"/>
                <w:lang w:bidi="ar"/>
              </w:rPr>
              <w:t>建筑退让铁路的控制距离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sz w:val="24"/>
                <w:szCs w:val="24"/>
              </w:rPr>
            </w:pPr>
            <w:r>
              <w:rPr>
                <w:rFonts w:hint="eastAsia"/>
                <w:sz w:val="24"/>
                <w:szCs w:val="24"/>
              </w:rPr>
              <w:t>铁路等级</w:t>
            </w:r>
          </w:p>
        </w:tc>
        <w:tc>
          <w:tcPr>
            <w:tcW w:w="5155" w:type="dxa"/>
          </w:tcPr>
          <w:p>
            <w:pPr>
              <w:pStyle w:val="96"/>
              <w:rPr>
                <w:sz w:val="24"/>
                <w:szCs w:val="24"/>
              </w:rPr>
            </w:pPr>
            <w:r>
              <w:rPr>
                <w:rFonts w:hint="eastAsia"/>
                <w:sz w:val="24"/>
                <w:szCs w:val="24"/>
              </w:rPr>
              <w:t>建筑边缘与铁路路基外侧的距离（米）</w:t>
            </w:r>
          </w:p>
        </w:tc>
        <w:tc>
          <w:tcPr>
            <w:tcW w:w="1770" w:type="dxa"/>
          </w:tcPr>
          <w:p>
            <w:pPr>
              <w:pStyle w:val="96"/>
              <w:rPr>
                <w:sz w:val="24"/>
                <w:szCs w:val="24"/>
              </w:rPr>
            </w:pPr>
            <w:r>
              <w:rPr>
                <w:rFonts w:hint="eastAsia"/>
                <w:sz w:val="24"/>
                <w:szCs w:val="24"/>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sz w:val="24"/>
                <w:szCs w:val="24"/>
              </w:rPr>
            </w:pPr>
            <w:r>
              <w:rPr>
                <w:rFonts w:hint="eastAsia"/>
                <w:sz w:val="24"/>
                <w:szCs w:val="24"/>
              </w:rPr>
              <w:t>高铁</w:t>
            </w:r>
          </w:p>
        </w:tc>
        <w:tc>
          <w:tcPr>
            <w:tcW w:w="5155" w:type="dxa"/>
          </w:tcPr>
          <w:p>
            <w:pPr>
              <w:pStyle w:val="96"/>
              <w:rPr>
                <w:sz w:val="24"/>
                <w:szCs w:val="24"/>
              </w:rPr>
            </w:pPr>
            <w:r>
              <w:rPr>
                <w:rFonts w:hint="eastAsia"/>
                <w:sz w:val="24"/>
                <w:szCs w:val="24"/>
              </w:rPr>
              <w:t>不低于50米</w:t>
            </w:r>
          </w:p>
        </w:tc>
        <w:tc>
          <w:tcPr>
            <w:tcW w:w="1770" w:type="dxa"/>
          </w:tcPr>
          <w:p>
            <w:pPr>
              <w:pStyle w:val="96"/>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pStyle w:val="96"/>
              <w:rPr>
                <w:sz w:val="24"/>
                <w:szCs w:val="24"/>
              </w:rPr>
            </w:pPr>
            <w:r>
              <w:rPr>
                <w:rFonts w:hint="eastAsia"/>
                <w:sz w:val="24"/>
                <w:szCs w:val="24"/>
              </w:rPr>
              <w:t>铁路干线</w:t>
            </w:r>
          </w:p>
        </w:tc>
        <w:tc>
          <w:tcPr>
            <w:tcW w:w="5155" w:type="dxa"/>
          </w:tcPr>
          <w:p>
            <w:pPr>
              <w:pStyle w:val="96"/>
              <w:rPr>
                <w:sz w:val="24"/>
                <w:szCs w:val="24"/>
              </w:rPr>
            </w:pPr>
            <w:r>
              <w:rPr>
                <w:rFonts w:hint="eastAsia"/>
                <w:sz w:val="24"/>
                <w:szCs w:val="24"/>
              </w:rPr>
              <w:t>不低于30米</w:t>
            </w:r>
          </w:p>
        </w:tc>
        <w:tc>
          <w:tcPr>
            <w:tcW w:w="1770" w:type="dxa"/>
          </w:tcPr>
          <w:p>
            <w:pPr>
              <w:pStyle w:val="96"/>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sz w:val="24"/>
                <w:szCs w:val="24"/>
              </w:rPr>
            </w:pPr>
            <w:r>
              <w:rPr>
                <w:rFonts w:hint="eastAsia"/>
                <w:sz w:val="24"/>
                <w:szCs w:val="24"/>
              </w:rPr>
              <w:t>铁路支线</w:t>
            </w:r>
          </w:p>
        </w:tc>
        <w:tc>
          <w:tcPr>
            <w:tcW w:w="5155" w:type="dxa"/>
          </w:tcPr>
          <w:p>
            <w:pPr>
              <w:pStyle w:val="96"/>
              <w:rPr>
                <w:sz w:val="24"/>
                <w:szCs w:val="24"/>
              </w:rPr>
            </w:pPr>
            <w:r>
              <w:rPr>
                <w:rFonts w:hint="eastAsia"/>
                <w:sz w:val="24"/>
                <w:szCs w:val="24"/>
              </w:rPr>
              <w:t>不低于20米</w:t>
            </w:r>
          </w:p>
        </w:tc>
        <w:tc>
          <w:tcPr>
            <w:tcW w:w="1770" w:type="dxa"/>
          </w:tcPr>
          <w:p>
            <w:pPr>
              <w:pStyle w:val="96"/>
              <w:rPr>
                <w:sz w:val="24"/>
                <w:szCs w:val="24"/>
              </w:rPr>
            </w:pPr>
          </w:p>
        </w:tc>
      </w:tr>
    </w:tbl>
    <w:p>
      <w:pPr>
        <w:spacing w:line="500" w:lineRule="exact"/>
        <w:ind w:firstLine="560"/>
        <w:jc w:val="center"/>
        <w:rPr>
          <w:rFonts w:ascii="仿宋" w:hAnsi="仿宋" w:eastAsia="仿宋" w:cs="仿宋"/>
          <w:kern w:val="0"/>
          <w:sz w:val="28"/>
          <w:szCs w:val="28"/>
          <w:lang w:bidi="ar"/>
        </w:rPr>
      </w:pPr>
    </w:p>
    <w:tbl>
      <w:tblPr>
        <w:tblStyle w:val="31"/>
        <w:tblW w:w="8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5155"/>
        <w:gridCol w:w="1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5" w:type="dxa"/>
            <w:gridSpan w:val="3"/>
          </w:tcPr>
          <w:p>
            <w:pPr>
              <w:pStyle w:val="98"/>
              <w:rPr>
                <w:lang w:bidi="ar"/>
              </w:rPr>
            </w:pPr>
            <w:r>
              <w:rPr>
                <w:rFonts w:hint="eastAsia"/>
                <w:lang w:bidi="ar"/>
              </w:rPr>
              <w:t>专栏14-</w:t>
            </w:r>
            <w:r>
              <w:rPr>
                <w:lang w:bidi="ar"/>
              </w:rPr>
              <w:t>3</w:t>
            </w:r>
            <w:r>
              <w:rPr>
                <w:rFonts w:hint="eastAsia"/>
                <w:lang w:bidi="ar"/>
              </w:rPr>
              <w:t>建筑退让公路的控制距离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sz w:val="24"/>
                <w:szCs w:val="24"/>
                <w:lang w:bidi="ar"/>
              </w:rPr>
            </w:pPr>
            <w:r>
              <w:rPr>
                <w:rFonts w:hint="eastAsia"/>
                <w:sz w:val="24"/>
                <w:szCs w:val="24"/>
                <w:lang w:bidi="ar"/>
              </w:rPr>
              <w:t>公路等级</w:t>
            </w:r>
          </w:p>
        </w:tc>
        <w:tc>
          <w:tcPr>
            <w:tcW w:w="5155" w:type="dxa"/>
          </w:tcPr>
          <w:p>
            <w:pPr>
              <w:pStyle w:val="96"/>
              <w:rPr>
                <w:sz w:val="24"/>
                <w:szCs w:val="24"/>
                <w:lang w:bidi="ar"/>
              </w:rPr>
            </w:pPr>
            <w:r>
              <w:rPr>
                <w:rFonts w:hint="eastAsia"/>
                <w:sz w:val="24"/>
                <w:szCs w:val="24"/>
                <w:lang w:bidi="ar"/>
              </w:rPr>
              <w:t>建筑边缘与公路边沟外侧的距离（米）</w:t>
            </w:r>
          </w:p>
        </w:tc>
        <w:tc>
          <w:tcPr>
            <w:tcW w:w="1770" w:type="dxa"/>
          </w:tcPr>
          <w:p>
            <w:pPr>
              <w:pStyle w:val="96"/>
              <w:rPr>
                <w:sz w:val="24"/>
                <w:szCs w:val="24"/>
                <w:lang w:bidi="ar"/>
              </w:rPr>
            </w:pPr>
            <w:r>
              <w:rPr>
                <w:rFonts w:hint="eastAsia"/>
                <w:sz w:val="24"/>
                <w:szCs w:val="24"/>
                <w:lang w:bidi="ar"/>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sz w:val="24"/>
                <w:szCs w:val="24"/>
                <w:lang w:bidi="ar"/>
              </w:rPr>
            </w:pPr>
            <w:r>
              <w:rPr>
                <w:rFonts w:hint="eastAsia"/>
                <w:sz w:val="24"/>
                <w:szCs w:val="24"/>
                <w:lang w:bidi="ar"/>
              </w:rPr>
              <w:t>高速</w:t>
            </w:r>
          </w:p>
        </w:tc>
        <w:tc>
          <w:tcPr>
            <w:tcW w:w="5155" w:type="dxa"/>
          </w:tcPr>
          <w:p>
            <w:pPr>
              <w:pStyle w:val="96"/>
              <w:rPr>
                <w:sz w:val="24"/>
                <w:szCs w:val="24"/>
                <w:lang w:bidi="ar"/>
              </w:rPr>
            </w:pPr>
            <w:r>
              <w:rPr>
                <w:rFonts w:hint="eastAsia"/>
                <w:sz w:val="24"/>
                <w:szCs w:val="24"/>
                <w:lang w:bidi="ar"/>
              </w:rPr>
              <w:t>不少于</w:t>
            </w:r>
            <w:r>
              <w:rPr>
                <w:sz w:val="24"/>
                <w:szCs w:val="24"/>
                <w:lang w:bidi="ar"/>
              </w:rPr>
              <w:t>3</w:t>
            </w:r>
            <w:r>
              <w:rPr>
                <w:rFonts w:hint="eastAsia"/>
                <w:sz w:val="24"/>
                <w:szCs w:val="24"/>
                <w:lang w:bidi="ar"/>
              </w:rPr>
              <w:t>0米</w:t>
            </w:r>
          </w:p>
        </w:tc>
        <w:tc>
          <w:tcPr>
            <w:tcW w:w="1770" w:type="dxa"/>
          </w:tcPr>
          <w:p>
            <w:pPr>
              <w:pStyle w:val="96"/>
              <w:rPr>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pStyle w:val="96"/>
              <w:rPr>
                <w:sz w:val="24"/>
                <w:szCs w:val="24"/>
                <w:lang w:bidi="ar"/>
              </w:rPr>
            </w:pPr>
            <w:r>
              <w:rPr>
                <w:rFonts w:hint="eastAsia"/>
                <w:sz w:val="24"/>
                <w:szCs w:val="24"/>
                <w:lang w:bidi="ar"/>
              </w:rPr>
              <w:t>国道</w:t>
            </w:r>
          </w:p>
        </w:tc>
        <w:tc>
          <w:tcPr>
            <w:tcW w:w="5155" w:type="dxa"/>
          </w:tcPr>
          <w:p>
            <w:pPr>
              <w:pStyle w:val="96"/>
              <w:rPr>
                <w:sz w:val="24"/>
                <w:szCs w:val="24"/>
                <w:lang w:bidi="ar"/>
              </w:rPr>
            </w:pPr>
            <w:r>
              <w:rPr>
                <w:rFonts w:hint="eastAsia"/>
                <w:sz w:val="24"/>
                <w:szCs w:val="24"/>
                <w:lang w:bidi="ar"/>
              </w:rPr>
              <w:t>不少于20米</w:t>
            </w:r>
          </w:p>
        </w:tc>
        <w:tc>
          <w:tcPr>
            <w:tcW w:w="1770" w:type="dxa"/>
          </w:tcPr>
          <w:p>
            <w:pPr>
              <w:pStyle w:val="96"/>
              <w:rPr>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sz w:val="24"/>
                <w:szCs w:val="24"/>
                <w:lang w:bidi="ar"/>
              </w:rPr>
            </w:pPr>
            <w:r>
              <w:rPr>
                <w:rFonts w:hint="eastAsia"/>
                <w:sz w:val="24"/>
                <w:szCs w:val="24"/>
                <w:lang w:bidi="ar"/>
              </w:rPr>
              <w:t>省道</w:t>
            </w:r>
          </w:p>
        </w:tc>
        <w:tc>
          <w:tcPr>
            <w:tcW w:w="5155" w:type="dxa"/>
          </w:tcPr>
          <w:p>
            <w:pPr>
              <w:pStyle w:val="96"/>
              <w:rPr>
                <w:sz w:val="24"/>
                <w:szCs w:val="24"/>
                <w:lang w:bidi="ar"/>
              </w:rPr>
            </w:pPr>
            <w:r>
              <w:rPr>
                <w:rFonts w:hint="eastAsia"/>
                <w:sz w:val="24"/>
                <w:szCs w:val="24"/>
                <w:lang w:bidi="ar"/>
              </w:rPr>
              <w:t>不少于15米</w:t>
            </w:r>
          </w:p>
        </w:tc>
        <w:tc>
          <w:tcPr>
            <w:tcW w:w="1770" w:type="dxa"/>
          </w:tcPr>
          <w:p>
            <w:pPr>
              <w:pStyle w:val="96"/>
              <w:rPr>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sz w:val="24"/>
                <w:szCs w:val="24"/>
                <w:lang w:bidi="ar"/>
              </w:rPr>
            </w:pPr>
            <w:r>
              <w:rPr>
                <w:rFonts w:hint="eastAsia"/>
                <w:sz w:val="24"/>
                <w:szCs w:val="24"/>
                <w:lang w:bidi="ar"/>
              </w:rPr>
              <w:t>县道</w:t>
            </w:r>
          </w:p>
        </w:tc>
        <w:tc>
          <w:tcPr>
            <w:tcW w:w="5155" w:type="dxa"/>
          </w:tcPr>
          <w:p>
            <w:pPr>
              <w:pStyle w:val="96"/>
              <w:rPr>
                <w:sz w:val="24"/>
                <w:szCs w:val="24"/>
                <w:lang w:bidi="ar"/>
              </w:rPr>
            </w:pPr>
            <w:r>
              <w:rPr>
                <w:rFonts w:hint="eastAsia"/>
                <w:sz w:val="24"/>
                <w:szCs w:val="24"/>
                <w:lang w:bidi="ar"/>
              </w:rPr>
              <w:t>不少于10米</w:t>
            </w:r>
          </w:p>
        </w:tc>
        <w:tc>
          <w:tcPr>
            <w:tcW w:w="1770" w:type="dxa"/>
          </w:tcPr>
          <w:p>
            <w:pPr>
              <w:pStyle w:val="96"/>
              <w:rPr>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sz w:val="24"/>
                <w:szCs w:val="24"/>
                <w:lang w:bidi="ar"/>
              </w:rPr>
            </w:pPr>
            <w:r>
              <w:rPr>
                <w:rFonts w:hint="eastAsia"/>
                <w:sz w:val="24"/>
                <w:szCs w:val="24"/>
                <w:lang w:bidi="ar"/>
              </w:rPr>
              <w:t>乡道</w:t>
            </w:r>
          </w:p>
        </w:tc>
        <w:tc>
          <w:tcPr>
            <w:tcW w:w="5155" w:type="dxa"/>
          </w:tcPr>
          <w:p>
            <w:pPr>
              <w:pStyle w:val="96"/>
              <w:rPr>
                <w:sz w:val="24"/>
                <w:szCs w:val="24"/>
                <w:lang w:bidi="ar"/>
              </w:rPr>
            </w:pPr>
            <w:r>
              <w:rPr>
                <w:rFonts w:hint="eastAsia"/>
                <w:sz w:val="24"/>
                <w:szCs w:val="24"/>
                <w:lang w:bidi="ar"/>
              </w:rPr>
              <w:t>不少于5米</w:t>
            </w:r>
          </w:p>
        </w:tc>
        <w:tc>
          <w:tcPr>
            <w:tcW w:w="1770" w:type="dxa"/>
          </w:tcPr>
          <w:p>
            <w:pPr>
              <w:pStyle w:val="96"/>
              <w:rPr>
                <w:sz w:val="24"/>
                <w:szCs w:val="24"/>
                <w:lang w:bidi="ar"/>
              </w:rPr>
            </w:pPr>
          </w:p>
        </w:tc>
      </w:tr>
    </w:tbl>
    <w:p>
      <w:pPr>
        <w:ind w:firstLine="640"/>
      </w:pPr>
      <w:r>
        <w:t>乡村范围内各类建筑退河道（水库）管护范围线不得小于5米，且应结合防洪、生态、水系及其他专项规划进行合理控制。</w:t>
      </w:r>
    </w:p>
    <w:p>
      <w:pPr>
        <w:ind w:firstLine="640"/>
      </w:pPr>
      <w:r>
        <w:t>2.农村村民自建住房管控</w:t>
      </w:r>
    </w:p>
    <w:p>
      <w:pPr>
        <w:ind w:firstLine="640"/>
      </w:pPr>
      <w:r>
        <w:t>村庄建设边界内建设用地优先保障村民自建住房用地，住宅用地不足的不得安排其他产业用地。</w:t>
      </w:r>
      <w:r>
        <w:rPr>
          <w:rFonts w:hint="eastAsia"/>
        </w:rPr>
        <w:t>村庄用地规划按住宅用地、村庄公共设施、公益事业、产业用地顺序保障。</w:t>
      </w:r>
    </w:p>
    <w:p>
      <w:pPr>
        <w:ind w:firstLine="640"/>
      </w:pPr>
      <w:r>
        <w:t>农村村民自建住房建设主体应符合农村宅基地申请条件。</w:t>
      </w:r>
      <w:r>
        <w:rPr>
          <w:rFonts w:hint="eastAsia"/>
        </w:rPr>
        <w:t>农村村民一户只能拥有一处宅基地。新建宅基地</w:t>
      </w:r>
      <w:r>
        <w:t>每户宅基地面积不得超过200平方米。</w:t>
      </w:r>
    </w:p>
    <w:p>
      <w:pPr>
        <w:ind w:firstLine="640"/>
      </w:pPr>
      <w:r>
        <w:rPr>
          <w:rFonts w:hint="eastAsia"/>
        </w:rPr>
        <w:t>利用村内原宅基地改造、翻建的，应符合村规民约，与周边住宅建筑对齐，不得扩大用地规模。涉及妨碍村庄道路等公共空间的，须按村规民约退出。</w:t>
      </w:r>
    </w:p>
    <w:p>
      <w:pPr>
        <w:ind w:firstLine="640"/>
      </w:pPr>
      <w:r>
        <w:rPr>
          <w:rFonts w:hint="eastAsia"/>
        </w:rPr>
        <w:t>村民按照规划另选址建房的，无偿退回原有宅基地。</w:t>
      </w:r>
    </w:p>
    <w:p>
      <w:pPr>
        <w:ind w:firstLine="640"/>
      </w:pPr>
      <w:r>
        <w:t>村村民自建住房建筑一般以两层为主，最高不超过三层，建筑限高12米。</w:t>
      </w:r>
    </w:p>
    <w:p>
      <w:pPr>
        <w:ind w:firstLine="640"/>
      </w:pPr>
      <w:r>
        <w:rPr>
          <w:rFonts w:hint="eastAsia"/>
        </w:rPr>
        <w:t>各村村民自建住房在不超建筑限高</w:t>
      </w:r>
      <w:r>
        <w:t>12米的前提下，可根据本村规民约、风土人情、地理环境特点等因素合理确定各村住宅层高及限高，并体现在本村村庄规划或村规民约中。</w:t>
      </w:r>
    </w:p>
    <w:p>
      <w:pPr>
        <w:ind w:firstLine="640"/>
      </w:pPr>
      <w:r>
        <w:rPr>
          <w:rFonts w:hint="eastAsia"/>
        </w:rPr>
        <w:t>对于机场、风景名胜区、文物保护区、传统村落保护区等特殊地段的村民自建住宅，建筑限高还须符合其他相关部门的专项规定。</w:t>
      </w:r>
    </w:p>
    <w:p>
      <w:pPr>
        <w:ind w:firstLine="640"/>
      </w:pPr>
      <w:r>
        <w:rPr>
          <w:rFonts w:hint="eastAsia"/>
        </w:rPr>
        <w:t>平原地区室内外高差不宜大于</w:t>
      </w:r>
      <w:r>
        <w:t>0.45米、院落和街巷高差不宜大于0.3米</w:t>
      </w:r>
      <w:r>
        <w:rPr>
          <w:rFonts w:hint="eastAsia" w:ascii="仿宋_GB2312" w:hAnsi="仿宋_GB2312" w:cs="仿宋_GB2312"/>
        </w:rPr>
        <w:t>。</w:t>
      </w:r>
    </w:p>
    <w:p>
      <w:pPr>
        <w:ind w:firstLine="640"/>
      </w:pPr>
      <w:r>
        <w:t>农村村民自建住宅建筑临距应符合村规民约，不妨害相邻权、地役权，应保证相邻利益方房屋的正常采光和通行要求，并符合《农村防火规范（GB50039-2010）》规定。</w:t>
      </w:r>
      <w:r>
        <w:rPr>
          <w:rFonts w:hint="eastAsia"/>
        </w:rPr>
        <w:t>村民联排自建住房（并山）可不考虑山墙建筑间距。</w:t>
      </w:r>
    </w:p>
    <w:p>
      <w:pPr>
        <w:ind w:firstLine="640"/>
      </w:pPr>
      <w:r>
        <w:t>农村村民自建住宅临村内道路进行住宅建设，宜按下列原则退让道路。</w:t>
      </w:r>
      <w:r>
        <w:rPr>
          <w:rFonts w:hint="eastAsia"/>
        </w:rPr>
        <w:t>新建村民自建住房临路方向应与同侧相邻建筑外墙面边界齐平，保证沿路建筑的整齐美观。临路方向退缩距离如有村规民约的，按照村规民约约定退让距离执行。村规民约没有约定的，按照正向临路方向退缩不宜小于</w:t>
      </w:r>
      <w:r>
        <w:t>2米(以道路边线为基准)，侧向临路方向退缩不宜小于1米(以道路中边线为基准)规定执行。</w:t>
      </w:r>
      <w:r>
        <w:rPr>
          <w:rFonts w:hint="eastAsia"/>
        </w:rPr>
        <w:t>村民自建住房与其他公共建筑、企业、仓储等建筑间距离，须符合建筑防火规范。</w:t>
      </w:r>
    </w:p>
    <w:p>
      <w:pPr>
        <w:ind w:firstLine="640"/>
      </w:pPr>
      <w:r>
        <w:t>农村村民自建住房可按照</w:t>
      </w:r>
      <w:r>
        <w:rPr>
          <w:rFonts w:hint="eastAsia"/>
        </w:rPr>
        <w:t>村庄规划推荐</w:t>
      </w:r>
      <w:r>
        <w:t>的农村住房设计图集建设或自行聘请设计单位进行。自行设计的，建筑风貌应与本村建筑风貌一致，符合村规民约，尊重本村居民居住习惯。村民自建低层经营性建筑或三层（含）以上住宅的，必须由有资质建筑设计单位进行设计，并按有关建筑规范要求施工。</w:t>
      </w:r>
    </w:p>
    <w:p>
      <w:pPr>
        <w:ind w:firstLine="640"/>
      </w:pPr>
      <w:r>
        <w:t>鼓励开展“空心村”、闲置用地整治，集约节约用地。为节约集约用地，对宅基地特别紧张的村庄，集体经济组织可通过综合整治，本着村民自愿的原则，统筹建设多层村民集中住宅楼，实现户有所居。</w:t>
      </w:r>
      <w:r>
        <w:rPr>
          <w:rFonts w:hint="eastAsia"/>
        </w:rPr>
        <w:t>村民集中住宅楼只限本村村民，不得对外销售、租赁。</w:t>
      </w:r>
    </w:p>
    <w:p>
      <w:pPr>
        <w:ind w:firstLine="640"/>
      </w:pPr>
      <w:r>
        <w:t>村民集中住宅楼、保障性租赁住房可按下列指标控制：</w:t>
      </w:r>
    </w:p>
    <w:tbl>
      <w:tblPr>
        <w:tblStyle w:val="31"/>
        <w:tblpPr w:leftFromText="180" w:rightFromText="180" w:vertAnchor="text" w:horzAnchor="page" w:tblpX="1821" w:tblpY="286"/>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44"/>
        <w:gridCol w:w="1328"/>
        <w:gridCol w:w="1464"/>
        <w:gridCol w:w="1464"/>
        <w:gridCol w:w="21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5000" w:type="pct"/>
            <w:gridSpan w:val="5"/>
          </w:tcPr>
          <w:p>
            <w:pPr>
              <w:pStyle w:val="98"/>
            </w:pPr>
            <w:r>
              <w:rPr>
                <w:rFonts w:hint="eastAsia"/>
              </w:rPr>
              <w:t>专栏14-</w:t>
            </w:r>
            <w:r>
              <w:t xml:space="preserve">4 </w:t>
            </w:r>
            <w:r>
              <w:rPr>
                <w:rFonts w:hint="eastAsia"/>
              </w:rPr>
              <w:t>村庄集中住宅楼、保障性租赁住房建设指标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1258" w:type="pct"/>
          </w:tcPr>
          <w:p>
            <w:pPr>
              <w:pStyle w:val="96"/>
              <w:rPr>
                <w:sz w:val="24"/>
                <w:szCs w:val="24"/>
              </w:rPr>
            </w:pPr>
            <w:r>
              <w:rPr>
                <w:rFonts w:hint="eastAsia"/>
                <w:sz w:val="24"/>
                <w:szCs w:val="24"/>
              </w:rPr>
              <w:t>容积率</w:t>
            </w:r>
          </w:p>
        </w:tc>
        <w:tc>
          <w:tcPr>
            <w:tcW w:w="779" w:type="pct"/>
          </w:tcPr>
          <w:p>
            <w:pPr>
              <w:pStyle w:val="96"/>
              <w:rPr>
                <w:sz w:val="24"/>
                <w:szCs w:val="24"/>
              </w:rPr>
            </w:pPr>
            <w:r>
              <w:rPr>
                <w:rFonts w:hint="eastAsia"/>
                <w:sz w:val="24"/>
                <w:szCs w:val="24"/>
              </w:rPr>
              <w:t>建筑密度</w:t>
            </w:r>
          </w:p>
        </w:tc>
        <w:tc>
          <w:tcPr>
            <w:tcW w:w="859" w:type="pct"/>
          </w:tcPr>
          <w:p>
            <w:pPr>
              <w:pStyle w:val="96"/>
              <w:rPr>
                <w:sz w:val="24"/>
                <w:szCs w:val="24"/>
              </w:rPr>
            </w:pPr>
            <w:r>
              <w:rPr>
                <w:rFonts w:hint="eastAsia"/>
                <w:sz w:val="24"/>
                <w:szCs w:val="24"/>
              </w:rPr>
              <w:t>绿化率</w:t>
            </w:r>
          </w:p>
        </w:tc>
        <w:tc>
          <w:tcPr>
            <w:tcW w:w="859" w:type="pct"/>
          </w:tcPr>
          <w:p>
            <w:pPr>
              <w:pStyle w:val="96"/>
              <w:rPr>
                <w:sz w:val="24"/>
                <w:szCs w:val="24"/>
              </w:rPr>
            </w:pPr>
            <w:r>
              <w:rPr>
                <w:rFonts w:hint="eastAsia"/>
                <w:sz w:val="24"/>
                <w:szCs w:val="24"/>
              </w:rPr>
              <w:t>建筑高度</w:t>
            </w:r>
          </w:p>
        </w:tc>
        <w:tc>
          <w:tcPr>
            <w:tcW w:w="1245" w:type="pct"/>
          </w:tcPr>
          <w:p>
            <w:pPr>
              <w:pStyle w:val="96"/>
              <w:rPr>
                <w:sz w:val="24"/>
                <w:szCs w:val="24"/>
              </w:rPr>
            </w:pPr>
            <w:r>
              <w:rPr>
                <w:rFonts w:hint="eastAsia"/>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1258" w:type="pct"/>
          </w:tcPr>
          <w:p>
            <w:pPr>
              <w:pStyle w:val="96"/>
              <w:rPr>
                <w:rFonts w:ascii="仿宋_GB2312"/>
                <w:sz w:val="24"/>
                <w:szCs w:val="24"/>
              </w:rPr>
            </w:pPr>
            <w:r>
              <w:rPr>
                <w:rFonts w:hint="eastAsia" w:ascii="仿宋_GB2312" w:hAnsi="Arial" w:cs="Arial"/>
                <w:sz w:val="24"/>
                <w:szCs w:val="24"/>
              </w:rPr>
              <w:t>1.0-</w:t>
            </w:r>
            <w:r>
              <w:rPr>
                <w:rFonts w:hint="eastAsia" w:ascii="仿宋_GB2312"/>
                <w:sz w:val="24"/>
                <w:szCs w:val="24"/>
              </w:rPr>
              <w:t>1.5</w:t>
            </w:r>
          </w:p>
        </w:tc>
        <w:tc>
          <w:tcPr>
            <w:tcW w:w="779" w:type="pct"/>
          </w:tcPr>
          <w:p>
            <w:pPr>
              <w:pStyle w:val="96"/>
              <w:rPr>
                <w:rFonts w:ascii="仿宋_GB2312"/>
                <w:sz w:val="24"/>
                <w:szCs w:val="24"/>
              </w:rPr>
            </w:pPr>
            <w:r>
              <w:rPr>
                <w:rFonts w:hint="eastAsia" w:ascii="仿宋_GB2312"/>
                <w:sz w:val="24"/>
                <w:szCs w:val="24"/>
              </w:rPr>
              <w:t>＜35%</w:t>
            </w:r>
          </w:p>
        </w:tc>
        <w:tc>
          <w:tcPr>
            <w:tcW w:w="859" w:type="pct"/>
          </w:tcPr>
          <w:p>
            <w:pPr>
              <w:pStyle w:val="96"/>
              <w:rPr>
                <w:rFonts w:ascii="仿宋_GB2312"/>
                <w:sz w:val="24"/>
                <w:szCs w:val="24"/>
              </w:rPr>
            </w:pPr>
            <w:r>
              <w:rPr>
                <w:rFonts w:hint="eastAsia" w:ascii="仿宋_GB2312"/>
                <w:sz w:val="24"/>
                <w:szCs w:val="24"/>
              </w:rPr>
              <w:t>＞30%</w:t>
            </w:r>
          </w:p>
        </w:tc>
        <w:tc>
          <w:tcPr>
            <w:tcW w:w="859" w:type="pct"/>
          </w:tcPr>
          <w:p>
            <w:pPr>
              <w:pStyle w:val="96"/>
              <w:rPr>
                <w:rFonts w:ascii="仿宋_GB2312"/>
                <w:sz w:val="24"/>
                <w:szCs w:val="24"/>
              </w:rPr>
            </w:pPr>
            <w:r>
              <w:rPr>
                <w:rFonts w:hint="eastAsia" w:ascii="仿宋_GB2312"/>
                <w:sz w:val="24"/>
                <w:szCs w:val="24"/>
              </w:rPr>
              <w:t>＜</w:t>
            </w:r>
            <w:r>
              <w:rPr>
                <w:rFonts w:hint="eastAsia" w:ascii="仿宋_GB2312" w:hAnsi="Arial" w:cs="Arial"/>
                <w:sz w:val="24"/>
                <w:szCs w:val="24"/>
              </w:rPr>
              <w:t>24米</w:t>
            </w:r>
          </w:p>
        </w:tc>
        <w:tc>
          <w:tcPr>
            <w:tcW w:w="1245" w:type="pct"/>
          </w:tcPr>
          <w:p>
            <w:pPr>
              <w:pStyle w:val="96"/>
              <w:rPr>
                <w:rFonts w:ascii="仿宋_GB2312"/>
                <w:sz w:val="24"/>
                <w:szCs w:val="24"/>
              </w:rPr>
            </w:pPr>
            <w:r>
              <w:rPr>
                <w:rFonts w:hint="eastAsia" w:ascii="仿宋_GB2312"/>
                <w:sz w:val="24"/>
                <w:szCs w:val="24"/>
              </w:rPr>
              <w:t>建议不超6层</w:t>
            </w:r>
          </w:p>
        </w:tc>
      </w:tr>
    </w:tbl>
    <w:p>
      <w:pPr>
        <w:ind w:firstLine="640"/>
      </w:pPr>
      <w:r>
        <w:t>村民集中住宅楼、保障性租赁住房建筑间距、建筑退让及其他配套设施设置可参照城市居住区有关标准执行。</w:t>
      </w:r>
    </w:p>
    <w:p>
      <w:pPr>
        <w:ind w:firstLine="640"/>
      </w:pPr>
      <w:r>
        <w:rPr>
          <w:rFonts w:hint="eastAsia"/>
        </w:rPr>
        <w:t>3</w:t>
      </w:r>
      <w:r>
        <w:t>.</w:t>
      </w:r>
      <w:r>
        <w:rPr>
          <w:rFonts w:hint="eastAsia"/>
        </w:rPr>
        <w:t>村庄基础设施</w:t>
      </w:r>
    </w:p>
    <w:p>
      <w:pPr>
        <w:ind w:firstLine="640"/>
      </w:pPr>
      <w:r>
        <w:t>落实镇国土空间规划规划确定的区域性基础设施，在梳理村庄现状设施的基础上，结合实际需求，明确道路、给排水、环卫等设施的设置要求。</w:t>
      </w:r>
    </w:p>
    <w:tbl>
      <w:tblPr>
        <w:tblStyle w:val="31"/>
        <w:tblW w:w="82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2268"/>
        <w:gridCol w:w="1868"/>
        <w:gridCol w:w="1423"/>
        <w:gridCol w:w="11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217" w:type="dxa"/>
            <w:gridSpan w:val="5"/>
            <w:vAlign w:val="center"/>
          </w:tcPr>
          <w:p>
            <w:pPr>
              <w:pStyle w:val="98"/>
              <w:rPr>
                <w:lang w:bidi="ar"/>
              </w:rPr>
            </w:pPr>
            <w:r>
              <w:rPr>
                <w:rFonts w:hint="eastAsia"/>
                <w:lang w:bidi="ar"/>
              </w:rPr>
              <w:t>专栏14-</w:t>
            </w:r>
            <w:r>
              <w:rPr>
                <w:lang w:bidi="ar"/>
              </w:rPr>
              <w:t xml:space="preserve">5 </w:t>
            </w:r>
            <w:r>
              <w:rPr>
                <w:rFonts w:hint="eastAsia"/>
                <w:lang w:bidi="ar"/>
              </w:rPr>
              <w:t>村庄基础设施分类及项目基本配置表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sz w:val="24"/>
                <w:szCs w:val="24"/>
                <w:lang w:bidi="ar"/>
              </w:rPr>
            </w:pPr>
            <w:r>
              <w:rPr>
                <w:rFonts w:hint="eastAsia"/>
                <w:sz w:val="24"/>
                <w:szCs w:val="24"/>
                <w:lang w:bidi="ar"/>
              </w:rPr>
              <w:t>类别</w:t>
            </w:r>
          </w:p>
        </w:tc>
        <w:tc>
          <w:tcPr>
            <w:tcW w:w="2268" w:type="dxa"/>
            <w:vMerge w:val="restart"/>
            <w:vAlign w:val="center"/>
          </w:tcPr>
          <w:p>
            <w:pPr>
              <w:pStyle w:val="96"/>
              <w:rPr>
                <w:sz w:val="24"/>
                <w:szCs w:val="24"/>
                <w:lang w:bidi="ar"/>
              </w:rPr>
            </w:pPr>
            <w:r>
              <w:rPr>
                <w:rFonts w:hint="eastAsia"/>
                <w:sz w:val="24"/>
                <w:szCs w:val="24"/>
                <w:lang w:bidi="ar"/>
              </w:rPr>
              <w:t>项目</w:t>
            </w:r>
          </w:p>
        </w:tc>
        <w:tc>
          <w:tcPr>
            <w:tcW w:w="4394" w:type="dxa"/>
            <w:gridSpan w:val="3"/>
            <w:vAlign w:val="center"/>
          </w:tcPr>
          <w:p>
            <w:pPr>
              <w:pStyle w:val="96"/>
              <w:rPr>
                <w:sz w:val="24"/>
                <w:szCs w:val="24"/>
                <w:lang w:bidi="ar"/>
              </w:rPr>
            </w:pPr>
            <w:r>
              <w:rPr>
                <w:rFonts w:hint="eastAsia"/>
                <w:sz w:val="24"/>
                <w:szCs w:val="24"/>
                <w:lang w:bidi="ar"/>
              </w:rPr>
              <w:t>基础设施项目配置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tcPr>
          <w:p>
            <w:pPr>
              <w:pStyle w:val="96"/>
              <w:rPr>
                <w:sz w:val="24"/>
                <w:szCs w:val="24"/>
                <w:lang w:bidi="ar"/>
              </w:rPr>
            </w:pPr>
          </w:p>
        </w:tc>
        <w:tc>
          <w:tcPr>
            <w:tcW w:w="2268" w:type="dxa"/>
            <w:vMerge w:val="continue"/>
          </w:tcPr>
          <w:p>
            <w:pPr>
              <w:pStyle w:val="96"/>
              <w:rPr>
                <w:sz w:val="24"/>
                <w:szCs w:val="24"/>
                <w:lang w:bidi="ar"/>
              </w:rPr>
            </w:pPr>
          </w:p>
        </w:tc>
        <w:tc>
          <w:tcPr>
            <w:tcW w:w="1868" w:type="dxa"/>
          </w:tcPr>
          <w:p>
            <w:pPr>
              <w:pStyle w:val="96"/>
              <w:rPr>
                <w:sz w:val="24"/>
                <w:szCs w:val="24"/>
                <w:lang w:bidi="ar"/>
              </w:rPr>
            </w:pPr>
            <w:r>
              <w:rPr>
                <w:rFonts w:hint="eastAsia"/>
                <w:sz w:val="24"/>
                <w:szCs w:val="24"/>
                <w:lang w:bidi="ar"/>
              </w:rPr>
              <w:t>集聚提升类</w:t>
            </w:r>
          </w:p>
        </w:tc>
        <w:tc>
          <w:tcPr>
            <w:tcW w:w="1423" w:type="dxa"/>
          </w:tcPr>
          <w:p>
            <w:pPr>
              <w:pStyle w:val="96"/>
              <w:rPr>
                <w:sz w:val="24"/>
                <w:szCs w:val="24"/>
                <w:lang w:bidi="ar"/>
              </w:rPr>
            </w:pPr>
            <w:r>
              <w:rPr>
                <w:rFonts w:hint="eastAsia"/>
                <w:sz w:val="24"/>
                <w:szCs w:val="24"/>
                <w:lang w:bidi="ar"/>
              </w:rPr>
              <w:t>特色保护类</w:t>
            </w:r>
          </w:p>
        </w:tc>
        <w:tc>
          <w:tcPr>
            <w:tcW w:w="1103" w:type="dxa"/>
          </w:tcPr>
          <w:p>
            <w:pPr>
              <w:pStyle w:val="96"/>
              <w:rPr>
                <w:sz w:val="24"/>
                <w:szCs w:val="24"/>
                <w:lang w:bidi="ar"/>
              </w:rPr>
            </w:pPr>
            <w:r>
              <w:rPr>
                <w:rFonts w:hint="eastAsia"/>
                <w:sz w:val="24"/>
                <w:szCs w:val="24"/>
                <w:lang w:bidi="ar"/>
              </w:rPr>
              <w:t>整治改善类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sz w:val="24"/>
                <w:szCs w:val="24"/>
                <w:lang w:bidi="ar"/>
              </w:rPr>
            </w:pPr>
            <w:r>
              <w:rPr>
                <w:rFonts w:hint="eastAsia"/>
                <w:sz w:val="24"/>
                <w:szCs w:val="24"/>
                <w:lang w:bidi="ar"/>
              </w:rPr>
              <w:t>道路交通</w:t>
            </w:r>
          </w:p>
        </w:tc>
        <w:tc>
          <w:tcPr>
            <w:tcW w:w="2268" w:type="dxa"/>
          </w:tcPr>
          <w:p>
            <w:pPr>
              <w:pStyle w:val="96"/>
              <w:rPr>
                <w:sz w:val="24"/>
                <w:szCs w:val="24"/>
                <w:lang w:bidi="ar"/>
              </w:rPr>
            </w:pPr>
            <w:r>
              <w:rPr>
                <w:rFonts w:hint="eastAsia"/>
                <w:sz w:val="24"/>
                <w:szCs w:val="24"/>
                <w:lang w:bidi="ar"/>
              </w:rPr>
              <w:t>公交站点</w:t>
            </w:r>
          </w:p>
        </w:tc>
        <w:tc>
          <w:tcPr>
            <w:tcW w:w="1868" w:type="dxa"/>
          </w:tcPr>
          <w:p>
            <w:pPr>
              <w:pStyle w:val="96"/>
              <w:rPr>
                <w:sz w:val="24"/>
                <w:szCs w:val="24"/>
                <w:lang w:bidi="ar"/>
              </w:rPr>
            </w:pPr>
            <w:r>
              <w:rPr>
                <w:rFonts w:hint="eastAsia"/>
                <w:sz w:val="24"/>
                <w:szCs w:val="24"/>
                <w:lang w:bidi="ar"/>
              </w:rPr>
              <w:t>●</w:t>
            </w:r>
          </w:p>
        </w:tc>
        <w:tc>
          <w:tcPr>
            <w:tcW w:w="1423" w:type="dxa"/>
          </w:tcPr>
          <w:p>
            <w:pPr>
              <w:pStyle w:val="96"/>
              <w:rPr>
                <w:sz w:val="24"/>
                <w:szCs w:val="24"/>
                <w:lang w:bidi="ar"/>
              </w:rPr>
            </w:pPr>
            <w:r>
              <w:rPr>
                <w:rFonts w:hint="eastAsia"/>
                <w:sz w:val="24"/>
                <w:szCs w:val="24"/>
                <w:lang w:bidi="ar"/>
              </w:rPr>
              <w:t>○</w:t>
            </w:r>
          </w:p>
        </w:tc>
        <w:tc>
          <w:tcPr>
            <w:tcW w:w="1103" w:type="dxa"/>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sz w:val="24"/>
                <w:szCs w:val="24"/>
                <w:lang w:bidi="ar"/>
              </w:rPr>
            </w:pPr>
          </w:p>
        </w:tc>
        <w:tc>
          <w:tcPr>
            <w:tcW w:w="2268" w:type="dxa"/>
          </w:tcPr>
          <w:p>
            <w:pPr>
              <w:pStyle w:val="96"/>
              <w:rPr>
                <w:sz w:val="24"/>
                <w:szCs w:val="24"/>
                <w:lang w:bidi="ar"/>
              </w:rPr>
            </w:pPr>
            <w:r>
              <w:rPr>
                <w:rFonts w:hint="eastAsia"/>
                <w:sz w:val="24"/>
                <w:szCs w:val="24"/>
                <w:lang w:bidi="ar"/>
              </w:rPr>
              <w:t>停车场</w:t>
            </w:r>
          </w:p>
        </w:tc>
        <w:tc>
          <w:tcPr>
            <w:tcW w:w="1868" w:type="dxa"/>
          </w:tcPr>
          <w:p>
            <w:pPr>
              <w:pStyle w:val="96"/>
              <w:rPr>
                <w:sz w:val="24"/>
                <w:szCs w:val="24"/>
                <w:lang w:bidi="ar"/>
              </w:rPr>
            </w:pPr>
            <w:r>
              <w:rPr>
                <w:rFonts w:hint="eastAsia"/>
                <w:sz w:val="24"/>
                <w:szCs w:val="24"/>
                <w:lang w:bidi="ar"/>
              </w:rPr>
              <w:t>●</w:t>
            </w:r>
          </w:p>
        </w:tc>
        <w:tc>
          <w:tcPr>
            <w:tcW w:w="1423" w:type="dxa"/>
          </w:tcPr>
          <w:p>
            <w:pPr>
              <w:pStyle w:val="96"/>
              <w:rPr>
                <w:sz w:val="24"/>
                <w:szCs w:val="24"/>
                <w:lang w:bidi="ar"/>
              </w:rPr>
            </w:pPr>
            <w:r>
              <w:rPr>
                <w:rFonts w:hint="eastAsia"/>
                <w:sz w:val="24"/>
                <w:szCs w:val="24"/>
                <w:lang w:bidi="ar"/>
              </w:rPr>
              <w:t>●</w:t>
            </w:r>
          </w:p>
        </w:tc>
        <w:tc>
          <w:tcPr>
            <w:tcW w:w="1103" w:type="dxa"/>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sz w:val="24"/>
                <w:szCs w:val="24"/>
                <w:lang w:bidi="ar"/>
              </w:rPr>
            </w:pPr>
            <w:r>
              <w:rPr>
                <w:rFonts w:hint="eastAsia"/>
                <w:sz w:val="24"/>
                <w:szCs w:val="24"/>
                <w:lang w:bidi="ar"/>
              </w:rPr>
              <w:t>市政设施</w:t>
            </w:r>
          </w:p>
        </w:tc>
        <w:tc>
          <w:tcPr>
            <w:tcW w:w="2268" w:type="dxa"/>
          </w:tcPr>
          <w:p>
            <w:pPr>
              <w:pStyle w:val="96"/>
              <w:rPr>
                <w:sz w:val="24"/>
                <w:szCs w:val="24"/>
                <w:lang w:bidi="ar"/>
              </w:rPr>
            </w:pPr>
            <w:r>
              <w:rPr>
                <w:rFonts w:hint="eastAsia"/>
                <w:sz w:val="24"/>
                <w:szCs w:val="24"/>
                <w:lang w:bidi="ar"/>
              </w:rPr>
              <w:t>变压器，配电室</w:t>
            </w:r>
          </w:p>
        </w:tc>
        <w:tc>
          <w:tcPr>
            <w:tcW w:w="1868" w:type="dxa"/>
          </w:tcPr>
          <w:p>
            <w:pPr>
              <w:pStyle w:val="96"/>
              <w:rPr>
                <w:sz w:val="24"/>
                <w:szCs w:val="24"/>
                <w:lang w:bidi="ar"/>
              </w:rPr>
            </w:pPr>
            <w:r>
              <w:rPr>
                <w:rFonts w:hint="eastAsia"/>
                <w:sz w:val="24"/>
                <w:szCs w:val="24"/>
                <w:lang w:bidi="ar"/>
              </w:rPr>
              <w:t>●</w:t>
            </w:r>
          </w:p>
        </w:tc>
        <w:tc>
          <w:tcPr>
            <w:tcW w:w="1423" w:type="dxa"/>
          </w:tcPr>
          <w:p>
            <w:pPr>
              <w:pStyle w:val="96"/>
              <w:rPr>
                <w:sz w:val="24"/>
                <w:szCs w:val="24"/>
                <w:lang w:bidi="ar"/>
              </w:rPr>
            </w:pPr>
            <w:r>
              <w:rPr>
                <w:rFonts w:hint="eastAsia"/>
                <w:sz w:val="24"/>
                <w:szCs w:val="24"/>
                <w:lang w:bidi="ar"/>
              </w:rPr>
              <w:t>●</w:t>
            </w:r>
          </w:p>
        </w:tc>
        <w:tc>
          <w:tcPr>
            <w:tcW w:w="1103" w:type="dxa"/>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sz w:val="24"/>
                <w:szCs w:val="24"/>
                <w:lang w:bidi="ar"/>
              </w:rPr>
            </w:pPr>
          </w:p>
        </w:tc>
        <w:tc>
          <w:tcPr>
            <w:tcW w:w="2268" w:type="dxa"/>
          </w:tcPr>
          <w:p>
            <w:pPr>
              <w:pStyle w:val="96"/>
              <w:rPr>
                <w:sz w:val="24"/>
                <w:szCs w:val="24"/>
                <w:lang w:bidi="ar"/>
              </w:rPr>
            </w:pPr>
            <w:r>
              <w:rPr>
                <w:rFonts w:hint="eastAsia"/>
                <w:sz w:val="24"/>
                <w:szCs w:val="24"/>
                <w:lang w:bidi="ar"/>
              </w:rPr>
              <w:t>污水处理设施</w:t>
            </w:r>
          </w:p>
        </w:tc>
        <w:tc>
          <w:tcPr>
            <w:tcW w:w="1868" w:type="dxa"/>
          </w:tcPr>
          <w:p>
            <w:pPr>
              <w:pStyle w:val="96"/>
              <w:rPr>
                <w:sz w:val="24"/>
                <w:szCs w:val="24"/>
                <w:lang w:bidi="ar"/>
              </w:rPr>
            </w:pPr>
            <w:r>
              <w:rPr>
                <w:rFonts w:hint="eastAsia"/>
                <w:sz w:val="24"/>
                <w:szCs w:val="24"/>
                <w:lang w:bidi="ar"/>
              </w:rPr>
              <w:t>●</w:t>
            </w:r>
          </w:p>
        </w:tc>
        <w:tc>
          <w:tcPr>
            <w:tcW w:w="1423" w:type="dxa"/>
          </w:tcPr>
          <w:p>
            <w:pPr>
              <w:pStyle w:val="96"/>
              <w:rPr>
                <w:sz w:val="24"/>
                <w:szCs w:val="24"/>
                <w:lang w:bidi="ar"/>
              </w:rPr>
            </w:pPr>
            <w:r>
              <w:rPr>
                <w:rFonts w:hint="eastAsia"/>
                <w:sz w:val="24"/>
                <w:szCs w:val="24"/>
                <w:lang w:bidi="ar"/>
              </w:rPr>
              <w:t>●</w:t>
            </w:r>
          </w:p>
        </w:tc>
        <w:tc>
          <w:tcPr>
            <w:tcW w:w="1103" w:type="dxa"/>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sz w:val="24"/>
                <w:szCs w:val="24"/>
                <w:lang w:bidi="ar"/>
              </w:rPr>
            </w:pPr>
          </w:p>
        </w:tc>
        <w:tc>
          <w:tcPr>
            <w:tcW w:w="2268" w:type="dxa"/>
          </w:tcPr>
          <w:p>
            <w:pPr>
              <w:pStyle w:val="96"/>
              <w:rPr>
                <w:sz w:val="24"/>
                <w:szCs w:val="24"/>
                <w:lang w:bidi="ar"/>
              </w:rPr>
            </w:pPr>
            <w:r>
              <w:rPr>
                <w:rFonts w:hint="eastAsia"/>
                <w:sz w:val="24"/>
                <w:szCs w:val="24"/>
                <w:lang w:bidi="ar"/>
              </w:rPr>
              <w:t>水泵房</w:t>
            </w:r>
          </w:p>
        </w:tc>
        <w:tc>
          <w:tcPr>
            <w:tcW w:w="4394" w:type="dxa"/>
            <w:gridSpan w:val="3"/>
          </w:tcPr>
          <w:p>
            <w:pPr>
              <w:pStyle w:val="96"/>
              <w:rPr>
                <w:sz w:val="24"/>
                <w:szCs w:val="24"/>
                <w:lang w:bidi="ar"/>
              </w:rPr>
            </w:pPr>
            <w:r>
              <w:rPr>
                <w:rFonts w:hint="eastAsia"/>
                <w:sz w:val="24"/>
                <w:szCs w:val="24"/>
                <w:lang w:bidi="ar"/>
              </w:rPr>
              <w:t>非集中供水村庄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sz w:val="24"/>
                <w:szCs w:val="24"/>
                <w:lang w:bidi="ar"/>
              </w:rPr>
            </w:pPr>
            <w:r>
              <w:rPr>
                <w:rFonts w:hint="eastAsia"/>
                <w:sz w:val="24"/>
                <w:szCs w:val="24"/>
                <w:lang w:bidi="ar"/>
              </w:rPr>
              <w:t>环境卫生</w:t>
            </w:r>
          </w:p>
        </w:tc>
        <w:tc>
          <w:tcPr>
            <w:tcW w:w="2268" w:type="dxa"/>
          </w:tcPr>
          <w:p>
            <w:pPr>
              <w:pStyle w:val="96"/>
              <w:rPr>
                <w:sz w:val="24"/>
                <w:szCs w:val="24"/>
                <w:lang w:bidi="ar"/>
              </w:rPr>
            </w:pPr>
            <w:r>
              <w:rPr>
                <w:rFonts w:hint="eastAsia"/>
                <w:sz w:val="24"/>
                <w:szCs w:val="24"/>
                <w:lang w:bidi="ar"/>
              </w:rPr>
              <w:t>垃圾收集点</w:t>
            </w:r>
          </w:p>
        </w:tc>
        <w:tc>
          <w:tcPr>
            <w:tcW w:w="1868" w:type="dxa"/>
          </w:tcPr>
          <w:p>
            <w:pPr>
              <w:pStyle w:val="96"/>
              <w:rPr>
                <w:sz w:val="24"/>
                <w:szCs w:val="24"/>
                <w:lang w:bidi="ar"/>
              </w:rPr>
            </w:pPr>
            <w:r>
              <w:rPr>
                <w:rFonts w:hint="eastAsia"/>
                <w:sz w:val="24"/>
                <w:szCs w:val="24"/>
                <w:lang w:bidi="ar"/>
              </w:rPr>
              <w:t>●</w:t>
            </w:r>
          </w:p>
        </w:tc>
        <w:tc>
          <w:tcPr>
            <w:tcW w:w="1423" w:type="dxa"/>
          </w:tcPr>
          <w:p>
            <w:pPr>
              <w:pStyle w:val="96"/>
              <w:rPr>
                <w:sz w:val="24"/>
                <w:szCs w:val="24"/>
                <w:lang w:bidi="ar"/>
              </w:rPr>
            </w:pPr>
            <w:r>
              <w:rPr>
                <w:rFonts w:hint="eastAsia"/>
                <w:sz w:val="24"/>
                <w:szCs w:val="24"/>
                <w:lang w:bidi="ar"/>
              </w:rPr>
              <w:t>●</w:t>
            </w:r>
          </w:p>
        </w:tc>
        <w:tc>
          <w:tcPr>
            <w:tcW w:w="1103" w:type="dxa"/>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55" w:type="dxa"/>
            <w:vMerge w:val="continue"/>
          </w:tcPr>
          <w:p>
            <w:pPr>
              <w:pStyle w:val="96"/>
              <w:rPr>
                <w:sz w:val="24"/>
                <w:szCs w:val="24"/>
                <w:lang w:bidi="ar"/>
              </w:rPr>
            </w:pPr>
          </w:p>
        </w:tc>
        <w:tc>
          <w:tcPr>
            <w:tcW w:w="2268" w:type="dxa"/>
          </w:tcPr>
          <w:p>
            <w:pPr>
              <w:pStyle w:val="96"/>
              <w:rPr>
                <w:sz w:val="24"/>
                <w:szCs w:val="24"/>
                <w:lang w:bidi="ar"/>
              </w:rPr>
            </w:pPr>
            <w:r>
              <w:rPr>
                <w:rFonts w:hint="eastAsia"/>
                <w:sz w:val="24"/>
                <w:szCs w:val="24"/>
                <w:lang w:bidi="ar"/>
              </w:rPr>
              <w:t>公厕</w:t>
            </w:r>
          </w:p>
        </w:tc>
        <w:tc>
          <w:tcPr>
            <w:tcW w:w="1868" w:type="dxa"/>
          </w:tcPr>
          <w:p>
            <w:pPr>
              <w:pStyle w:val="96"/>
              <w:rPr>
                <w:sz w:val="24"/>
                <w:szCs w:val="24"/>
                <w:lang w:bidi="ar"/>
              </w:rPr>
            </w:pPr>
            <w:r>
              <w:rPr>
                <w:rFonts w:hint="eastAsia"/>
                <w:sz w:val="24"/>
                <w:szCs w:val="24"/>
                <w:lang w:bidi="ar"/>
              </w:rPr>
              <w:t>●</w:t>
            </w:r>
          </w:p>
        </w:tc>
        <w:tc>
          <w:tcPr>
            <w:tcW w:w="1423" w:type="dxa"/>
          </w:tcPr>
          <w:p>
            <w:pPr>
              <w:pStyle w:val="96"/>
              <w:rPr>
                <w:sz w:val="24"/>
                <w:szCs w:val="24"/>
                <w:lang w:bidi="ar"/>
              </w:rPr>
            </w:pPr>
            <w:r>
              <w:rPr>
                <w:rFonts w:hint="eastAsia"/>
                <w:sz w:val="24"/>
                <w:szCs w:val="24"/>
                <w:lang w:bidi="ar"/>
              </w:rPr>
              <w:t>●</w:t>
            </w:r>
          </w:p>
        </w:tc>
        <w:tc>
          <w:tcPr>
            <w:tcW w:w="1103" w:type="dxa"/>
          </w:tcPr>
          <w:p>
            <w:pPr>
              <w:pStyle w:val="96"/>
              <w:rPr>
                <w:sz w:val="24"/>
                <w:szCs w:val="24"/>
                <w:lang w:bidi="ar"/>
              </w:rPr>
            </w:pPr>
            <w:r>
              <w:rPr>
                <w:rFonts w:hint="eastAsia"/>
                <w:sz w:val="24"/>
                <w:szCs w:val="24"/>
                <w:lang w:bidi="ar"/>
              </w:rPr>
              <w:t>○</w:t>
            </w:r>
          </w:p>
        </w:tc>
      </w:tr>
    </w:tbl>
    <w:p>
      <w:pPr>
        <w:autoSpaceDE w:val="0"/>
        <w:autoSpaceDN w:val="0"/>
        <w:ind w:firstLine="420"/>
        <w:jc w:val="left"/>
        <w:rPr>
          <w:rFonts w:ascii="楷体" w:hAnsi="楷体" w:eastAsia="楷体" w:cs="楷体"/>
          <w:kern w:val="0"/>
          <w:sz w:val="21"/>
          <w:szCs w:val="21"/>
        </w:rPr>
      </w:pPr>
      <w:r>
        <w:rPr>
          <w:rFonts w:hint="eastAsia" w:ascii="楷体" w:hAnsi="楷体" w:eastAsia="楷体" w:cs="楷体"/>
          <w:kern w:val="0"/>
          <w:sz w:val="21"/>
          <w:szCs w:val="21"/>
        </w:rPr>
        <w:t>注： ●——为应设的内容  ○——为可设的内容</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276"/>
        <w:gridCol w:w="3260"/>
        <w:gridCol w:w="29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7" w:type="dxa"/>
            <w:gridSpan w:val="4"/>
          </w:tcPr>
          <w:p>
            <w:pPr>
              <w:pStyle w:val="98"/>
              <w:rPr>
                <w:lang w:bidi="ar"/>
              </w:rPr>
            </w:pPr>
            <w:r>
              <w:rPr>
                <w:rFonts w:hint="eastAsia"/>
                <w:lang w:bidi="ar"/>
              </w:rPr>
              <w:t>专栏14-</w:t>
            </w:r>
            <w:r>
              <w:rPr>
                <w:lang w:bidi="ar"/>
              </w:rPr>
              <w:t>6</w:t>
            </w:r>
            <w:r>
              <w:rPr>
                <w:rFonts w:hint="eastAsia"/>
                <w:lang w:bidi="ar"/>
              </w:rPr>
              <w:t>村庄基础设施配置内容表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96"/>
              <w:rPr>
                <w:sz w:val="24"/>
                <w:szCs w:val="24"/>
                <w:lang w:bidi="ar"/>
              </w:rPr>
            </w:pPr>
            <w:r>
              <w:rPr>
                <w:rFonts w:hint="eastAsia"/>
                <w:sz w:val="24"/>
                <w:szCs w:val="24"/>
                <w:lang w:bidi="ar"/>
              </w:rPr>
              <w:t>类别</w:t>
            </w:r>
          </w:p>
        </w:tc>
        <w:tc>
          <w:tcPr>
            <w:tcW w:w="1276" w:type="dxa"/>
          </w:tcPr>
          <w:p>
            <w:pPr>
              <w:pStyle w:val="96"/>
              <w:rPr>
                <w:sz w:val="24"/>
                <w:szCs w:val="24"/>
                <w:lang w:bidi="ar"/>
              </w:rPr>
            </w:pPr>
            <w:r>
              <w:rPr>
                <w:rFonts w:hint="eastAsia"/>
                <w:sz w:val="24"/>
                <w:szCs w:val="24"/>
                <w:lang w:bidi="ar"/>
              </w:rPr>
              <w:t>项目</w:t>
            </w:r>
          </w:p>
        </w:tc>
        <w:tc>
          <w:tcPr>
            <w:tcW w:w="3260" w:type="dxa"/>
          </w:tcPr>
          <w:p>
            <w:pPr>
              <w:pStyle w:val="96"/>
              <w:rPr>
                <w:sz w:val="24"/>
                <w:szCs w:val="24"/>
                <w:lang w:bidi="ar"/>
              </w:rPr>
            </w:pPr>
            <w:r>
              <w:rPr>
                <w:rFonts w:hint="eastAsia"/>
                <w:sz w:val="24"/>
                <w:szCs w:val="24"/>
                <w:lang w:bidi="ar"/>
              </w:rPr>
              <w:t>配置方式</w:t>
            </w:r>
          </w:p>
        </w:tc>
        <w:tc>
          <w:tcPr>
            <w:tcW w:w="2915" w:type="dxa"/>
          </w:tcPr>
          <w:p>
            <w:pPr>
              <w:pStyle w:val="96"/>
              <w:rPr>
                <w:sz w:val="24"/>
                <w:szCs w:val="24"/>
                <w:lang w:bidi="ar"/>
              </w:rPr>
            </w:pPr>
            <w:r>
              <w:rPr>
                <w:rFonts w:hint="eastAsia"/>
                <w:sz w:val="24"/>
                <w:szCs w:val="24"/>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restart"/>
            <w:vAlign w:val="center"/>
          </w:tcPr>
          <w:p>
            <w:pPr>
              <w:pStyle w:val="96"/>
              <w:rPr>
                <w:sz w:val="24"/>
                <w:szCs w:val="24"/>
                <w:lang w:bidi="ar"/>
              </w:rPr>
            </w:pPr>
            <w:r>
              <w:rPr>
                <w:rFonts w:hint="eastAsia"/>
                <w:sz w:val="24"/>
                <w:szCs w:val="24"/>
                <w:lang w:bidi="ar"/>
              </w:rPr>
              <w:t>道路交通</w:t>
            </w:r>
          </w:p>
        </w:tc>
        <w:tc>
          <w:tcPr>
            <w:tcW w:w="1276" w:type="dxa"/>
            <w:vAlign w:val="center"/>
          </w:tcPr>
          <w:p>
            <w:pPr>
              <w:pStyle w:val="96"/>
              <w:rPr>
                <w:sz w:val="24"/>
                <w:szCs w:val="24"/>
                <w:lang w:bidi="ar"/>
              </w:rPr>
            </w:pPr>
            <w:r>
              <w:rPr>
                <w:rFonts w:hint="eastAsia"/>
                <w:sz w:val="24"/>
                <w:szCs w:val="24"/>
                <w:lang w:bidi="ar"/>
              </w:rPr>
              <w:t>公交站点</w:t>
            </w:r>
          </w:p>
        </w:tc>
        <w:tc>
          <w:tcPr>
            <w:tcW w:w="3260" w:type="dxa"/>
            <w:vAlign w:val="center"/>
          </w:tcPr>
          <w:p>
            <w:pPr>
              <w:pStyle w:val="96"/>
              <w:rPr>
                <w:sz w:val="24"/>
                <w:szCs w:val="24"/>
                <w:lang w:bidi="ar"/>
              </w:rPr>
            </w:pPr>
            <w:r>
              <w:rPr>
                <w:rFonts w:hint="eastAsia"/>
                <w:sz w:val="24"/>
                <w:szCs w:val="24"/>
                <w:lang w:bidi="ar"/>
              </w:rPr>
              <w:t>满足公交车辆运行安全要求，同时尽可能不影响其他交通工具在道路的通行。</w:t>
            </w:r>
          </w:p>
        </w:tc>
        <w:tc>
          <w:tcPr>
            <w:tcW w:w="2915" w:type="dxa"/>
          </w:tcPr>
          <w:p>
            <w:pPr>
              <w:pStyle w:val="96"/>
              <w:rPr>
                <w:sz w:val="24"/>
                <w:szCs w:val="24"/>
                <w:lang w:bidi="ar"/>
              </w:rPr>
            </w:pPr>
            <w:r>
              <w:rPr>
                <w:rFonts w:hint="eastAsia"/>
                <w:sz w:val="24"/>
                <w:szCs w:val="24"/>
              </w:rPr>
              <w:t>宜设置在道路使用面积较富裕而人口又比较集中的村居点或村委会附近。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46" w:type="dxa"/>
            <w:vMerge w:val="continue"/>
            <w:vAlign w:val="center"/>
          </w:tcPr>
          <w:p>
            <w:pPr>
              <w:pStyle w:val="96"/>
              <w:rPr>
                <w:sz w:val="24"/>
                <w:szCs w:val="24"/>
                <w:lang w:bidi="ar"/>
              </w:rPr>
            </w:pPr>
          </w:p>
        </w:tc>
        <w:tc>
          <w:tcPr>
            <w:tcW w:w="1276" w:type="dxa"/>
            <w:vAlign w:val="center"/>
          </w:tcPr>
          <w:p>
            <w:pPr>
              <w:pStyle w:val="96"/>
              <w:rPr>
                <w:sz w:val="24"/>
                <w:szCs w:val="24"/>
                <w:lang w:bidi="ar"/>
              </w:rPr>
            </w:pPr>
            <w:r>
              <w:rPr>
                <w:rFonts w:hint="eastAsia"/>
                <w:sz w:val="24"/>
                <w:szCs w:val="24"/>
                <w:lang w:bidi="ar"/>
              </w:rPr>
              <w:t>停车场</w:t>
            </w:r>
          </w:p>
        </w:tc>
        <w:tc>
          <w:tcPr>
            <w:tcW w:w="3260" w:type="dxa"/>
            <w:vAlign w:val="center"/>
          </w:tcPr>
          <w:p>
            <w:pPr>
              <w:pStyle w:val="96"/>
              <w:rPr>
                <w:sz w:val="24"/>
                <w:szCs w:val="24"/>
                <w:lang w:bidi="ar"/>
              </w:rPr>
            </w:pPr>
            <w:r>
              <w:rPr>
                <w:rFonts w:hint="eastAsia"/>
                <w:sz w:val="24"/>
                <w:szCs w:val="24"/>
              </w:rPr>
              <w:t>结合村庄实际，灵活设施</w:t>
            </w:r>
          </w:p>
        </w:tc>
        <w:tc>
          <w:tcPr>
            <w:tcW w:w="2915" w:type="dxa"/>
          </w:tcPr>
          <w:p>
            <w:pPr>
              <w:pStyle w:val="96"/>
              <w:rPr>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46" w:type="dxa"/>
            <w:vMerge w:val="restart"/>
            <w:vAlign w:val="center"/>
          </w:tcPr>
          <w:p>
            <w:pPr>
              <w:pStyle w:val="96"/>
              <w:rPr>
                <w:sz w:val="24"/>
                <w:szCs w:val="24"/>
                <w:lang w:bidi="ar"/>
              </w:rPr>
            </w:pPr>
            <w:r>
              <w:rPr>
                <w:rFonts w:hint="eastAsia"/>
                <w:sz w:val="24"/>
                <w:szCs w:val="24"/>
                <w:lang w:bidi="ar"/>
              </w:rPr>
              <w:t>市政设施</w:t>
            </w:r>
          </w:p>
        </w:tc>
        <w:tc>
          <w:tcPr>
            <w:tcW w:w="1276" w:type="dxa"/>
            <w:vAlign w:val="center"/>
          </w:tcPr>
          <w:p>
            <w:pPr>
              <w:pStyle w:val="96"/>
              <w:rPr>
                <w:sz w:val="24"/>
                <w:szCs w:val="24"/>
                <w:lang w:bidi="ar"/>
              </w:rPr>
            </w:pPr>
            <w:r>
              <w:rPr>
                <w:rFonts w:hint="eastAsia"/>
                <w:sz w:val="24"/>
                <w:szCs w:val="24"/>
                <w:lang w:bidi="ar"/>
              </w:rPr>
              <w:t>变压器、配电室</w:t>
            </w:r>
          </w:p>
        </w:tc>
        <w:tc>
          <w:tcPr>
            <w:tcW w:w="3260" w:type="dxa"/>
            <w:vAlign w:val="center"/>
          </w:tcPr>
          <w:p>
            <w:pPr>
              <w:pStyle w:val="96"/>
              <w:rPr>
                <w:sz w:val="24"/>
                <w:szCs w:val="24"/>
              </w:rPr>
            </w:pPr>
            <w:r>
              <w:rPr>
                <w:rFonts w:hint="eastAsia"/>
                <w:sz w:val="24"/>
                <w:szCs w:val="24"/>
              </w:rPr>
              <w:t>供电半径以不超过500m为宜。</w:t>
            </w:r>
          </w:p>
        </w:tc>
        <w:tc>
          <w:tcPr>
            <w:tcW w:w="2915" w:type="dxa"/>
          </w:tcPr>
          <w:p>
            <w:pPr>
              <w:pStyle w:val="96"/>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trPr>
        <w:tc>
          <w:tcPr>
            <w:tcW w:w="846" w:type="dxa"/>
            <w:vMerge w:val="continue"/>
            <w:vAlign w:val="center"/>
          </w:tcPr>
          <w:p>
            <w:pPr>
              <w:pStyle w:val="96"/>
              <w:rPr>
                <w:sz w:val="24"/>
                <w:szCs w:val="24"/>
                <w:lang w:bidi="ar"/>
              </w:rPr>
            </w:pPr>
          </w:p>
        </w:tc>
        <w:tc>
          <w:tcPr>
            <w:tcW w:w="1276" w:type="dxa"/>
            <w:vAlign w:val="center"/>
          </w:tcPr>
          <w:p>
            <w:pPr>
              <w:pStyle w:val="96"/>
              <w:rPr>
                <w:sz w:val="24"/>
                <w:szCs w:val="24"/>
                <w:lang w:bidi="ar"/>
              </w:rPr>
            </w:pPr>
            <w:r>
              <w:rPr>
                <w:rFonts w:hint="eastAsia"/>
                <w:sz w:val="24"/>
                <w:szCs w:val="24"/>
                <w:lang w:bidi="ar"/>
              </w:rPr>
              <w:t>村庄排水</w:t>
            </w:r>
          </w:p>
        </w:tc>
        <w:tc>
          <w:tcPr>
            <w:tcW w:w="3260" w:type="dxa"/>
            <w:vAlign w:val="center"/>
          </w:tcPr>
          <w:p>
            <w:pPr>
              <w:pStyle w:val="96"/>
              <w:rPr>
                <w:sz w:val="24"/>
                <w:szCs w:val="24"/>
              </w:rPr>
            </w:pPr>
            <w:r>
              <w:rPr>
                <w:rFonts w:hint="eastAsia"/>
                <w:sz w:val="24"/>
                <w:szCs w:val="24"/>
              </w:rPr>
              <w:t>污水量按生活用水量的75%～90%计算。</w:t>
            </w:r>
          </w:p>
        </w:tc>
        <w:tc>
          <w:tcPr>
            <w:tcW w:w="2915" w:type="dxa"/>
          </w:tcPr>
          <w:p>
            <w:pPr>
              <w:pStyle w:val="96"/>
              <w:rPr>
                <w:sz w:val="24"/>
                <w:szCs w:val="24"/>
              </w:rPr>
            </w:pPr>
            <w:r>
              <w:rPr>
                <w:rFonts w:hint="eastAsia"/>
                <w:sz w:val="24"/>
                <w:szCs w:val="24"/>
              </w:rPr>
              <w:t>鼓励雨水采用自然下渗或排水明沟等方式收集，污水根据不同村庄实际，采用盖板渠、管网等方式进行收集。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trPr>
        <w:tc>
          <w:tcPr>
            <w:tcW w:w="846" w:type="dxa"/>
            <w:vMerge w:val="continue"/>
            <w:vAlign w:val="center"/>
          </w:tcPr>
          <w:p>
            <w:pPr>
              <w:pStyle w:val="96"/>
              <w:rPr>
                <w:sz w:val="24"/>
                <w:szCs w:val="24"/>
                <w:lang w:bidi="ar"/>
              </w:rPr>
            </w:pPr>
          </w:p>
        </w:tc>
        <w:tc>
          <w:tcPr>
            <w:tcW w:w="1276" w:type="dxa"/>
            <w:vAlign w:val="center"/>
          </w:tcPr>
          <w:p>
            <w:pPr>
              <w:pStyle w:val="96"/>
              <w:rPr>
                <w:sz w:val="24"/>
                <w:szCs w:val="24"/>
                <w:lang w:bidi="ar"/>
              </w:rPr>
            </w:pPr>
            <w:r>
              <w:rPr>
                <w:rFonts w:hint="eastAsia"/>
                <w:sz w:val="24"/>
                <w:szCs w:val="24"/>
                <w:lang w:bidi="ar"/>
              </w:rPr>
              <w:t>水泵房</w:t>
            </w:r>
          </w:p>
        </w:tc>
        <w:tc>
          <w:tcPr>
            <w:tcW w:w="3260" w:type="dxa"/>
            <w:vAlign w:val="center"/>
          </w:tcPr>
          <w:p>
            <w:pPr>
              <w:pStyle w:val="96"/>
              <w:rPr>
                <w:sz w:val="24"/>
                <w:szCs w:val="24"/>
              </w:rPr>
            </w:pPr>
            <w:r>
              <w:rPr>
                <w:rFonts w:hint="eastAsia"/>
                <w:sz w:val="24"/>
                <w:szCs w:val="24"/>
              </w:rPr>
              <w:t>泵房的主要通道宽度不应小于1.2米。</w:t>
            </w:r>
          </w:p>
        </w:tc>
        <w:tc>
          <w:tcPr>
            <w:tcW w:w="2915" w:type="dxa"/>
            <w:vAlign w:val="center"/>
          </w:tcPr>
          <w:p>
            <w:pPr>
              <w:pStyle w:val="96"/>
              <w:rPr>
                <w:sz w:val="24"/>
                <w:szCs w:val="24"/>
              </w:rPr>
            </w:pPr>
            <w:r>
              <w:rPr>
                <w:rFonts w:hint="eastAsia"/>
                <w:sz w:val="24"/>
                <w:szCs w:val="24"/>
              </w:rPr>
              <w:t>非集中供水村庄</w:t>
            </w:r>
          </w:p>
          <w:p>
            <w:pPr>
              <w:pStyle w:val="96"/>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46" w:type="dxa"/>
            <w:vMerge w:val="restart"/>
            <w:vAlign w:val="center"/>
          </w:tcPr>
          <w:p>
            <w:pPr>
              <w:pStyle w:val="96"/>
              <w:rPr>
                <w:sz w:val="24"/>
                <w:szCs w:val="24"/>
                <w:lang w:bidi="ar"/>
              </w:rPr>
            </w:pPr>
            <w:r>
              <w:rPr>
                <w:rFonts w:hint="eastAsia"/>
                <w:sz w:val="24"/>
                <w:szCs w:val="24"/>
                <w:lang w:bidi="ar"/>
              </w:rPr>
              <w:t>环境卫生</w:t>
            </w:r>
          </w:p>
        </w:tc>
        <w:tc>
          <w:tcPr>
            <w:tcW w:w="1276" w:type="dxa"/>
            <w:vAlign w:val="center"/>
          </w:tcPr>
          <w:p>
            <w:pPr>
              <w:pStyle w:val="96"/>
              <w:rPr>
                <w:sz w:val="24"/>
                <w:szCs w:val="24"/>
                <w:lang w:bidi="ar"/>
              </w:rPr>
            </w:pPr>
            <w:r>
              <w:rPr>
                <w:rFonts w:hint="eastAsia"/>
                <w:sz w:val="24"/>
                <w:szCs w:val="24"/>
                <w:lang w:bidi="ar"/>
              </w:rPr>
              <w:t>垃圾筒</w:t>
            </w:r>
          </w:p>
        </w:tc>
        <w:tc>
          <w:tcPr>
            <w:tcW w:w="3260" w:type="dxa"/>
            <w:vAlign w:val="center"/>
          </w:tcPr>
          <w:p>
            <w:pPr>
              <w:pStyle w:val="96"/>
              <w:rPr>
                <w:sz w:val="24"/>
                <w:szCs w:val="24"/>
              </w:rPr>
            </w:pPr>
            <w:r>
              <w:rPr>
                <w:rFonts w:hint="eastAsia"/>
                <w:sz w:val="24"/>
                <w:szCs w:val="24"/>
              </w:rPr>
              <w:t>服务半径一般不超过70m。</w:t>
            </w:r>
          </w:p>
        </w:tc>
        <w:tc>
          <w:tcPr>
            <w:tcW w:w="2915" w:type="dxa"/>
            <w:vAlign w:val="center"/>
          </w:tcPr>
          <w:p>
            <w:pPr>
              <w:pStyle w:val="96"/>
              <w:rPr>
                <w:sz w:val="24"/>
                <w:szCs w:val="24"/>
              </w:rPr>
            </w:pPr>
            <w:r>
              <w:rPr>
                <w:rFonts w:hint="eastAsia"/>
                <w:sz w:val="24"/>
                <w:szCs w:val="24"/>
              </w:rPr>
              <w:t>五星支部村庄服务半径一般不超过50m。</w:t>
            </w:r>
          </w:p>
          <w:p>
            <w:pPr>
              <w:pStyle w:val="96"/>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846" w:type="dxa"/>
            <w:vMerge w:val="continue"/>
            <w:vAlign w:val="center"/>
          </w:tcPr>
          <w:p>
            <w:pPr>
              <w:pStyle w:val="96"/>
              <w:rPr>
                <w:sz w:val="24"/>
                <w:szCs w:val="24"/>
                <w:lang w:bidi="ar"/>
              </w:rPr>
            </w:pPr>
          </w:p>
        </w:tc>
        <w:tc>
          <w:tcPr>
            <w:tcW w:w="1276" w:type="dxa"/>
            <w:vAlign w:val="center"/>
          </w:tcPr>
          <w:p>
            <w:pPr>
              <w:pStyle w:val="96"/>
              <w:rPr>
                <w:sz w:val="24"/>
                <w:szCs w:val="24"/>
                <w:lang w:bidi="ar"/>
              </w:rPr>
            </w:pPr>
            <w:r>
              <w:rPr>
                <w:rFonts w:hint="eastAsia"/>
                <w:sz w:val="24"/>
                <w:szCs w:val="24"/>
                <w:lang w:bidi="ar"/>
              </w:rPr>
              <w:t>公厕</w:t>
            </w:r>
          </w:p>
        </w:tc>
        <w:tc>
          <w:tcPr>
            <w:tcW w:w="3260" w:type="dxa"/>
            <w:vAlign w:val="center"/>
          </w:tcPr>
          <w:p>
            <w:pPr>
              <w:pStyle w:val="96"/>
              <w:rPr>
                <w:sz w:val="24"/>
                <w:szCs w:val="24"/>
              </w:rPr>
            </w:pPr>
            <w:r>
              <w:rPr>
                <w:rFonts w:hint="eastAsia"/>
                <w:sz w:val="24"/>
                <w:szCs w:val="24"/>
              </w:rPr>
              <w:t>每村至少设置一个。</w:t>
            </w:r>
          </w:p>
        </w:tc>
        <w:tc>
          <w:tcPr>
            <w:tcW w:w="2915" w:type="dxa"/>
            <w:vAlign w:val="center"/>
          </w:tcPr>
          <w:p>
            <w:pPr>
              <w:pStyle w:val="96"/>
              <w:rPr>
                <w:sz w:val="24"/>
                <w:szCs w:val="24"/>
              </w:rPr>
            </w:pPr>
            <w:r>
              <w:rPr>
                <w:rFonts w:hint="eastAsia"/>
                <w:sz w:val="24"/>
                <w:szCs w:val="24"/>
              </w:rPr>
              <w:t>建筑面积不大于60平米。</w:t>
            </w:r>
          </w:p>
        </w:tc>
      </w:tr>
    </w:tbl>
    <w:p>
      <w:pPr>
        <w:ind w:firstLine="640"/>
        <w:rPr>
          <w:lang w:bidi="ar"/>
        </w:rPr>
      </w:pPr>
      <w:r>
        <w:rPr>
          <w:rFonts w:hint="eastAsia"/>
          <w:lang w:bidi="ar"/>
        </w:rPr>
        <w:t>4</w:t>
      </w:r>
      <w:r>
        <w:rPr>
          <w:lang w:bidi="ar"/>
        </w:rPr>
        <w:t>.</w:t>
      </w:r>
      <w:r>
        <w:rPr>
          <w:rFonts w:hint="eastAsia"/>
          <w:lang w:bidi="ar"/>
        </w:rPr>
        <w:t>村庄公共服务设施</w:t>
      </w:r>
    </w:p>
    <w:p>
      <w:pPr>
        <w:ind w:firstLine="640"/>
        <w:rPr>
          <w:lang w:bidi="ar"/>
        </w:rPr>
      </w:pPr>
      <w:r>
        <w:rPr>
          <w:rFonts w:hint="eastAsia"/>
          <w:lang w:bidi="ar"/>
        </w:rPr>
        <w:t>公共服务设施应根据村庄分类、当地村民的生产生活习惯和地域乡土风貌特色设置。可参照下表设置。</w:t>
      </w:r>
    </w:p>
    <w:tbl>
      <w:tblPr>
        <w:tblStyle w:val="31"/>
        <w:tblW w:w="84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3"/>
        <w:gridCol w:w="1983"/>
        <w:gridCol w:w="1558"/>
        <w:gridCol w:w="1417"/>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99" w:type="dxa"/>
            <w:gridSpan w:val="5"/>
            <w:vAlign w:val="center"/>
          </w:tcPr>
          <w:p>
            <w:pPr>
              <w:pStyle w:val="98"/>
              <w:rPr>
                <w:lang w:bidi="ar"/>
              </w:rPr>
            </w:pPr>
            <w:r>
              <w:rPr>
                <w:rFonts w:hint="eastAsia"/>
                <w:lang w:bidi="ar"/>
              </w:rPr>
              <w:t>专栏14-</w:t>
            </w:r>
            <w:r>
              <w:rPr>
                <w:lang w:bidi="ar"/>
              </w:rPr>
              <w:t>7</w:t>
            </w:r>
            <w:r>
              <w:rPr>
                <w:rFonts w:hint="eastAsia"/>
                <w:lang w:bidi="ar"/>
              </w:rPr>
              <w:t>村庄公共服务设施分类及项目基本配置表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sz w:val="24"/>
                <w:szCs w:val="24"/>
                <w:lang w:bidi="ar"/>
              </w:rPr>
            </w:pPr>
            <w:r>
              <w:rPr>
                <w:rFonts w:hint="eastAsia"/>
                <w:sz w:val="24"/>
                <w:szCs w:val="24"/>
                <w:lang w:bidi="ar"/>
              </w:rPr>
              <w:t>类别</w:t>
            </w:r>
          </w:p>
        </w:tc>
        <w:tc>
          <w:tcPr>
            <w:tcW w:w="1983" w:type="dxa"/>
            <w:vMerge w:val="restart"/>
            <w:vAlign w:val="center"/>
          </w:tcPr>
          <w:p>
            <w:pPr>
              <w:pStyle w:val="96"/>
              <w:rPr>
                <w:sz w:val="24"/>
                <w:szCs w:val="24"/>
                <w:lang w:bidi="ar"/>
              </w:rPr>
            </w:pPr>
            <w:r>
              <w:rPr>
                <w:rFonts w:hint="eastAsia"/>
                <w:sz w:val="24"/>
                <w:szCs w:val="24"/>
                <w:lang w:bidi="ar"/>
              </w:rPr>
              <w:t>项目</w:t>
            </w:r>
          </w:p>
        </w:tc>
        <w:tc>
          <w:tcPr>
            <w:tcW w:w="4393" w:type="dxa"/>
            <w:gridSpan w:val="3"/>
          </w:tcPr>
          <w:p>
            <w:pPr>
              <w:pStyle w:val="96"/>
              <w:rPr>
                <w:sz w:val="24"/>
                <w:szCs w:val="24"/>
                <w:lang w:bidi="ar"/>
              </w:rPr>
            </w:pPr>
            <w:r>
              <w:rPr>
                <w:rFonts w:hint="eastAsia"/>
                <w:sz w:val="24"/>
                <w:szCs w:val="24"/>
                <w:lang w:bidi="ar"/>
              </w:rPr>
              <w:t>公共设施项目配置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tcPr>
          <w:p>
            <w:pPr>
              <w:pStyle w:val="96"/>
              <w:rPr>
                <w:sz w:val="24"/>
                <w:szCs w:val="24"/>
                <w:lang w:bidi="ar"/>
              </w:rPr>
            </w:pPr>
          </w:p>
        </w:tc>
        <w:tc>
          <w:tcPr>
            <w:tcW w:w="1983" w:type="dxa"/>
            <w:vMerge w:val="continue"/>
          </w:tcPr>
          <w:p>
            <w:pPr>
              <w:pStyle w:val="96"/>
              <w:rPr>
                <w:sz w:val="24"/>
                <w:szCs w:val="24"/>
                <w:lang w:bidi="ar"/>
              </w:rPr>
            </w:pPr>
          </w:p>
        </w:tc>
        <w:tc>
          <w:tcPr>
            <w:tcW w:w="1558" w:type="dxa"/>
          </w:tcPr>
          <w:p>
            <w:pPr>
              <w:pStyle w:val="96"/>
              <w:rPr>
                <w:sz w:val="24"/>
                <w:szCs w:val="24"/>
                <w:lang w:bidi="ar"/>
              </w:rPr>
            </w:pPr>
            <w:r>
              <w:rPr>
                <w:rFonts w:hint="eastAsia"/>
                <w:sz w:val="24"/>
                <w:szCs w:val="24"/>
                <w:lang w:bidi="ar"/>
              </w:rPr>
              <w:t>集聚提升类</w:t>
            </w:r>
          </w:p>
        </w:tc>
        <w:tc>
          <w:tcPr>
            <w:tcW w:w="1417" w:type="dxa"/>
          </w:tcPr>
          <w:p>
            <w:pPr>
              <w:pStyle w:val="96"/>
              <w:rPr>
                <w:sz w:val="24"/>
                <w:szCs w:val="24"/>
                <w:lang w:bidi="ar"/>
              </w:rPr>
            </w:pPr>
            <w:r>
              <w:rPr>
                <w:rFonts w:hint="eastAsia"/>
                <w:sz w:val="24"/>
                <w:szCs w:val="24"/>
                <w:lang w:bidi="ar"/>
              </w:rPr>
              <w:t>特色保护类</w:t>
            </w:r>
          </w:p>
        </w:tc>
        <w:tc>
          <w:tcPr>
            <w:tcW w:w="1418" w:type="dxa"/>
          </w:tcPr>
          <w:p>
            <w:pPr>
              <w:pStyle w:val="96"/>
              <w:rPr>
                <w:sz w:val="24"/>
                <w:szCs w:val="24"/>
                <w:lang w:bidi="ar"/>
              </w:rPr>
            </w:pPr>
            <w:r>
              <w:rPr>
                <w:rFonts w:hint="eastAsia"/>
                <w:sz w:val="24"/>
                <w:szCs w:val="24"/>
                <w:lang w:bidi="ar"/>
              </w:rPr>
              <w:t>整治改善类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sz w:val="24"/>
                <w:szCs w:val="24"/>
                <w:lang w:bidi="ar"/>
              </w:rPr>
            </w:pPr>
            <w:r>
              <w:rPr>
                <w:rFonts w:hint="eastAsia"/>
                <w:sz w:val="24"/>
                <w:szCs w:val="24"/>
                <w:lang w:bidi="ar"/>
              </w:rPr>
              <w:t>行政管理</w:t>
            </w:r>
          </w:p>
        </w:tc>
        <w:tc>
          <w:tcPr>
            <w:tcW w:w="1983" w:type="dxa"/>
            <w:vAlign w:val="center"/>
          </w:tcPr>
          <w:p>
            <w:pPr>
              <w:pStyle w:val="96"/>
              <w:rPr>
                <w:sz w:val="24"/>
                <w:szCs w:val="24"/>
                <w:lang w:bidi="ar"/>
              </w:rPr>
            </w:pPr>
            <w:r>
              <w:rPr>
                <w:rFonts w:hint="eastAsia"/>
                <w:sz w:val="24"/>
                <w:szCs w:val="24"/>
                <w:lang w:bidi="ar"/>
              </w:rPr>
              <w:t>村委会</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sz w:val="24"/>
                <w:szCs w:val="24"/>
                <w:lang w:bidi="ar"/>
              </w:rPr>
            </w:pPr>
            <w:r>
              <w:rPr>
                <w:rFonts w:hint="eastAsia"/>
                <w:sz w:val="24"/>
                <w:szCs w:val="24"/>
                <w:lang w:bidi="ar"/>
              </w:rPr>
              <w:t>教育机构</w:t>
            </w:r>
          </w:p>
        </w:tc>
        <w:tc>
          <w:tcPr>
            <w:tcW w:w="1983" w:type="dxa"/>
            <w:vAlign w:val="center"/>
          </w:tcPr>
          <w:p>
            <w:pPr>
              <w:pStyle w:val="96"/>
              <w:rPr>
                <w:sz w:val="24"/>
                <w:szCs w:val="24"/>
                <w:lang w:bidi="ar"/>
              </w:rPr>
            </w:pPr>
            <w:r>
              <w:rPr>
                <w:rFonts w:hint="eastAsia"/>
                <w:sz w:val="24"/>
                <w:szCs w:val="24"/>
                <w:lang w:bidi="ar"/>
              </w:rPr>
              <w:t>小学</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sz w:val="24"/>
                <w:szCs w:val="24"/>
                <w:lang w:bidi="ar"/>
              </w:rPr>
            </w:pPr>
          </w:p>
        </w:tc>
        <w:tc>
          <w:tcPr>
            <w:tcW w:w="1983" w:type="dxa"/>
            <w:vAlign w:val="center"/>
          </w:tcPr>
          <w:p>
            <w:pPr>
              <w:pStyle w:val="96"/>
              <w:rPr>
                <w:sz w:val="24"/>
                <w:szCs w:val="24"/>
                <w:lang w:bidi="ar"/>
              </w:rPr>
            </w:pPr>
            <w:r>
              <w:rPr>
                <w:rFonts w:hint="eastAsia"/>
                <w:sz w:val="24"/>
                <w:szCs w:val="24"/>
                <w:lang w:bidi="ar"/>
              </w:rPr>
              <w:t>幼儿园</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sz w:val="24"/>
                <w:szCs w:val="24"/>
                <w:lang w:bidi="ar"/>
              </w:rPr>
            </w:pPr>
          </w:p>
        </w:tc>
        <w:tc>
          <w:tcPr>
            <w:tcW w:w="1983" w:type="dxa"/>
            <w:vAlign w:val="center"/>
          </w:tcPr>
          <w:p>
            <w:pPr>
              <w:pStyle w:val="96"/>
              <w:rPr>
                <w:sz w:val="24"/>
                <w:szCs w:val="24"/>
                <w:lang w:bidi="ar"/>
              </w:rPr>
            </w:pPr>
            <w:r>
              <w:rPr>
                <w:rFonts w:hint="eastAsia"/>
                <w:sz w:val="24"/>
                <w:szCs w:val="24"/>
                <w:lang w:bidi="ar"/>
              </w:rPr>
              <w:t>托儿所</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sz w:val="24"/>
                <w:szCs w:val="24"/>
                <w:lang w:bidi="ar"/>
              </w:rPr>
            </w:pPr>
            <w:r>
              <w:rPr>
                <w:rFonts w:hint="eastAsia"/>
                <w:sz w:val="24"/>
                <w:szCs w:val="24"/>
                <w:lang w:bidi="ar"/>
              </w:rPr>
              <w:t>文化科技</w:t>
            </w:r>
          </w:p>
        </w:tc>
        <w:tc>
          <w:tcPr>
            <w:tcW w:w="1983" w:type="dxa"/>
            <w:vAlign w:val="center"/>
          </w:tcPr>
          <w:p>
            <w:pPr>
              <w:pStyle w:val="96"/>
              <w:rPr>
                <w:sz w:val="24"/>
                <w:szCs w:val="24"/>
                <w:lang w:bidi="ar"/>
              </w:rPr>
            </w:pPr>
            <w:r>
              <w:rPr>
                <w:rFonts w:hint="eastAsia"/>
                <w:sz w:val="24"/>
                <w:szCs w:val="24"/>
                <w:lang w:bidi="ar"/>
              </w:rPr>
              <w:t>文化大院</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sz w:val="24"/>
                <w:szCs w:val="24"/>
                <w:lang w:bidi="ar"/>
              </w:rPr>
            </w:pPr>
            <w:r>
              <w:rPr>
                <w:rFonts w:hint="eastAsia"/>
                <w:sz w:val="24"/>
                <w:szCs w:val="24"/>
                <w:lang w:bidi="ar"/>
              </w:rPr>
              <w:t>体育设施</w:t>
            </w:r>
          </w:p>
        </w:tc>
        <w:tc>
          <w:tcPr>
            <w:tcW w:w="1983" w:type="dxa"/>
            <w:vAlign w:val="center"/>
          </w:tcPr>
          <w:p>
            <w:pPr>
              <w:pStyle w:val="96"/>
              <w:rPr>
                <w:sz w:val="24"/>
                <w:szCs w:val="24"/>
                <w:lang w:bidi="ar"/>
              </w:rPr>
            </w:pPr>
            <w:r>
              <w:rPr>
                <w:rFonts w:hint="eastAsia"/>
                <w:sz w:val="24"/>
                <w:szCs w:val="24"/>
                <w:lang w:bidi="ar"/>
              </w:rPr>
              <w:t>休闲运动广场</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sz w:val="24"/>
                <w:szCs w:val="24"/>
                <w:lang w:bidi="ar"/>
              </w:rPr>
            </w:pPr>
            <w:r>
              <w:rPr>
                <w:rFonts w:hint="eastAsia"/>
                <w:sz w:val="24"/>
                <w:szCs w:val="24"/>
                <w:lang w:bidi="ar"/>
              </w:rPr>
              <w:t>医疗设施</w:t>
            </w:r>
          </w:p>
        </w:tc>
        <w:tc>
          <w:tcPr>
            <w:tcW w:w="1983" w:type="dxa"/>
            <w:vAlign w:val="center"/>
          </w:tcPr>
          <w:p>
            <w:pPr>
              <w:pStyle w:val="96"/>
              <w:rPr>
                <w:sz w:val="24"/>
                <w:szCs w:val="24"/>
                <w:lang w:bidi="ar"/>
              </w:rPr>
            </w:pPr>
            <w:r>
              <w:rPr>
                <w:rFonts w:hint="eastAsia"/>
                <w:sz w:val="24"/>
                <w:szCs w:val="24"/>
                <w:lang w:bidi="ar"/>
              </w:rPr>
              <w:t>村卫生室</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sz w:val="24"/>
                <w:szCs w:val="24"/>
                <w:lang w:bidi="ar"/>
              </w:rPr>
            </w:pPr>
            <w:r>
              <w:rPr>
                <w:rFonts w:hint="eastAsia"/>
                <w:sz w:val="24"/>
                <w:szCs w:val="24"/>
                <w:lang w:bidi="ar"/>
              </w:rPr>
              <w:t>社会保障</w:t>
            </w:r>
          </w:p>
        </w:tc>
        <w:tc>
          <w:tcPr>
            <w:tcW w:w="1983" w:type="dxa"/>
            <w:vAlign w:val="center"/>
          </w:tcPr>
          <w:p>
            <w:pPr>
              <w:pStyle w:val="96"/>
              <w:rPr>
                <w:sz w:val="24"/>
                <w:szCs w:val="24"/>
                <w:lang w:bidi="ar"/>
              </w:rPr>
            </w:pPr>
            <w:r>
              <w:rPr>
                <w:rFonts w:hint="eastAsia"/>
                <w:sz w:val="24"/>
                <w:szCs w:val="24"/>
                <w:lang w:bidi="ar"/>
              </w:rPr>
              <w:t>日间照料中心</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sz w:val="24"/>
                <w:szCs w:val="24"/>
                <w:lang w:bidi="ar"/>
              </w:rPr>
            </w:pPr>
            <w:r>
              <w:rPr>
                <w:rFonts w:hint="eastAsia"/>
                <w:sz w:val="24"/>
                <w:szCs w:val="24"/>
                <w:lang w:bidi="ar"/>
              </w:rPr>
              <w:t>商业服务</w:t>
            </w:r>
          </w:p>
        </w:tc>
        <w:tc>
          <w:tcPr>
            <w:tcW w:w="1983" w:type="dxa"/>
            <w:vAlign w:val="center"/>
          </w:tcPr>
          <w:p>
            <w:pPr>
              <w:pStyle w:val="96"/>
              <w:rPr>
                <w:sz w:val="24"/>
                <w:szCs w:val="24"/>
                <w:lang w:bidi="ar"/>
              </w:rPr>
            </w:pPr>
            <w:r>
              <w:rPr>
                <w:rFonts w:hint="eastAsia"/>
                <w:sz w:val="24"/>
                <w:szCs w:val="24"/>
                <w:lang w:bidi="ar"/>
              </w:rPr>
              <w:t>小卖部</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sz w:val="24"/>
                <w:szCs w:val="24"/>
                <w:lang w:bidi="ar"/>
              </w:rPr>
            </w:pPr>
          </w:p>
        </w:tc>
        <w:tc>
          <w:tcPr>
            <w:tcW w:w="1983" w:type="dxa"/>
            <w:vAlign w:val="center"/>
          </w:tcPr>
          <w:p>
            <w:pPr>
              <w:pStyle w:val="96"/>
              <w:rPr>
                <w:sz w:val="24"/>
                <w:szCs w:val="24"/>
                <w:lang w:bidi="ar"/>
              </w:rPr>
            </w:pPr>
            <w:r>
              <w:rPr>
                <w:rFonts w:hint="eastAsia"/>
                <w:sz w:val="24"/>
                <w:szCs w:val="24"/>
                <w:lang w:bidi="ar"/>
              </w:rPr>
              <w:t>小型超市</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sz w:val="24"/>
                <w:szCs w:val="24"/>
                <w:lang w:bidi="ar"/>
              </w:rPr>
            </w:pPr>
          </w:p>
        </w:tc>
        <w:tc>
          <w:tcPr>
            <w:tcW w:w="1983" w:type="dxa"/>
            <w:vAlign w:val="center"/>
          </w:tcPr>
          <w:p>
            <w:pPr>
              <w:pStyle w:val="96"/>
              <w:rPr>
                <w:sz w:val="24"/>
                <w:szCs w:val="24"/>
                <w:lang w:bidi="ar"/>
              </w:rPr>
            </w:pPr>
            <w:r>
              <w:rPr>
                <w:rFonts w:hint="eastAsia"/>
                <w:sz w:val="24"/>
                <w:szCs w:val="24"/>
                <w:lang w:bidi="ar"/>
              </w:rPr>
              <w:t>餐饮、特产店</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sz w:val="24"/>
                <w:szCs w:val="24"/>
                <w:lang w:bidi="ar"/>
              </w:rPr>
            </w:pPr>
          </w:p>
        </w:tc>
        <w:tc>
          <w:tcPr>
            <w:tcW w:w="1983" w:type="dxa"/>
            <w:vAlign w:val="center"/>
          </w:tcPr>
          <w:p>
            <w:pPr>
              <w:pStyle w:val="96"/>
              <w:rPr>
                <w:sz w:val="24"/>
                <w:szCs w:val="24"/>
                <w:lang w:bidi="ar"/>
              </w:rPr>
            </w:pPr>
            <w:r>
              <w:rPr>
                <w:rFonts w:hint="eastAsia"/>
                <w:sz w:val="24"/>
                <w:szCs w:val="24"/>
                <w:lang w:bidi="ar"/>
              </w:rPr>
              <w:t>旅馆、招待所</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bl>
    <w:p>
      <w:pPr>
        <w:ind w:firstLine="420"/>
        <w:jc w:val="left"/>
        <w:rPr>
          <w:rFonts w:ascii="楷体" w:hAnsi="楷体" w:eastAsia="楷体" w:cs="楷体"/>
          <w:sz w:val="21"/>
          <w:szCs w:val="21"/>
        </w:rPr>
      </w:pPr>
      <w:r>
        <w:rPr>
          <w:rFonts w:hint="eastAsia" w:ascii="楷体" w:hAnsi="楷体" w:eastAsia="楷体" w:cs="楷体"/>
          <w:kern w:val="0"/>
          <w:sz w:val="21"/>
          <w:szCs w:val="21"/>
          <w:lang w:bidi="ar"/>
        </w:rPr>
        <w:t>注： ●—为应设的内容○—为可设的内容</w:t>
      </w:r>
    </w:p>
    <w:p>
      <w:pPr>
        <w:ind w:firstLine="640"/>
        <w:rPr>
          <w:lang w:bidi="ar"/>
        </w:rPr>
      </w:pPr>
      <w:r>
        <w:rPr>
          <w:rFonts w:hint="eastAsia"/>
          <w:lang w:bidi="ar"/>
        </w:rPr>
        <w:t>配置标准应根据村庄类别配置村庄公共设施，村庄主要公共设施的单项设施用地面积可参考下表规定。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2"/>
        <w:gridCol w:w="1478"/>
        <w:gridCol w:w="1961"/>
        <w:gridCol w:w="37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8297" w:type="dxa"/>
            <w:gridSpan w:val="4"/>
          </w:tcPr>
          <w:p>
            <w:pPr>
              <w:pStyle w:val="98"/>
              <w:rPr>
                <w:lang w:bidi="ar"/>
              </w:rPr>
            </w:pPr>
            <w:r>
              <w:rPr>
                <w:rFonts w:hint="eastAsia"/>
                <w:lang w:bidi="ar"/>
              </w:rPr>
              <w:t>专栏14-</w:t>
            </w:r>
            <w:r>
              <w:rPr>
                <w:lang w:bidi="ar"/>
              </w:rPr>
              <w:t xml:space="preserve">8 </w:t>
            </w:r>
            <w:r>
              <w:rPr>
                <w:rFonts w:hint="eastAsia"/>
                <w:lang w:bidi="ar"/>
              </w:rPr>
              <w:t>村庄公共设施用地面积参考指标（单位：平方米）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1092" w:type="dxa"/>
          </w:tcPr>
          <w:p>
            <w:pPr>
              <w:pStyle w:val="96"/>
              <w:rPr>
                <w:sz w:val="24"/>
                <w:szCs w:val="24"/>
                <w:lang w:bidi="ar"/>
              </w:rPr>
            </w:pPr>
            <w:r>
              <w:rPr>
                <w:rFonts w:hint="eastAsia"/>
                <w:sz w:val="24"/>
                <w:szCs w:val="24"/>
                <w:lang w:bidi="ar"/>
              </w:rPr>
              <w:t>类别</w:t>
            </w:r>
          </w:p>
        </w:tc>
        <w:tc>
          <w:tcPr>
            <w:tcW w:w="1478" w:type="dxa"/>
          </w:tcPr>
          <w:p>
            <w:pPr>
              <w:pStyle w:val="96"/>
              <w:rPr>
                <w:sz w:val="24"/>
                <w:szCs w:val="24"/>
                <w:lang w:bidi="ar"/>
              </w:rPr>
            </w:pPr>
            <w:r>
              <w:rPr>
                <w:rFonts w:hint="eastAsia"/>
                <w:sz w:val="24"/>
                <w:szCs w:val="24"/>
                <w:lang w:bidi="ar"/>
              </w:rPr>
              <w:t>设施名称</w:t>
            </w:r>
          </w:p>
        </w:tc>
        <w:tc>
          <w:tcPr>
            <w:tcW w:w="1961" w:type="dxa"/>
          </w:tcPr>
          <w:p>
            <w:pPr>
              <w:pStyle w:val="96"/>
              <w:rPr>
                <w:sz w:val="24"/>
                <w:szCs w:val="24"/>
                <w:lang w:bidi="ar"/>
              </w:rPr>
            </w:pPr>
            <w:r>
              <w:rPr>
                <w:rFonts w:hint="eastAsia"/>
                <w:sz w:val="24"/>
                <w:szCs w:val="24"/>
                <w:lang w:bidi="ar"/>
              </w:rPr>
              <w:t>建筑面积（</w:t>
            </w:r>
            <w:r>
              <w:rPr>
                <w:rFonts w:hint="eastAsia" w:ascii="Arial Unicode MS" w:hAnsi="Arial Unicode MS" w:eastAsia="Arial Unicode MS" w:cs="Arial Unicode MS"/>
                <w:sz w:val="24"/>
                <w:szCs w:val="24"/>
                <w:lang w:bidi="ar"/>
              </w:rPr>
              <w:t>㎡</w:t>
            </w:r>
            <w:r>
              <w:rPr>
                <w:rFonts w:hint="eastAsia" w:ascii="仿宋_GB2312" w:hAnsi="仿宋_GB2312" w:cs="仿宋_GB2312"/>
                <w:sz w:val="24"/>
                <w:szCs w:val="24"/>
                <w:lang w:bidi="ar"/>
              </w:rPr>
              <w:t>）</w:t>
            </w:r>
          </w:p>
        </w:tc>
        <w:tc>
          <w:tcPr>
            <w:tcW w:w="3766" w:type="dxa"/>
          </w:tcPr>
          <w:p>
            <w:pPr>
              <w:pStyle w:val="96"/>
              <w:rPr>
                <w:sz w:val="24"/>
                <w:szCs w:val="24"/>
                <w:lang w:bidi="ar"/>
              </w:rPr>
            </w:pPr>
            <w:r>
              <w:rPr>
                <w:rFonts w:hint="eastAsia"/>
                <w:sz w:val="24"/>
                <w:szCs w:val="24"/>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2" w:type="dxa"/>
            <w:vAlign w:val="center"/>
          </w:tcPr>
          <w:p>
            <w:pPr>
              <w:pStyle w:val="96"/>
              <w:rPr>
                <w:sz w:val="24"/>
                <w:szCs w:val="24"/>
                <w:lang w:bidi="ar"/>
              </w:rPr>
            </w:pPr>
            <w:r>
              <w:rPr>
                <w:rFonts w:hint="eastAsia"/>
                <w:sz w:val="24"/>
                <w:szCs w:val="24"/>
                <w:lang w:bidi="ar"/>
              </w:rPr>
              <w:t>行政管理</w:t>
            </w:r>
          </w:p>
        </w:tc>
        <w:tc>
          <w:tcPr>
            <w:tcW w:w="1478" w:type="dxa"/>
            <w:vAlign w:val="center"/>
          </w:tcPr>
          <w:p>
            <w:pPr>
              <w:pStyle w:val="96"/>
              <w:rPr>
                <w:sz w:val="24"/>
                <w:szCs w:val="24"/>
                <w:lang w:bidi="ar"/>
              </w:rPr>
            </w:pPr>
            <w:r>
              <w:rPr>
                <w:rFonts w:hint="eastAsia"/>
                <w:sz w:val="24"/>
                <w:szCs w:val="24"/>
                <w:lang w:bidi="ar"/>
              </w:rPr>
              <w:t>村委会</w:t>
            </w:r>
          </w:p>
        </w:tc>
        <w:tc>
          <w:tcPr>
            <w:tcW w:w="1961" w:type="dxa"/>
            <w:vAlign w:val="center"/>
          </w:tcPr>
          <w:p>
            <w:pPr>
              <w:pStyle w:val="96"/>
              <w:rPr>
                <w:sz w:val="24"/>
                <w:szCs w:val="24"/>
                <w:lang w:bidi="ar"/>
              </w:rPr>
            </w:pPr>
            <w:r>
              <w:rPr>
                <w:rFonts w:hint="eastAsia"/>
                <w:sz w:val="24"/>
                <w:szCs w:val="24"/>
                <w:lang w:bidi="ar"/>
              </w:rPr>
              <w:t>200-500</w:t>
            </w:r>
          </w:p>
        </w:tc>
        <w:tc>
          <w:tcPr>
            <w:tcW w:w="3766" w:type="dxa"/>
          </w:tcPr>
          <w:p>
            <w:pPr>
              <w:pStyle w:val="96"/>
              <w:rPr>
                <w:sz w:val="24"/>
                <w:szCs w:val="24"/>
                <w:lang w:bidi="ar"/>
              </w:rPr>
            </w:pPr>
            <w:r>
              <w:rPr>
                <w:rFonts w:hint="eastAsia"/>
                <w:sz w:val="24"/>
                <w:szCs w:val="24"/>
              </w:rPr>
              <w:t>宜布置在方便出入、便于办事的地点，原则上独立于村民住宅。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2" w:type="dxa"/>
            <w:vMerge w:val="restart"/>
            <w:vAlign w:val="center"/>
          </w:tcPr>
          <w:p>
            <w:pPr>
              <w:pStyle w:val="96"/>
              <w:rPr>
                <w:sz w:val="24"/>
                <w:szCs w:val="24"/>
                <w:lang w:bidi="ar"/>
              </w:rPr>
            </w:pPr>
            <w:r>
              <w:rPr>
                <w:rFonts w:hint="eastAsia"/>
                <w:sz w:val="24"/>
                <w:szCs w:val="24"/>
                <w:lang w:bidi="ar"/>
              </w:rPr>
              <w:t>教育机构</w:t>
            </w:r>
          </w:p>
        </w:tc>
        <w:tc>
          <w:tcPr>
            <w:tcW w:w="1478" w:type="dxa"/>
            <w:vAlign w:val="center"/>
          </w:tcPr>
          <w:p>
            <w:pPr>
              <w:pStyle w:val="96"/>
              <w:rPr>
                <w:sz w:val="24"/>
                <w:szCs w:val="24"/>
                <w:lang w:bidi="ar"/>
              </w:rPr>
            </w:pPr>
            <w:r>
              <w:rPr>
                <w:rFonts w:hint="eastAsia"/>
                <w:sz w:val="24"/>
                <w:szCs w:val="24"/>
                <w:lang w:bidi="ar"/>
              </w:rPr>
              <w:t>小学</w:t>
            </w:r>
          </w:p>
        </w:tc>
        <w:tc>
          <w:tcPr>
            <w:tcW w:w="1961" w:type="dxa"/>
            <w:vAlign w:val="center"/>
          </w:tcPr>
          <w:p>
            <w:pPr>
              <w:pStyle w:val="96"/>
              <w:rPr>
                <w:sz w:val="24"/>
                <w:szCs w:val="24"/>
                <w:lang w:bidi="ar"/>
              </w:rPr>
            </w:pPr>
            <w:r>
              <w:rPr>
                <w:rFonts w:hint="eastAsia"/>
                <w:sz w:val="24"/>
                <w:szCs w:val="24"/>
                <w:lang w:bidi="ar"/>
              </w:rPr>
              <w:t>4000-8000</w:t>
            </w:r>
          </w:p>
        </w:tc>
        <w:tc>
          <w:tcPr>
            <w:tcW w:w="3766" w:type="dxa"/>
          </w:tcPr>
          <w:p>
            <w:pPr>
              <w:pStyle w:val="96"/>
              <w:rPr>
                <w:sz w:val="24"/>
                <w:szCs w:val="24"/>
              </w:rPr>
            </w:pPr>
            <w:r>
              <w:rPr>
                <w:rFonts w:hint="eastAsia"/>
                <w:sz w:val="24"/>
                <w:szCs w:val="24"/>
              </w:rPr>
              <w:t>应独立占地。可根据乡村生活圈配置要求采取多村合设的方式。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092" w:type="dxa"/>
            <w:vMerge w:val="continue"/>
            <w:vAlign w:val="center"/>
          </w:tcPr>
          <w:p>
            <w:pPr>
              <w:pStyle w:val="96"/>
              <w:rPr>
                <w:sz w:val="24"/>
                <w:szCs w:val="24"/>
                <w:lang w:bidi="ar"/>
              </w:rPr>
            </w:pPr>
          </w:p>
        </w:tc>
        <w:tc>
          <w:tcPr>
            <w:tcW w:w="1478" w:type="dxa"/>
            <w:vAlign w:val="center"/>
          </w:tcPr>
          <w:p>
            <w:pPr>
              <w:pStyle w:val="96"/>
              <w:rPr>
                <w:sz w:val="24"/>
                <w:szCs w:val="24"/>
                <w:lang w:bidi="ar"/>
              </w:rPr>
            </w:pPr>
            <w:r>
              <w:rPr>
                <w:rFonts w:hint="eastAsia"/>
                <w:sz w:val="24"/>
                <w:szCs w:val="24"/>
                <w:lang w:bidi="ar"/>
              </w:rPr>
              <w:t>幼儿园</w:t>
            </w:r>
          </w:p>
        </w:tc>
        <w:tc>
          <w:tcPr>
            <w:tcW w:w="1961" w:type="dxa"/>
            <w:vAlign w:val="center"/>
          </w:tcPr>
          <w:p>
            <w:pPr>
              <w:pStyle w:val="96"/>
              <w:rPr>
                <w:sz w:val="24"/>
                <w:szCs w:val="24"/>
                <w:lang w:bidi="ar"/>
              </w:rPr>
            </w:pPr>
            <w:r>
              <w:rPr>
                <w:rFonts w:hint="eastAsia"/>
                <w:sz w:val="24"/>
                <w:szCs w:val="24"/>
                <w:lang w:bidi="ar"/>
              </w:rPr>
              <w:t>600-1800</w:t>
            </w:r>
          </w:p>
        </w:tc>
        <w:tc>
          <w:tcPr>
            <w:tcW w:w="3766" w:type="dxa"/>
          </w:tcPr>
          <w:p>
            <w:pPr>
              <w:pStyle w:val="96"/>
              <w:rPr>
                <w:sz w:val="24"/>
                <w:szCs w:val="24"/>
              </w:rPr>
            </w:pPr>
            <w:r>
              <w:rPr>
                <w:rFonts w:hint="eastAsia"/>
                <w:sz w:val="24"/>
                <w:szCs w:val="24"/>
              </w:rPr>
              <w:t>独立设置或与绿地结合设置。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2" w:type="dxa"/>
            <w:vMerge w:val="continue"/>
            <w:vAlign w:val="center"/>
          </w:tcPr>
          <w:p>
            <w:pPr>
              <w:pStyle w:val="96"/>
              <w:rPr>
                <w:sz w:val="24"/>
                <w:szCs w:val="24"/>
                <w:lang w:bidi="ar"/>
              </w:rPr>
            </w:pPr>
          </w:p>
        </w:tc>
        <w:tc>
          <w:tcPr>
            <w:tcW w:w="1478" w:type="dxa"/>
            <w:vAlign w:val="center"/>
          </w:tcPr>
          <w:p>
            <w:pPr>
              <w:pStyle w:val="96"/>
              <w:rPr>
                <w:sz w:val="24"/>
                <w:szCs w:val="24"/>
                <w:lang w:bidi="ar"/>
              </w:rPr>
            </w:pPr>
            <w:r>
              <w:rPr>
                <w:rFonts w:hint="eastAsia"/>
                <w:sz w:val="24"/>
                <w:szCs w:val="24"/>
                <w:lang w:bidi="ar"/>
              </w:rPr>
              <w:t>托儿所</w:t>
            </w:r>
          </w:p>
        </w:tc>
        <w:tc>
          <w:tcPr>
            <w:tcW w:w="1961" w:type="dxa"/>
            <w:vAlign w:val="center"/>
          </w:tcPr>
          <w:p>
            <w:pPr>
              <w:pStyle w:val="96"/>
              <w:rPr>
                <w:sz w:val="24"/>
                <w:szCs w:val="24"/>
                <w:lang w:bidi="ar"/>
              </w:rPr>
            </w:pPr>
            <w:r>
              <w:rPr>
                <w:rFonts w:hint="eastAsia"/>
                <w:sz w:val="24"/>
                <w:szCs w:val="24"/>
                <w:lang w:bidi="ar"/>
              </w:rPr>
              <w:t>600-1800</w:t>
            </w:r>
          </w:p>
        </w:tc>
        <w:tc>
          <w:tcPr>
            <w:tcW w:w="3766" w:type="dxa"/>
          </w:tcPr>
          <w:p>
            <w:pPr>
              <w:pStyle w:val="96"/>
              <w:rPr>
                <w:sz w:val="24"/>
                <w:szCs w:val="24"/>
              </w:rPr>
            </w:pPr>
            <w:r>
              <w:rPr>
                <w:rFonts w:hint="eastAsia"/>
                <w:sz w:val="24"/>
                <w:szCs w:val="24"/>
              </w:rPr>
              <w:t>独立设置或与幼儿园、绿地等结合设置。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2" w:type="dxa"/>
            <w:vAlign w:val="center"/>
          </w:tcPr>
          <w:p>
            <w:pPr>
              <w:pStyle w:val="96"/>
              <w:rPr>
                <w:sz w:val="24"/>
                <w:szCs w:val="24"/>
                <w:lang w:bidi="ar"/>
              </w:rPr>
            </w:pPr>
            <w:r>
              <w:rPr>
                <w:rFonts w:hint="eastAsia"/>
                <w:sz w:val="24"/>
                <w:szCs w:val="24"/>
                <w:lang w:bidi="ar"/>
              </w:rPr>
              <w:t>文化科技</w:t>
            </w:r>
          </w:p>
        </w:tc>
        <w:tc>
          <w:tcPr>
            <w:tcW w:w="1478" w:type="dxa"/>
            <w:vAlign w:val="center"/>
          </w:tcPr>
          <w:p>
            <w:pPr>
              <w:pStyle w:val="96"/>
              <w:rPr>
                <w:sz w:val="24"/>
                <w:szCs w:val="24"/>
                <w:lang w:bidi="ar"/>
              </w:rPr>
            </w:pPr>
            <w:r>
              <w:rPr>
                <w:rFonts w:hint="eastAsia"/>
                <w:sz w:val="24"/>
                <w:szCs w:val="24"/>
                <w:lang w:bidi="ar"/>
              </w:rPr>
              <w:t>文化大院</w:t>
            </w:r>
          </w:p>
        </w:tc>
        <w:tc>
          <w:tcPr>
            <w:tcW w:w="1961" w:type="dxa"/>
            <w:vAlign w:val="center"/>
          </w:tcPr>
          <w:p>
            <w:pPr>
              <w:pStyle w:val="96"/>
              <w:rPr>
                <w:sz w:val="24"/>
                <w:szCs w:val="24"/>
                <w:lang w:bidi="ar"/>
              </w:rPr>
            </w:pPr>
            <w:r>
              <w:rPr>
                <w:rFonts w:hint="eastAsia"/>
                <w:sz w:val="24"/>
                <w:szCs w:val="24"/>
                <w:lang w:bidi="ar"/>
              </w:rPr>
              <w:t>200-800</w:t>
            </w:r>
          </w:p>
        </w:tc>
        <w:tc>
          <w:tcPr>
            <w:tcW w:w="3766" w:type="dxa"/>
          </w:tcPr>
          <w:p>
            <w:pPr>
              <w:pStyle w:val="96"/>
              <w:rPr>
                <w:sz w:val="24"/>
                <w:szCs w:val="24"/>
              </w:rPr>
            </w:pPr>
            <w:r>
              <w:rPr>
                <w:rFonts w:hint="eastAsia"/>
                <w:sz w:val="24"/>
                <w:szCs w:val="24"/>
              </w:rPr>
              <w:t>应包括科技服务、图书阅览等功能。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2" w:type="dxa"/>
            <w:vAlign w:val="center"/>
          </w:tcPr>
          <w:p>
            <w:pPr>
              <w:pStyle w:val="96"/>
              <w:rPr>
                <w:sz w:val="24"/>
                <w:szCs w:val="24"/>
                <w:lang w:bidi="ar"/>
              </w:rPr>
            </w:pPr>
            <w:r>
              <w:rPr>
                <w:rFonts w:hint="eastAsia"/>
                <w:sz w:val="24"/>
                <w:szCs w:val="24"/>
                <w:lang w:bidi="ar"/>
              </w:rPr>
              <w:t>体育设施</w:t>
            </w:r>
          </w:p>
        </w:tc>
        <w:tc>
          <w:tcPr>
            <w:tcW w:w="1478" w:type="dxa"/>
            <w:vAlign w:val="center"/>
          </w:tcPr>
          <w:p>
            <w:pPr>
              <w:pStyle w:val="96"/>
              <w:rPr>
                <w:sz w:val="24"/>
                <w:szCs w:val="24"/>
                <w:lang w:bidi="ar"/>
              </w:rPr>
            </w:pPr>
            <w:r>
              <w:rPr>
                <w:rFonts w:hint="eastAsia"/>
                <w:sz w:val="24"/>
                <w:szCs w:val="24"/>
                <w:lang w:bidi="ar"/>
              </w:rPr>
              <w:t>休闲运动广场</w:t>
            </w:r>
          </w:p>
        </w:tc>
        <w:tc>
          <w:tcPr>
            <w:tcW w:w="1961" w:type="dxa"/>
            <w:vAlign w:val="center"/>
          </w:tcPr>
          <w:p>
            <w:pPr>
              <w:pStyle w:val="96"/>
              <w:rPr>
                <w:sz w:val="24"/>
                <w:szCs w:val="24"/>
                <w:lang w:bidi="ar"/>
              </w:rPr>
            </w:pPr>
            <w:r>
              <w:rPr>
                <w:rFonts w:hint="eastAsia"/>
                <w:sz w:val="24"/>
                <w:szCs w:val="24"/>
                <w:lang w:bidi="ar"/>
              </w:rPr>
              <w:t>600-2000</w:t>
            </w:r>
          </w:p>
          <w:p>
            <w:pPr>
              <w:pStyle w:val="96"/>
              <w:rPr>
                <w:sz w:val="24"/>
                <w:szCs w:val="24"/>
                <w:lang w:bidi="ar"/>
              </w:rPr>
            </w:pPr>
            <w:r>
              <w:rPr>
                <w:rFonts w:hint="eastAsia"/>
                <w:sz w:val="24"/>
                <w:szCs w:val="24"/>
                <w:lang w:bidi="ar"/>
              </w:rPr>
              <w:t>（用地面积）</w:t>
            </w:r>
          </w:p>
        </w:tc>
        <w:tc>
          <w:tcPr>
            <w:tcW w:w="3766" w:type="dxa"/>
          </w:tcPr>
          <w:p>
            <w:pPr>
              <w:pStyle w:val="96"/>
              <w:rPr>
                <w:sz w:val="24"/>
                <w:szCs w:val="24"/>
              </w:rPr>
            </w:pPr>
            <w:r>
              <w:rPr>
                <w:rFonts w:hint="eastAsia"/>
                <w:sz w:val="24"/>
                <w:szCs w:val="24"/>
              </w:rPr>
              <w:t>可与绿地结合建设。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92" w:type="dxa"/>
            <w:vAlign w:val="center"/>
          </w:tcPr>
          <w:p>
            <w:pPr>
              <w:pStyle w:val="96"/>
              <w:rPr>
                <w:sz w:val="24"/>
                <w:szCs w:val="24"/>
                <w:lang w:bidi="ar"/>
              </w:rPr>
            </w:pPr>
            <w:r>
              <w:rPr>
                <w:rFonts w:hint="eastAsia"/>
                <w:sz w:val="24"/>
                <w:szCs w:val="24"/>
                <w:lang w:bidi="ar"/>
              </w:rPr>
              <w:t>医疗设施</w:t>
            </w:r>
          </w:p>
        </w:tc>
        <w:tc>
          <w:tcPr>
            <w:tcW w:w="1478" w:type="dxa"/>
            <w:vAlign w:val="center"/>
          </w:tcPr>
          <w:p>
            <w:pPr>
              <w:pStyle w:val="96"/>
              <w:rPr>
                <w:sz w:val="24"/>
                <w:szCs w:val="24"/>
                <w:lang w:bidi="ar"/>
              </w:rPr>
            </w:pPr>
            <w:r>
              <w:rPr>
                <w:rFonts w:hint="eastAsia"/>
                <w:sz w:val="24"/>
                <w:szCs w:val="24"/>
                <w:lang w:bidi="ar"/>
              </w:rPr>
              <w:t>村卫生室</w:t>
            </w:r>
          </w:p>
        </w:tc>
        <w:tc>
          <w:tcPr>
            <w:tcW w:w="1961" w:type="dxa"/>
            <w:vAlign w:val="center"/>
          </w:tcPr>
          <w:p>
            <w:pPr>
              <w:pStyle w:val="96"/>
              <w:rPr>
                <w:sz w:val="24"/>
                <w:szCs w:val="24"/>
                <w:lang w:bidi="ar"/>
              </w:rPr>
            </w:pPr>
            <w:r>
              <w:rPr>
                <w:rFonts w:hint="eastAsia"/>
                <w:sz w:val="24"/>
                <w:szCs w:val="24"/>
                <w:lang w:bidi="ar"/>
              </w:rPr>
              <w:t>50-100</w:t>
            </w:r>
          </w:p>
        </w:tc>
        <w:tc>
          <w:tcPr>
            <w:tcW w:w="3766" w:type="dxa"/>
          </w:tcPr>
          <w:p>
            <w:pPr>
              <w:pStyle w:val="96"/>
              <w:rPr>
                <w:sz w:val="24"/>
                <w:szCs w:val="24"/>
              </w:rPr>
            </w:pPr>
            <w:r>
              <w:rPr>
                <w:rFonts w:hint="eastAsia"/>
                <w:sz w:val="24"/>
                <w:szCs w:val="24"/>
              </w:rPr>
              <w:t>原则上一个行政村设置一所村卫生室，人口较多或者居住分散的行政村可酌情增设;人口较少或面积较小的行政村，可与相邻行政村联合设置村卫生室。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92" w:type="dxa"/>
            <w:vAlign w:val="center"/>
          </w:tcPr>
          <w:p>
            <w:pPr>
              <w:pStyle w:val="96"/>
              <w:rPr>
                <w:sz w:val="24"/>
                <w:szCs w:val="24"/>
                <w:lang w:bidi="ar"/>
              </w:rPr>
            </w:pPr>
            <w:r>
              <w:rPr>
                <w:rFonts w:hint="eastAsia"/>
                <w:sz w:val="24"/>
                <w:szCs w:val="24"/>
                <w:lang w:bidi="ar"/>
              </w:rPr>
              <w:t>社会保障</w:t>
            </w:r>
          </w:p>
        </w:tc>
        <w:tc>
          <w:tcPr>
            <w:tcW w:w="1478" w:type="dxa"/>
            <w:vAlign w:val="center"/>
          </w:tcPr>
          <w:p>
            <w:pPr>
              <w:pStyle w:val="96"/>
              <w:rPr>
                <w:sz w:val="24"/>
                <w:szCs w:val="24"/>
                <w:lang w:bidi="ar"/>
              </w:rPr>
            </w:pPr>
            <w:r>
              <w:rPr>
                <w:rFonts w:hint="eastAsia"/>
                <w:sz w:val="24"/>
                <w:szCs w:val="24"/>
                <w:lang w:bidi="ar"/>
              </w:rPr>
              <w:t>日间照料中心</w:t>
            </w:r>
          </w:p>
        </w:tc>
        <w:tc>
          <w:tcPr>
            <w:tcW w:w="1961" w:type="dxa"/>
            <w:vAlign w:val="center"/>
          </w:tcPr>
          <w:p>
            <w:pPr>
              <w:pStyle w:val="96"/>
              <w:rPr>
                <w:sz w:val="24"/>
                <w:szCs w:val="24"/>
                <w:lang w:bidi="ar"/>
              </w:rPr>
            </w:pPr>
            <w:r>
              <w:rPr>
                <w:rFonts w:hint="eastAsia"/>
                <w:sz w:val="24"/>
                <w:szCs w:val="24"/>
                <w:lang w:bidi="ar"/>
              </w:rPr>
              <w:t>200-800</w:t>
            </w:r>
          </w:p>
        </w:tc>
        <w:tc>
          <w:tcPr>
            <w:tcW w:w="3766" w:type="dxa"/>
          </w:tcPr>
          <w:p>
            <w:pPr>
              <w:pStyle w:val="96"/>
              <w:rPr>
                <w:sz w:val="24"/>
                <w:szCs w:val="24"/>
              </w:rPr>
            </w:pPr>
            <w:r>
              <w:rPr>
                <w:rFonts w:hint="eastAsia"/>
                <w:sz w:val="24"/>
                <w:szCs w:val="24"/>
              </w:rPr>
              <w:t>宜综合设置。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92" w:type="dxa"/>
            <w:vMerge w:val="restart"/>
            <w:vAlign w:val="center"/>
          </w:tcPr>
          <w:p>
            <w:pPr>
              <w:pStyle w:val="96"/>
              <w:rPr>
                <w:sz w:val="24"/>
                <w:szCs w:val="24"/>
                <w:lang w:bidi="ar"/>
              </w:rPr>
            </w:pPr>
            <w:r>
              <w:rPr>
                <w:rFonts w:hint="eastAsia"/>
                <w:sz w:val="24"/>
                <w:szCs w:val="24"/>
                <w:lang w:bidi="ar"/>
              </w:rPr>
              <w:t>商业服务</w:t>
            </w:r>
          </w:p>
        </w:tc>
        <w:tc>
          <w:tcPr>
            <w:tcW w:w="1478" w:type="dxa"/>
            <w:vAlign w:val="center"/>
          </w:tcPr>
          <w:p>
            <w:pPr>
              <w:pStyle w:val="96"/>
              <w:rPr>
                <w:sz w:val="24"/>
                <w:szCs w:val="24"/>
                <w:lang w:bidi="ar"/>
              </w:rPr>
            </w:pPr>
            <w:r>
              <w:rPr>
                <w:rFonts w:hint="eastAsia"/>
                <w:sz w:val="24"/>
                <w:szCs w:val="24"/>
                <w:lang w:bidi="ar"/>
              </w:rPr>
              <w:t>小卖部</w:t>
            </w:r>
          </w:p>
        </w:tc>
        <w:tc>
          <w:tcPr>
            <w:tcW w:w="1961" w:type="dxa"/>
            <w:vAlign w:val="center"/>
          </w:tcPr>
          <w:p>
            <w:pPr>
              <w:pStyle w:val="96"/>
              <w:rPr>
                <w:sz w:val="24"/>
                <w:szCs w:val="24"/>
                <w:lang w:bidi="ar"/>
              </w:rPr>
            </w:pPr>
            <w:r>
              <w:rPr>
                <w:rFonts w:hint="eastAsia"/>
                <w:sz w:val="24"/>
                <w:szCs w:val="24"/>
                <w:lang w:bidi="ar"/>
              </w:rPr>
              <w:t>300-1000</w:t>
            </w:r>
          </w:p>
        </w:tc>
        <w:tc>
          <w:tcPr>
            <w:tcW w:w="3766" w:type="dxa"/>
          </w:tcPr>
          <w:p>
            <w:pPr>
              <w:pStyle w:val="96"/>
              <w:rPr>
                <w:sz w:val="24"/>
                <w:szCs w:val="24"/>
              </w:rPr>
            </w:pPr>
            <w:r>
              <w:rPr>
                <w:rFonts w:hint="eastAsia"/>
                <w:sz w:val="24"/>
                <w:szCs w:val="24"/>
              </w:rPr>
              <w:t>宜综合设置。各行政村设一处，村域面积较大或集中农村居民点较分散情况下可多点设置。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92" w:type="dxa"/>
            <w:vMerge w:val="continue"/>
            <w:vAlign w:val="center"/>
          </w:tcPr>
          <w:p>
            <w:pPr>
              <w:pStyle w:val="96"/>
              <w:rPr>
                <w:lang w:bidi="ar"/>
              </w:rPr>
            </w:pPr>
          </w:p>
        </w:tc>
        <w:tc>
          <w:tcPr>
            <w:tcW w:w="1478" w:type="dxa"/>
            <w:vAlign w:val="center"/>
          </w:tcPr>
          <w:p>
            <w:pPr>
              <w:pStyle w:val="96"/>
              <w:rPr>
                <w:lang w:bidi="ar"/>
              </w:rPr>
            </w:pPr>
            <w:r>
              <w:rPr>
                <w:rFonts w:hint="eastAsia"/>
                <w:lang w:bidi="ar"/>
              </w:rPr>
              <w:t>小型超市</w:t>
            </w:r>
          </w:p>
        </w:tc>
        <w:tc>
          <w:tcPr>
            <w:tcW w:w="1961" w:type="dxa"/>
            <w:vAlign w:val="center"/>
          </w:tcPr>
          <w:p>
            <w:pPr>
              <w:pStyle w:val="96"/>
              <w:rPr>
                <w:lang w:bidi="ar"/>
              </w:rPr>
            </w:pPr>
            <w:r>
              <w:rPr>
                <w:rFonts w:hint="eastAsia"/>
                <w:lang w:bidi="ar"/>
              </w:rPr>
              <w:t>500-800</w:t>
            </w:r>
          </w:p>
        </w:tc>
        <w:tc>
          <w:tcPr>
            <w:tcW w:w="3766" w:type="dxa"/>
          </w:tcPr>
          <w:p>
            <w:pPr>
              <w:pStyle w:val="96"/>
            </w:pPr>
            <w:r>
              <w:rPr>
                <w:rFonts w:hint="eastAsia"/>
              </w:rPr>
              <w:t>根据村庄规模设置。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92" w:type="dxa"/>
            <w:vMerge w:val="continue"/>
            <w:vAlign w:val="center"/>
          </w:tcPr>
          <w:p>
            <w:pPr>
              <w:pStyle w:val="96"/>
              <w:rPr>
                <w:lang w:bidi="ar"/>
              </w:rPr>
            </w:pPr>
          </w:p>
        </w:tc>
        <w:tc>
          <w:tcPr>
            <w:tcW w:w="1478" w:type="dxa"/>
            <w:vAlign w:val="center"/>
          </w:tcPr>
          <w:p>
            <w:pPr>
              <w:pStyle w:val="96"/>
              <w:rPr>
                <w:lang w:bidi="ar"/>
              </w:rPr>
            </w:pPr>
            <w:r>
              <w:rPr>
                <w:rFonts w:hint="eastAsia"/>
                <w:lang w:bidi="ar"/>
              </w:rPr>
              <w:t>餐饮、特产店</w:t>
            </w:r>
          </w:p>
        </w:tc>
        <w:tc>
          <w:tcPr>
            <w:tcW w:w="1961" w:type="dxa"/>
            <w:vAlign w:val="center"/>
          </w:tcPr>
          <w:p>
            <w:pPr>
              <w:pStyle w:val="96"/>
              <w:rPr>
                <w:lang w:bidi="ar"/>
              </w:rPr>
            </w:pPr>
            <w:r>
              <w:rPr>
                <w:rFonts w:hint="eastAsia"/>
                <w:lang w:bidi="ar"/>
              </w:rPr>
              <w:t>——</w:t>
            </w:r>
          </w:p>
        </w:tc>
        <w:tc>
          <w:tcPr>
            <w:tcW w:w="3766" w:type="dxa"/>
          </w:tcPr>
          <w:p>
            <w:pPr>
              <w:pStyle w:val="96"/>
            </w:pPr>
            <w:r>
              <w:rPr>
                <w:rFonts w:hint="eastAsia"/>
              </w:rPr>
              <w:t>根据需求设置。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92" w:type="dxa"/>
            <w:vMerge w:val="continue"/>
            <w:vAlign w:val="center"/>
          </w:tcPr>
          <w:p>
            <w:pPr>
              <w:pStyle w:val="96"/>
              <w:rPr>
                <w:lang w:bidi="ar"/>
              </w:rPr>
            </w:pPr>
          </w:p>
        </w:tc>
        <w:tc>
          <w:tcPr>
            <w:tcW w:w="1478" w:type="dxa"/>
            <w:vAlign w:val="center"/>
          </w:tcPr>
          <w:p>
            <w:pPr>
              <w:pStyle w:val="96"/>
              <w:rPr>
                <w:lang w:bidi="ar"/>
              </w:rPr>
            </w:pPr>
            <w:r>
              <w:rPr>
                <w:rFonts w:hint="eastAsia"/>
                <w:lang w:bidi="ar"/>
              </w:rPr>
              <w:t>旅馆、招待所</w:t>
            </w:r>
          </w:p>
        </w:tc>
        <w:tc>
          <w:tcPr>
            <w:tcW w:w="1961" w:type="dxa"/>
            <w:vAlign w:val="center"/>
          </w:tcPr>
          <w:p>
            <w:pPr>
              <w:pStyle w:val="96"/>
              <w:rPr>
                <w:lang w:bidi="ar"/>
              </w:rPr>
            </w:pPr>
            <w:r>
              <w:rPr>
                <w:rFonts w:hint="eastAsia"/>
                <w:lang w:bidi="ar"/>
              </w:rPr>
              <w:t>——</w:t>
            </w:r>
          </w:p>
        </w:tc>
        <w:tc>
          <w:tcPr>
            <w:tcW w:w="3766" w:type="dxa"/>
          </w:tcPr>
          <w:p>
            <w:pPr>
              <w:pStyle w:val="96"/>
            </w:pPr>
            <w:r>
              <w:rPr>
                <w:rFonts w:hint="eastAsia"/>
              </w:rPr>
              <w:t>根据需求设置</w:t>
            </w:r>
          </w:p>
        </w:tc>
      </w:tr>
    </w:tbl>
    <w:p>
      <w:pPr>
        <w:ind w:firstLine="640"/>
      </w:pPr>
      <w:r>
        <w:rPr>
          <w:rFonts w:hint="eastAsia"/>
        </w:rPr>
        <w:t>村庄公共服务建筑建设强度控制指标可参照下表执行。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1"/>
        <w:gridCol w:w="1660"/>
        <w:gridCol w:w="1660"/>
        <w:gridCol w:w="1658"/>
        <w:gridCol w:w="16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5"/>
          </w:tcPr>
          <w:p>
            <w:pPr>
              <w:pStyle w:val="98"/>
              <w:rPr>
                <w:rFonts w:ascii="仿宋" w:hAnsi="仿宋" w:eastAsia="仿宋" w:cs="仿宋"/>
                <w:sz w:val="21"/>
                <w:szCs w:val="21"/>
              </w:rPr>
            </w:pPr>
            <w:r>
              <w:rPr>
                <w:rFonts w:hint="eastAsia"/>
                <w:lang w:bidi="ar"/>
              </w:rPr>
              <w:t>专栏14-</w:t>
            </w:r>
            <w:r>
              <w:rPr>
                <w:lang w:bidi="ar"/>
              </w:rPr>
              <w:t>9</w:t>
            </w:r>
            <w:r>
              <w:rPr>
                <w:rFonts w:hint="eastAsia"/>
                <w:lang w:bidi="ar"/>
              </w:rPr>
              <w:t>公共服务建筑建设控制指标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661"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容积率</w:t>
            </w:r>
          </w:p>
        </w:tc>
        <w:tc>
          <w:tcPr>
            <w:tcW w:w="1660"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建筑密度</w:t>
            </w:r>
          </w:p>
        </w:tc>
        <w:tc>
          <w:tcPr>
            <w:tcW w:w="1660"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绿化率</w:t>
            </w:r>
          </w:p>
        </w:tc>
        <w:tc>
          <w:tcPr>
            <w:tcW w:w="1658"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建筑高度</w:t>
            </w:r>
          </w:p>
        </w:tc>
        <w:tc>
          <w:tcPr>
            <w:tcW w:w="1658"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661"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＜1.5</w:t>
            </w:r>
          </w:p>
        </w:tc>
        <w:tc>
          <w:tcPr>
            <w:tcW w:w="1660"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＜40%</w:t>
            </w:r>
          </w:p>
        </w:tc>
        <w:tc>
          <w:tcPr>
            <w:tcW w:w="1660"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＞30%</w:t>
            </w:r>
          </w:p>
        </w:tc>
        <w:tc>
          <w:tcPr>
            <w:tcW w:w="1658"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w:t>
            </w:r>
            <w:r>
              <w:rPr>
                <w:rFonts w:hint="eastAsia" w:ascii="Arial" w:hAnsi="Arial" w:eastAsia="仿宋" w:cs="Arial"/>
                <w:sz w:val="24"/>
                <w:szCs w:val="24"/>
              </w:rPr>
              <w:t>15米</w:t>
            </w:r>
          </w:p>
        </w:tc>
        <w:tc>
          <w:tcPr>
            <w:tcW w:w="1658"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一般不超过四层</w:t>
            </w:r>
          </w:p>
        </w:tc>
      </w:tr>
    </w:tbl>
    <w:p>
      <w:pPr>
        <w:ind w:firstLine="640"/>
      </w:pPr>
      <w:r>
        <w:rPr>
          <w:rFonts w:hint="eastAsia"/>
        </w:rPr>
        <w:t>公共服务建筑</w:t>
      </w:r>
      <w:r>
        <w:rPr>
          <w:rFonts w:hint="eastAsia"/>
          <w:kern w:val="0"/>
          <w:lang w:bidi="ar"/>
        </w:rPr>
        <w:t>间距、道路退让、边界退让须符合建筑防火消防安全和日照标准。</w:t>
      </w:r>
      <w:r>
        <w:rPr>
          <w:rFonts w:hint="eastAsia"/>
        </w:rPr>
        <w:t>公共服务建筑原址翻建、改造的，建筑面积不作限制，但须符合地块建设强度控制指标要求。</w:t>
      </w:r>
    </w:p>
    <w:p>
      <w:pPr>
        <w:ind w:firstLine="640"/>
      </w:pPr>
      <w:r>
        <w:rPr>
          <w:rFonts w:hint="eastAsia"/>
        </w:rPr>
        <w:t>鼓励利用村内空闲地、边角地，因地制宜，建设点式分散的小型绿地游园、活动</w:t>
      </w:r>
      <w:r>
        <w:t>广场</w:t>
      </w:r>
      <w:r>
        <w:rPr>
          <w:rFonts w:hint="eastAsia"/>
        </w:rPr>
        <w:t>、停车场等。游园、</w:t>
      </w:r>
      <w:r>
        <w:t>广场</w:t>
      </w:r>
      <w:r>
        <w:rPr>
          <w:rFonts w:hint="eastAsia"/>
        </w:rPr>
        <w:t>应</w:t>
      </w:r>
      <w:r>
        <w:t>当配备健身活动器材、儿童娱乐设施、休闲座椅等</w:t>
      </w:r>
      <w:r>
        <w:rPr>
          <w:rFonts w:hint="eastAsia"/>
        </w:rPr>
        <w:t>活动设施，</w:t>
      </w:r>
      <w:r>
        <w:t>提升村庄环境品质，增加村民休闲场所。</w:t>
      </w:r>
      <w:r>
        <w:rPr>
          <w:rFonts w:hint="eastAsia"/>
        </w:rPr>
        <w:t>村内游园、广场、停车场最大面积一般不超过2000平米；位于旅游景区或特色保护类游客较多的村庄，面积可适当增加。</w:t>
      </w:r>
    </w:p>
    <w:p>
      <w:pPr>
        <w:ind w:firstLine="640"/>
      </w:pPr>
      <w:r>
        <w:rPr>
          <w:rFonts w:hint="eastAsia"/>
        </w:rPr>
        <w:t>5</w:t>
      </w:r>
      <w:r>
        <w:t>.</w:t>
      </w:r>
      <w:r>
        <w:rPr>
          <w:rFonts w:hint="eastAsia"/>
        </w:rPr>
        <w:t>乡村产业管控</w:t>
      </w:r>
    </w:p>
    <w:p>
      <w:pPr>
        <w:ind w:firstLine="640"/>
      </w:pPr>
      <w:r>
        <w:rPr>
          <w:rFonts w:hint="eastAsia"/>
        </w:rPr>
        <w:t>乡村产业主要包括农业产业融合相关类项目和其他产业项目。</w:t>
      </w:r>
    </w:p>
    <w:p>
      <w:pPr>
        <w:ind w:firstLine="640"/>
      </w:pPr>
      <w:r>
        <w:rPr>
          <w:rFonts w:hint="eastAsia"/>
        </w:rPr>
        <w:t>农业产业融合相关类项目主要以农业农村资源为依托，拓展农业农村功能，延伸产业链条，涵盖农产品生产、加工、流通、就地消费等环节，用于农产品加工流通、农村休闲观光旅游、电子商务等混合融合的农村产业融合发展用地，土地用途可确定为工业用地、商业用地、物流仓储用地等。主要包括：农产品加工产业用地（包括农产品烘干、贮藏、保鲜、畜禽屠宰、冷链、净化、分捡、包装等产业）、生产性服务产业用地（包括农资配送、病虫害防治、农机作业服务、畜禽无害化处理与收集转运、畜禽粪污资源化利用、农产品流通、农产品仓储保鲜冷链物流设施、农业废弃物处理等产业）、生活性服务产业用地（包括乡村综合性服务网点、电商、快递、物流、商贸批发和零售等产业）、新产业新业态用地（包括“互联网+”现代农业、农产品电子商务、休闲农业和乡村旅游、民族风情旅游、红色文化与民俗文化、非遗传承、传统手工业、文化创意等新型业态用地；依托乡村资源优势，培育的农业特色小镇、地方特色产业用地）。</w:t>
      </w:r>
    </w:p>
    <w:p>
      <w:pPr>
        <w:ind w:firstLine="640"/>
      </w:pPr>
      <w:r>
        <w:rPr>
          <w:rFonts w:hint="eastAsia"/>
        </w:rPr>
        <w:t>农村产业融合相关类发展用地不得用于商品住宅、别墅、酒店、公寓等房地产开发，不得擅自改变用途或分割转让转租。</w:t>
      </w:r>
    </w:p>
    <w:p>
      <w:pPr>
        <w:ind w:firstLine="640"/>
      </w:pPr>
      <w:r>
        <w:rPr>
          <w:rFonts w:hint="eastAsia"/>
        </w:rPr>
        <w:t>农村产业融合类项目布局要求。项目规模较大、工业化程度高、分散布局配套设施成本高的产业项目要进产业园区。具有一定规模的农产品加工要向市区或有条件的乡镇城镇开发边界内集聚。直接服务种植养殖业的农产品加工、电子商务、仓储保鲜冷链、产地低温直销配送等产业，原则上应集中在行政村村庄建设边界内。利用农村本地资源开展农产品初加工、发展休闲观光旅游而必须的配套设施建设，可在不占用永久基本农田和生态保护红线、不突破国土空间规划建设用地指标等约束条件、不破坏生态环境和乡村风貌的前提下，在村庄建设边界外安排少量建设用地，实行比例和面积控制。符合环保政策的其他产业类项目，在不新建、扩建的条件下，可暂予以保留。集体经营性建设用地可以用于工业、商业、仓储、保障性租赁住房等经营性项目，不得用于房（地）产类开发、别墅类、私人会所等项目建设。</w:t>
      </w:r>
    </w:p>
    <w:p>
      <w:pPr>
        <w:ind w:firstLine="640"/>
      </w:pPr>
      <w:r>
        <w:rPr>
          <w:rFonts w:hint="eastAsia"/>
        </w:rPr>
        <w:t>本着节约集约用地的原则，乡村产业用地类项目建设强度一般符合以下规定：</w:t>
      </w:r>
    </w:p>
    <w:tbl>
      <w:tblPr>
        <w:tblStyle w:val="30"/>
        <w:tblW w:w="5000" w:type="pct"/>
        <w:tblInd w:w="0" w:type="dxa"/>
        <w:tblLayout w:type="autofit"/>
        <w:tblCellMar>
          <w:top w:w="0" w:type="dxa"/>
          <w:left w:w="108" w:type="dxa"/>
          <w:bottom w:w="0" w:type="dxa"/>
          <w:right w:w="108" w:type="dxa"/>
        </w:tblCellMar>
      </w:tblPr>
      <w:tblGrid>
        <w:gridCol w:w="1704"/>
        <w:gridCol w:w="1350"/>
        <w:gridCol w:w="2061"/>
        <w:gridCol w:w="2015"/>
        <w:gridCol w:w="1393"/>
      </w:tblGrid>
      <w:tr>
        <w:tblPrEx>
          <w:tblCellMar>
            <w:top w:w="0" w:type="dxa"/>
            <w:left w:w="108" w:type="dxa"/>
            <w:bottom w:w="0" w:type="dxa"/>
            <w:right w:w="108" w:type="dxa"/>
          </w:tblCellMar>
        </w:tblPrEx>
        <w:trPr>
          <w:trHeight w:val="373" w:hRule="atLeast"/>
        </w:trPr>
        <w:tc>
          <w:tcPr>
            <w:tcW w:w="5000" w:type="pct"/>
            <w:gridSpan w:val="5"/>
            <w:tcBorders>
              <w:top w:val="single" w:color="auto" w:sz="4" w:space="0"/>
              <w:left w:val="single" w:color="auto" w:sz="4" w:space="0"/>
              <w:bottom w:val="single" w:color="auto" w:sz="4" w:space="0"/>
              <w:right w:val="single" w:color="auto" w:sz="4" w:space="0"/>
            </w:tcBorders>
            <w:shd w:val="clear" w:color="auto" w:fill="auto"/>
            <w:noWrap/>
            <w:vAlign w:val="center"/>
          </w:tcPr>
          <w:p>
            <w:pPr>
              <w:pStyle w:val="98"/>
            </w:pPr>
            <w:r>
              <w:rPr>
                <w:rFonts w:hint="eastAsia"/>
              </w:rPr>
              <w:t>专栏14-</w:t>
            </w:r>
            <w:r>
              <w:t xml:space="preserve">10 </w:t>
            </w:r>
            <w:r>
              <w:rPr>
                <w:rFonts w:hint="eastAsia"/>
              </w:rPr>
              <w:t>乡村产业用地建设控制指标</w:t>
            </w:r>
          </w:p>
        </w:tc>
      </w:tr>
      <w:tr>
        <w:tblPrEx>
          <w:tblCellMar>
            <w:top w:w="0" w:type="dxa"/>
            <w:left w:w="108" w:type="dxa"/>
            <w:bottom w:w="0" w:type="dxa"/>
            <w:right w:w="108" w:type="dxa"/>
          </w:tblCellMar>
        </w:tblPrEx>
        <w:trPr>
          <w:trHeight w:val="706" w:hRule="atLeast"/>
        </w:trPr>
        <w:tc>
          <w:tcPr>
            <w:tcW w:w="1000"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96"/>
              <w:rPr>
                <w:sz w:val="24"/>
                <w:szCs w:val="24"/>
              </w:rPr>
            </w:pPr>
            <w:r>
              <w:rPr>
                <w:rFonts w:hint="eastAsia"/>
                <w:sz w:val="24"/>
                <w:szCs w:val="24"/>
              </w:rPr>
              <w:t>用地类型</w:t>
            </w:r>
          </w:p>
        </w:tc>
        <w:tc>
          <w:tcPr>
            <w:tcW w:w="792" w:type="pct"/>
            <w:tcBorders>
              <w:top w:val="single" w:color="auto" w:sz="4" w:space="0"/>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容积率</w:t>
            </w:r>
          </w:p>
        </w:tc>
        <w:tc>
          <w:tcPr>
            <w:tcW w:w="1209" w:type="pct"/>
            <w:tcBorders>
              <w:top w:val="single" w:color="auto" w:sz="4" w:space="0"/>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建筑密度（系数）</w:t>
            </w:r>
          </w:p>
        </w:tc>
        <w:tc>
          <w:tcPr>
            <w:tcW w:w="1182" w:type="pct"/>
            <w:tcBorders>
              <w:top w:val="single" w:color="auto" w:sz="4" w:space="0"/>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办公及配套设施用地所占比例</w:t>
            </w:r>
          </w:p>
        </w:tc>
        <w:tc>
          <w:tcPr>
            <w:tcW w:w="817" w:type="pct"/>
            <w:tcBorders>
              <w:top w:val="single" w:color="auto" w:sz="4" w:space="0"/>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建筑限高</w:t>
            </w:r>
          </w:p>
        </w:tc>
      </w:tr>
      <w:tr>
        <w:tblPrEx>
          <w:tblCellMar>
            <w:top w:w="0" w:type="dxa"/>
            <w:left w:w="108" w:type="dxa"/>
            <w:bottom w:w="0" w:type="dxa"/>
            <w:right w:w="108" w:type="dxa"/>
          </w:tblCellMar>
        </w:tblPrEx>
        <w:trPr>
          <w:trHeight w:val="288" w:hRule="atLeast"/>
        </w:trPr>
        <w:tc>
          <w:tcPr>
            <w:tcW w:w="1000" w:type="pct"/>
            <w:tcBorders>
              <w:top w:val="nil"/>
              <w:left w:val="single" w:color="auto" w:sz="4" w:space="0"/>
              <w:bottom w:val="single" w:color="auto" w:sz="4" w:space="0"/>
              <w:right w:val="single" w:color="auto" w:sz="4" w:space="0"/>
            </w:tcBorders>
            <w:shd w:val="clear" w:color="auto" w:fill="auto"/>
            <w:noWrap/>
            <w:vAlign w:val="center"/>
          </w:tcPr>
          <w:p>
            <w:pPr>
              <w:pStyle w:val="96"/>
              <w:rPr>
                <w:sz w:val="24"/>
                <w:szCs w:val="24"/>
              </w:rPr>
            </w:pPr>
            <w:r>
              <w:rPr>
                <w:rFonts w:hint="eastAsia"/>
                <w:sz w:val="24"/>
                <w:szCs w:val="24"/>
              </w:rPr>
              <w:t>工业</w:t>
            </w:r>
          </w:p>
        </w:tc>
        <w:tc>
          <w:tcPr>
            <w:tcW w:w="792" w:type="pct"/>
            <w:tcBorders>
              <w:top w:val="nil"/>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＞1.0</w:t>
            </w:r>
          </w:p>
        </w:tc>
        <w:tc>
          <w:tcPr>
            <w:tcW w:w="1209" w:type="pct"/>
            <w:tcBorders>
              <w:top w:val="nil"/>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＞40%</w:t>
            </w:r>
          </w:p>
        </w:tc>
        <w:tc>
          <w:tcPr>
            <w:tcW w:w="1182" w:type="pct"/>
            <w:tcBorders>
              <w:top w:val="nil"/>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＜7%</w:t>
            </w:r>
          </w:p>
        </w:tc>
        <w:tc>
          <w:tcPr>
            <w:tcW w:w="817" w:type="pct"/>
            <w:tcBorders>
              <w:top w:val="nil"/>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＜15</w:t>
            </w:r>
          </w:p>
        </w:tc>
      </w:tr>
      <w:tr>
        <w:tblPrEx>
          <w:tblCellMar>
            <w:top w:w="0" w:type="dxa"/>
            <w:left w:w="108" w:type="dxa"/>
            <w:bottom w:w="0" w:type="dxa"/>
            <w:right w:w="108" w:type="dxa"/>
          </w:tblCellMar>
        </w:tblPrEx>
        <w:trPr>
          <w:trHeight w:val="288" w:hRule="atLeast"/>
        </w:trPr>
        <w:tc>
          <w:tcPr>
            <w:tcW w:w="1000" w:type="pct"/>
            <w:tcBorders>
              <w:top w:val="nil"/>
              <w:left w:val="single" w:color="auto" w:sz="4" w:space="0"/>
              <w:bottom w:val="single" w:color="auto" w:sz="4" w:space="0"/>
              <w:right w:val="single" w:color="auto" w:sz="4" w:space="0"/>
            </w:tcBorders>
            <w:shd w:val="clear" w:color="auto" w:fill="auto"/>
            <w:noWrap/>
            <w:vAlign w:val="center"/>
          </w:tcPr>
          <w:p>
            <w:pPr>
              <w:pStyle w:val="96"/>
              <w:rPr>
                <w:sz w:val="24"/>
                <w:szCs w:val="24"/>
              </w:rPr>
            </w:pPr>
            <w:r>
              <w:rPr>
                <w:rFonts w:hint="eastAsia"/>
                <w:sz w:val="24"/>
                <w:szCs w:val="24"/>
              </w:rPr>
              <w:t>仓储</w:t>
            </w:r>
          </w:p>
        </w:tc>
        <w:tc>
          <w:tcPr>
            <w:tcW w:w="792" w:type="pct"/>
            <w:tcBorders>
              <w:top w:val="nil"/>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＞1.0</w:t>
            </w:r>
          </w:p>
        </w:tc>
        <w:tc>
          <w:tcPr>
            <w:tcW w:w="1209" w:type="pct"/>
            <w:tcBorders>
              <w:top w:val="nil"/>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＞40%</w:t>
            </w:r>
          </w:p>
        </w:tc>
        <w:tc>
          <w:tcPr>
            <w:tcW w:w="1182" w:type="pct"/>
            <w:tcBorders>
              <w:top w:val="nil"/>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＜7%</w:t>
            </w:r>
          </w:p>
        </w:tc>
        <w:tc>
          <w:tcPr>
            <w:tcW w:w="817" w:type="pct"/>
            <w:tcBorders>
              <w:top w:val="nil"/>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＜15</w:t>
            </w:r>
          </w:p>
        </w:tc>
      </w:tr>
      <w:tr>
        <w:tblPrEx>
          <w:tblCellMar>
            <w:top w:w="0" w:type="dxa"/>
            <w:left w:w="108" w:type="dxa"/>
            <w:bottom w:w="0" w:type="dxa"/>
            <w:right w:w="108" w:type="dxa"/>
          </w:tblCellMar>
        </w:tblPrEx>
        <w:trPr>
          <w:trHeight w:val="288" w:hRule="atLeast"/>
        </w:trPr>
        <w:tc>
          <w:tcPr>
            <w:tcW w:w="1000" w:type="pct"/>
            <w:tcBorders>
              <w:top w:val="nil"/>
              <w:left w:val="single" w:color="auto" w:sz="4" w:space="0"/>
              <w:bottom w:val="single" w:color="auto" w:sz="4" w:space="0"/>
              <w:right w:val="single" w:color="auto" w:sz="4" w:space="0"/>
            </w:tcBorders>
            <w:shd w:val="clear" w:color="auto" w:fill="auto"/>
            <w:noWrap/>
            <w:vAlign w:val="center"/>
          </w:tcPr>
          <w:p>
            <w:pPr>
              <w:pStyle w:val="96"/>
              <w:rPr>
                <w:sz w:val="24"/>
                <w:szCs w:val="24"/>
              </w:rPr>
            </w:pPr>
            <w:r>
              <w:rPr>
                <w:rFonts w:hint="eastAsia"/>
                <w:sz w:val="24"/>
                <w:szCs w:val="24"/>
              </w:rPr>
              <w:t>商业</w:t>
            </w:r>
          </w:p>
        </w:tc>
        <w:tc>
          <w:tcPr>
            <w:tcW w:w="792" w:type="pct"/>
            <w:tcBorders>
              <w:top w:val="nil"/>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＜1.5</w:t>
            </w:r>
          </w:p>
        </w:tc>
        <w:tc>
          <w:tcPr>
            <w:tcW w:w="1209" w:type="pct"/>
            <w:tcBorders>
              <w:top w:val="nil"/>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＜40%</w:t>
            </w:r>
          </w:p>
        </w:tc>
        <w:tc>
          <w:tcPr>
            <w:tcW w:w="1182" w:type="pct"/>
            <w:tcBorders>
              <w:top w:val="nil"/>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＜20%</w:t>
            </w:r>
          </w:p>
        </w:tc>
        <w:tc>
          <w:tcPr>
            <w:tcW w:w="817" w:type="pct"/>
            <w:tcBorders>
              <w:top w:val="nil"/>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＜15</w:t>
            </w:r>
          </w:p>
        </w:tc>
      </w:tr>
      <w:tr>
        <w:tblPrEx>
          <w:tblCellMar>
            <w:top w:w="0" w:type="dxa"/>
            <w:left w:w="108" w:type="dxa"/>
            <w:bottom w:w="0" w:type="dxa"/>
            <w:right w:w="108" w:type="dxa"/>
          </w:tblCellMar>
        </w:tblPrEx>
        <w:trPr>
          <w:trHeight w:val="288" w:hRule="atLeast"/>
        </w:trPr>
        <w:tc>
          <w:tcPr>
            <w:tcW w:w="1000" w:type="pct"/>
            <w:tcBorders>
              <w:top w:val="nil"/>
              <w:left w:val="single" w:color="auto" w:sz="4" w:space="0"/>
              <w:bottom w:val="single" w:color="auto" w:sz="4" w:space="0"/>
              <w:right w:val="single" w:color="auto" w:sz="4" w:space="0"/>
            </w:tcBorders>
            <w:shd w:val="clear" w:color="auto" w:fill="auto"/>
            <w:noWrap/>
            <w:vAlign w:val="center"/>
          </w:tcPr>
          <w:p>
            <w:pPr>
              <w:pStyle w:val="96"/>
              <w:rPr>
                <w:sz w:val="24"/>
                <w:szCs w:val="24"/>
              </w:rPr>
            </w:pPr>
            <w:r>
              <w:rPr>
                <w:rFonts w:hint="eastAsia"/>
                <w:sz w:val="24"/>
                <w:szCs w:val="24"/>
              </w:rPr>
              <w:t>其他</w:t>
            </w:r>
          </w:p>
        </w:tc>
        <w:tc>
          <w:tcPr>
            <w:tcW w:w="792" w:type="pct"/>
            <w:tcBorders>
              <w:top w:val="nil"/>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＜1.5</w:t>
            </w:r>
          </w:p>
        </w:tc>
        <w:tc>
          <w:tcPr>
            <w:tcW w:w="1209" w:type="pct"/>
            <w:tcBorders>
              <w:top w:val="nil"/>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＜35%</w:t>
            </w:r>
          </w:p>
        </w:tc>
        <w:tc>
          <w:tcPr>
            <w:tcW w:w="1182" w:type="pct"/>
            <w:tcBorders>
              <w:top w:val="nil"/>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＞35%</w:t>
            </w:r>
          </w:p>
        </w:tc>
        <w:tc>
          <w:tcPr>
            <w:tcW w:w="817" w:type="pct"/>
            <w:tcBorders>
              <w:top w:val="nil"/>
              <w:left w:val="nil"/>
              <w:bottom w:val="single" w:color="auto" w:sz="4" w:space="0"/>
              <w:right w:val="single" w:color="auto" w:sz="4" w:space="0"/>
            </w:tcBorders>
            <w:shd w:val="clear" w:color="auto" w:fill="auto"/>
            <w:vAlign w:val="center"/>
          </w:tcPr>
          <w:p>
            <w:pPr>
              <w:pStyle w:val="96"/>
              <w:rPr>
                <w:sz w:val="24"/>
                <w:szCs w:val="24"/>
              </w:rPr>
            </w:pPr>
            <w:r>
              <w:rPr>
                <w:rFonts w:hint="eastAsia"/>
                <w:sz w:val="24"/>
                <w:szCs w:val="24"/>
              </w:rPr>
              <w:t>＜15</w:t>
            </w:r>
          </w:p>
        </w:tc>
      </w:tr>
    </w:tbl>
    <w:p>
      <w:pPr>
        <w:ind w:firstLine="640"/>
      </w:pPr>
      <w:r>
        <w:rPr>
          <w:rFonts w:hint="eastAsia"/>
        </w:rPr>
        <w:t>对于远离村庄居民点的产业类项目，在符合国家相关规定且不影响周边相邻方相关权益的情况下，建筑限高可适当提高，最高不超过24（不包括）米。畜牧养殖类产业须符合环保有关政策规定。</w:t>
      </w:r>
    </w:p>
    <w:p>
      <w:pPr>
        <w:ind w:firstLine="640"/>
      </w:pPr>
      <w:r>
        <w:rPr>
          <w:rFonts w:hint="eastAsia"/>
        </w:rPr>
        <w:t>产业类项目建筑间距、建筑退界须满消防规范规定，不影响周边相邻权益的日照采光要求。</w:t>
      </w:r>
    </w:p>
    <w:p>
      <w:pPr>
        <w:ind w:firstLine="640"/>
      </w:pPr>
      <w:r>
        <w:rPr>
          <w:rFonts w:hint="eastAsia"/>
        </w:rPr>
        <w:t>鼓励产业空间用地实行复合利用。他产业用地在符合环保、安全条件下，用地性质可兼容。</w:t>
      </w:r>
    </w:p>
    <w:p>
      <w:pPr>
        <w:ind w:firstLine="640"/>
      </w:pPr>
      <w:r>
        <w:rPr>
          <w:rFonts w:hint="eastAsia"/>
        </w:rPr>
        <w:t>镇国土空间规划或村庄规划中的“预留机动指标”，可用于保障暂时无法确定位置的村民居住、农村公共公益设施以及零星公散的农（矿）产品初加工、乡村文旅设施、农村新产业新业态等一二三产业融合发展用地需求。机动指标不得超过本镇预留机动指标。</w:t>
      </w:r>
    </w:p>
    <w:p>
      <w:pPr>
        <w:ind w:firstLine="640"/>
      </w:pPr>
      <w:r>
        <w:rPr>
          <w:rFonts w:hint="eastAsia"/>
        </w:rPr>
        <w:t>村庄规划确定的“留白”用地，经村民委会员讨论、镇乡村规划委员会审议通过，报自然资源局同意后，可按程序报建相应项目。</w:t>
      </w:r>
    </w:p>
    <w:p>
      <w:pPr>
        <w:ind w:firstLine="640"/>
      </w:pPr>
      <w:r>
        <w:rPr>
          <w:rFonts w:hint="eastAsia"/>
        </w:rPr>
        <w:t>使用预留机动指标或留白用地的，除符合国土产业相关政策外，经县规划委员会审议。</w:t>
      </w:r>
    </w:p>
    <w:p>
      <w:pPr>
        <w:ind w:firstLine="640"/>
      </w:pPr>
      <w:r>
        <w:rPr>
          <w:rFonts w:hint="eastAsia"/>
        </w:rPr>
        <w:t>在产业类项目实施过程中，在不突破镇国土空间规划或村庄规划强制性指标情况下，为实现更好管控，可独立编制地块管控图则，报县规划委员会审议同意后实施。</w:t>
      </w:r>
    </w:p>
    <w:p>
      <w:pPr>
        <w:ind w:firstLine="640"/>
      </w:pPr>
      <w:r>
        <w:rPr>
          <w:rFonts w:hint="eastAsia"/>
        </w:rPr>
        <w:t>使用按程序使用“留白”或“预留机动指标”的，待用地手续批准后，更新国土空间“一张图”。</w:t>
      </w:r>
    </w:p>
    <w:p>
      <w:pPr>
        <w:pStyle w:val="4"/>
      </w:pPr>
      <w:r>
        <w:rPr>
          <w:rFonts w:hint="eastAsia"/>
        </w:rPr>
        <w:t>历史文化保护</w:t>
      </w:r>
    </w:p>
    <w:p>
      <w:pPr>
        <w:ind w:firstLine="640"/>
        <w:rPr>
          <w:kern w:val="0"/>
          <w:lang w:bidi="ar"/>
        </w:rPr>
      </w:pPr>
      <w:r>
        <w:rPr>
          <w:rFonts w:hint="eastAsia"/>
        </w:rPr>
        <w:t>落实市、乡镇规划确定的历史文化保护控制线，加强</w:t>
      </w:r>
      <w:r>
        <w:rPr>
          <w:rFonts w:hint="eastAsia"/>
          <w:kern w:val="0"/>
          <w:lang w:bidi="ar"/>
        </w:rPr>
        <w:t>历史文化要素管控。</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4"/>
        <w:gridCol w:w="64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5000" w:type="pct"/>
            <w:gridSpan w:val="2"/>
            <w:vAlign w:val="center"/>
          </w:tcPr>
          <w:p>
            <w:pPr>
              <w:pStyle w:val="98"/>
              <w:rPr>
                <w:lang w:val="zh-CN"/>
              </w:rPr>
            </w:pPr>
            <w:r>
              <w:rPr>
                <w:rFonts w:hint="eastAsia"/>
                <w:lang w:val="zh-CN"/>
              </w:rPr>
              <w:t>专栏14-</w:t>
            </w:r>
            <w:r>
              <w:rPr>
                <w:lang w:val="zh-CN"/>
              </w:rPr>
              <w:t xml:space="preserve">11 </w:t>
            </w:r>
            <w:r>
              <w:rPr>
                <w:rFonts w:hint="eastAsia"/>
                <w:lang w:val="zh-CN"/>
              </w:rPr>
              <w:t>历史文化要素管控要求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rPr>
                <w:sz w:val="24"/>
                <w:szCs w:val="24"/>
                <w:lang w:val="zh-CN"/>
              </w:rPr>
            </w:pPr>
            <w:r>
              <w:rPr>
                <w:rFonts w:hint="eastAsia"/>
                <w:sz w:val="24"/>
                <w:szCs w:val="24"/>
                <w:lang w:val="zh-CN"/>
              </w:rPr>
              <w:t>历史文化要素</w:t>
            </w:r>
          </w:p>
        </w:tc>
        <w:tc>
          <w:tcPr>
            <w:tcW w:w="3807" w:type="pct"/>
            <w:vAlign w:val="center"/>
          </w:tcPr>
          <w:p>
            <w:pPr>
              <w:pStyle w:val="96"/>
              <w:rPr>
                <w:sz w:val="24"/>
                <w:szCs w:val="24"/>
                <w:lang w:val="zh-CN"/>
              </w:rPr>
            </w:pPr>
            <w:r>
              <w:rPr>
                <w:rFonts w:hint="eastAsia"/>
                <w:sz w:val="24"/>
                <w:szCs w:val="24"/>
                <w:lang w:val="zh-CN"/>
              </w:rPr>
              <w:t>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rPr>
                <w:sz w:val="24"/>
                <w:szCs w:val="24"/>
                <w:lang w:val="zh-CN"/>
              </w:rPr>
            </w:pPr>
            <w:r>
              <w:rPr>
                <w:rFonts w:hint="eastAsia"/>
                <w:sz w:val="24"/>
                <w:szCs w:val="24"/>
                <w:lang w:val="zh-CN"/>
              </w:rPr>
              <w:t>文物保护单位</w:t>
            </w:r>
          </w:p>
        </w:tc>
        <w:tc>
          <w:tcPr>
            <w:tcW w:w="3807" w:type="pct"/>
            <w:vAlign w:val="center"/>
          </w:tcPr>
          <w:p>
            <w:pPr>
              <w:pStyle w:val="96"/>
              <w:jc w:val="left"/>
              <w:rPr>
                <w:sz w:val="24"/>
                <w:szCs w:val="24"/>
                <w:lang w:val="zh-CN"/>
              </w:rPr>
            </w:pPr>
            <w:r>
              <w:rPr>
                <w:rFonts w:hint="eastAsia"/>
                <w:sz w:val="24"/>
                <w:szCs w:val="24"/>
                <w:lang w:val="zh-CN"/>
              </w:rPr>
              <w:t>各级文物保护单位的保护范围和建设控制地带以及地下文物埋藏区的界线，以各级人民政府公布的保护范围、建设控制地带为准。应严格按照《文物法》相关规定和程序进行保护和修缮。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rPr>
                <w:sz w:val="24"/>
                <w:szCs w:val="24"/>
                <w:lang w:val="zh-CN"/>
              </w:rPr>
            </w:pPr>
            <w:r>
              <w:rPr>
                <w:rFonts w:hint="eastAsia"/>
                <w:sz w:val="24"/>
                <w:szCs w:val="24"/>
                <w:lang w:val="zh-CN"/>
              </w:rPr>
              <w:t>历史建筑</w:t>
            </w:r>
          </w:p>
        </w:tc>
        <w:tc>
          <w:tcPr>
            <w:tcW w:w="3807" w:type="pct"/>
            <w:vAlign w:val="center"/>
          </w:tcPr>
          <w:p>
            <w:pPr>
              <w:pStyle w:val="96"/>
              <w:jc w:val="left"/>
              <w:rPr>
                <w:sz w:val="24"/>
                <w:szCs w:val="24"/>
                <w:lang w:val="zh-CN"/>
              </w:rPr>
            </w:pPr>
            <w:r>
              <w:rPr>
                <w:rFonts w:hint="eastAsia"/>
                <w:sz w:val="24"/>
                <w:szCs w:val="24"/>
                <w:lang w:val="zh-CN"/>
              </w:rPr>
              <w:t>1）采取整体保护、严格保护的措施，确保整体风貌的完整性。</w:t>
            </w:r>
          </w:p>
          <w:p>
            <w:pPr>
              <w:pStyle w:val="96"/>
              <w:jc w:val="left"/>
              <w:rPr>
                <w:sz w:val="24"/>
                <w:szCs w:val="24"/>
                <w:lang w:val="zh-CN"/>
              </w:rPr>
            </w:pPr>
            <w:r>
              <w:rPr>
                <w:rFonts w:hint="eastAsia"/>
                <w:sz w:val="24"/>
                <w:szCs w:val="24"/>
                <w:lang w:val="zh-CN"/>
              </w:rPr>
              <w:t>2）树立保护标志和其他保护设施，明确保护范围界线。</w:t>
            </w:r>
          </w:p>
          <w:p>
            <w:pPr>
              <w:pStyle w:val="96"/>
              <w:jc w:val="left"/>
              <w:rPr>
                <w:sz w:val="24"/>
                <w:szCs w:val="24"/>
                <w:lang w:val="zh-CN"/>
              </w:rPr>
            </w:pPr>
            <w:r>
              <w:rPr>
                <w:rFonts w:hint="eastAsia"/>
                <w:sz w:val="24"/>
                <w:szCs w:val="24"/>
                <w:lang w:val="zh-CN"/>
              </w:rPr>
              <w:t>3）保护传统的街巷格局，保护街巷空间的比例、尺度和材质。</w:t>
            </w:r>
          </w:p>
          <w:p>
            <w:pPr>
              <w:pStyle w:val="96"/>
              <w:jc w:val="left"/>
              <w:rPr>
                <w:sz w:val="24"/>
                <w:szCs w:val="24"/>
                <w:lang w:val="zh-CN"/>
              </w:rPr>
            </w:pPr>
            <w:r>
              <w:rPr>
                <w:rFonts w:hint="eastAsia"/>
                <w:sz w:val="24"/>
                <w:szCs w:val="24"/>
                <w:lang w:val="zh-CN"/>
              </w:rPr>
              <w:t>4）建筑处理应尊重历史，力求保持原貌，严格控制建筑形式、高度、体量、材料、色彩及比例、尺度。</w:t>
            </w:r>
          </w:p>
          <w:p>
            <w:pPr>
              <w:pStyle w:val="96"/>
              <w:jc w:val="left"/>
              <w:rPr>
                <w:sz w:val="24"/>
                <w:szCs w:val="24"/>
                <w:lang w:val="zh-CN"/>
              </w:rPr>
            </w:pPr>
            <w:r>
              <w:rPr>
                <w:rFonts w:hint="eastAsia"/>
                <w:sz w:val="24"/>
                <w:szCs w:val="24"/>
                <w:lang w:val="zh-CN"/>
              </w:rPr>
              <w:t>5）传统建筑一般外部按历史风貌要求保护修缮，内部可进行既符合传统特点又适应现代生活需要的更新改造，改善使用条件。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rPr>
                <w:sz w:val="24"/>
                <w:szCs w:val="24"/>
                <w:lang w:val="zh-CN"/>
              </w:rPr>
            </w:pPr>
            <w:r>
              <w:rPr>
                <w:rFonts w:hint="eastAsia"/>
                <w:sz w:val="24"/>
                <w:szCs w:val="24"/>
                <w:lang w:val="zh-CN"/>
              </w:rPr>
              <w:t>古井、古桥、古树</w:t>
            </w:r>
          </w:p>
        </w:tc>
        <w:tc>
          <w:tcPr>
            <w:tcW w:w="3807" w:type="pct"/>
            <w:vAlign w:val="center"/>
          </w:tcPr>
          <w:p>
            <w:pPr>
              <w:pStyle w:val="96"/>
              <w:jc w:val="left"/>
              <w:rPr>
                <w:sz w:val="24"/>
                <w:szCs w:val="24"/>
                <w:lang w:val="zh-CN"/>
              </w:rPr>
            </w:pPr>
            <w:r>
              <w:rPr>
                <w:rFonts w:hint="eastAsia"/>
                <w:sz w:val="24"/>
                <w:szCs w:val="24"/>
                <w:lang w:val="zh-CN"/>
              </w:rPr>
              <w:t>对古井、古桥、古树等环境要素实行“挂牌”保护。</w:t>
            </w:r>
          </w:p>
        </w:tc>
      </w:tr>
    </w:tbl>
    <w:p>
      <w:pPr>
        <w:ind w:firstLine="640"/>
      </w:pPr>
      <w:r>
        <w:rPr>
          <w:rFonts w:hint="eastAsia"/>
        </w:rPr>
        <w:t>切实加强保护。保护范围内禁止新建其他无关建（构）筑物；不得损害历史文化街区、历史建筑、传统村落的原真性和完整性；不得破坏历史文化街区的历史肌理、历史街巷、空间尺度和景观环境 ,以及古井、古桥、古树等环境要素。</w:t>
      </w:r>
    </w:p>
    <w:p>
      <w:pPr>
        <w:ind w:firstLine="640"/>
      </w:pPr>
      <w:r>
        <w:rPr>
          <w:rFonts w:hint="eastAsia"/>
        </w:rPr>
        <w:t>全面修缮维护。采用“绣花”“织补”等微改造方式，充分利用修缮技艺传承人和传统工匠,结合建筑原有形制、结构、材料，运用传统工艺和现代技术，进行修缮加固，保护、延续传统建筑组群的传统格局特征和风貌特色，让不同时代的建筑完整保留城乡发展变迁的脉络，体现价值特色。</w:t>
      </w:r>
    </w:p>
    <w:p>
      <w:pPr>
        <w:ind w:firstLine="640"/>
      </w:pPr>
      <w:r>
        <w:rPr>
          <w:rFonts w:hint="eastAsia"/>
        </w:rPr>
        <w:t>合理开发利用。在风貌协调区，积极引进新业态，利用市场营销的手段，将新兴产业和传统商业引入历史文化街区和历史建筑中，把历史文化街区开发成为保存城乡记忆、延续历史文脉、滋养地域风格的重要载体和平台。坚持“留、改、拆”并举，以“保护、利用、提升”为主的原则,严防大拆大建、拆真建假。在保持历史建筑原有外观风貌、典型构件的基础上，改善内部空间品质，合理增设厨卫设施、适老化设施、消防安全设施等，通过加建、改建和添加设施等方式使之适应现代生产生活需要。保护开发传统村落,建设文化活动场地、老年活动场所、中小学社会实践教育基地、文创基地等公共服务设施，促进生态农业、乡村旅游发展，推动乡村振兴。系统梳理文物资源，深入挖掘其历史价值和旅游资源禀赋，将文物保护与乡村建设统筹结合。鼓励历史文化名城名镇博物馆建设，有条件的名村设立村史馆，通过专项陈列展览和各类教育活动，强化基本公共文化服务功能。</w:t>
      </w:r>
    </w:p>
    <w:p>
      <w:pPr>
        <w:pStyle w:val="4"/>
      </w:pPr>
      <w:r>
        <w:t>防灾减灾管控</w:t>
      </w:r>
    </w:p>
    <w:p>
      <w:pPr>
        <w:ind w:firstLine="640"/>
      </w:pPr>
      <w:r>
        <w:t>加强村庄消防设施建设。根据村庄规模、区域条件、经济发展状况等因素设置消防点。消防点应满足如下要求：</w:t>
      </w:r>
      <w:r>
        <w:rPr>
          <w:rFonts w:hint="eastAsia"/>
        </w:rPr>
        <w:t>有固定的地点和房屋建筑，并有明显标识。配备消防车、手抬机动泵、水枪、水带、灭火器、破拆工具等全部或部分消防设备。设置火警电话和消防值班人员。有专职、义务或志愿消防队员。</w:t>
      </w:r>
    </w:p>
    <w:p>
      <w:pPr>
        <w:ind w:firstLine="640"/>
      </w:pPr>
      <w:r>
        <w:t>村庄应配备消防水源、消防设备。消防水源可结合村庄实际环境条件，充分利用给水管网、水池、坑塘天然水源和消防水池等作为消防水源。充分利用满足一定灭火要求的农用车、洒水车、灌溉机动泵等农用设施作为消防装备的补充。</w:t>
      </w:r>
    </w:p>
    <w:p>
      <w:pPr>
        <w:ind w:firstLine="640"/>
      </w:pPr>
      <w:r>
        <w:t>各行政村应建立相应的消防安全组织，确定消防安全人员，制定防火安全制度，进行消防安全检查，开展消防安全教育，落实消防安全责任，配备必要的消防力量和消防器材装备。</w:t>
      </w:r>
    </w:p>
    <w:p>
      <w:pPr>
        <w:ind w:firstLine="640"/>
      </w:pPr>
      <w:r>
        <w:t>村庄范围内的建筑一般按照7度抗震烈度设防；供水供电等生命线工程按照8度抗震烈度设防，确保震时供水、供电、通讯、医务室等生命线工程设施的有效供给。</w:t>
      </w:r>
    </w:p>
    <w:p>
      <w:pPr>
        <w:ind w:firstLine="640"/>
      </w:pPr>
      <w:r>
        <w:t>村庄防洪及排涝标准按10年一遇设防。</w:t>
      </w:r>
    </w:p>
    <w:p>
      <w:pPr>
        <w:ind w:firstLine="640"/>
      </w:pPr>
      <w:r>
        <w:t>农村建设项目不得在地质灾害危险区、洪涝灾害频发区、河道管理范围内、地下采空区和地展断裂带等危险区域建设，应当避让蓄滞洪区等低洼地区。</w:t>
      </w:r>
    </w:p>
    <w:p>
      <w:pPr>
        <w:pStyle w:val="4"/>
      </w:pPr>
      <w:r>
        <w:t>环境综合整治管控</w:t>
      </w:r>
    </w:p>
    <w:p>
      <w:pPr>
        <w:ind w:firstLine="640"/>
      </w:pPr>
      <w:r>
        <w:t>加大村庄交通、供水、绿化、公共照明、医疗、垃圾处理、厕所、污水处理等基础设施和公共服务设施建设与整治，持续改善农村人居环境。</w:t>
      </w:r>
    </w:p>
    <w:p>
      <w:pPr>
        <w:ind w:firstLine="640"/>
      </w:pPr>
      <w:r>
        <w:t>围绕村庄道路、建筑风貌、村庄院落、坑塘水面、残垣断壁、环境卫生等重点，开展村庄环境综合整治，构建干净、整洁、有序的乡村空间，提升村庄整体品位。</w:t>
      </w:r>
    </w:p>
    <w:p>
      <w:pPr>
        <w:ind w:firstLine="640"/>
      </w:pPr>
      <w:r>
        <w:t>遵循村庄现有道路网格局，尊重原有道路肌理，避免大拆大建，对村庄道路进行改造、整治和提升。对破损的路面进行修整，对未硬化道路进行硬化，对未亮化的道路进行亮化，对空中凌乱线路进行整治整合提升，敷设各类管线，同步建设燃气、给、排水设施，营造良好的村庄交通环境，方便村民生活与出行。</w:t>
      </w:r>
    </w:p>
    <w:p>
      <w:pPr>
        <w:ind w:firstLine="640"/>
      </w:pPr>
      <w:r>
        <w:t>持续开展农村4G网络优化，加快推进农村5G网络建设，加强农村广电和移动基站建设与维护，提升农村网络覆盖质量，打造数字乡村、智慧乡村。</w:t>
      </w:r>
    </w:p>
    <w:p>
      <w:pPr>
        <w:ind w:firstLine="640"/>
      </w:pPr>
      <w:r>
        <w:t>重点清理侵街占道、私搭乱建等违章建筑和残垣断壁，街巷两侧禁止随意堆放物品，柴草、杂物、建筑材料等。有效利用村内空闲地、边角地等闲置建设用地，开展水旁、路旁、宅旁、村旁绿化，沿村庄主要道路种植乔木、灌木、地被等乡土植物，对重要节点进行整治绿化，建设小微游园、小微广场，提升村庄“颜值”。</w:t>
      </w:r>
    </w:p>
    <w:p>
      <w:pPr>
        <w:ind w:firstLine="640"/>
      </w:pPr>
      <w:r>
        <w:t>加大农村环卫设施建设，每村70-100米规划设置一个垃圾筒，集中设置一个垃圾收集点，建立一支专业环卫保洁队全，实现农村垃圾“村收、镇运、市处”。</w:t>
      </w:r>
    </w:p>
    <w:p>
      <w:pPr>
        <w:ind w:firstLine="640"/>
      </w:pPr>
      <w:r>
        <w:t>加快农村污水管网建设，因村制宜，整治废旧坑塘、河道、黑臭水体。推动生活污水治理、厕所粪污与绿色农业发展有机结合，提升农村治污水平。</w:t>
      </w:r>
    </w:p>
    <w:p>
      <w:pPr>
        <w:ind w:firstLine="640"/>
      </w:pPr>
      <w:r>
        <w:t>农村生活污水不得直接外排，宜经过化粪池或沼气池等污水处理设施处理达标后排放。</w:t>
      </w:r>
    </w:p>
    <w:p>
      <w:pPr>
        <w:ind w:firstLine="640"/>
      </w:pPr>
      <w:r>
        <w:t>围绕“去危房、整旧房、治违房、提风貌”的目的，重点开展房前屋后整治提升。对与村庄整体风貌不完全一致的建筑外观加以整修；对影响环境的危旧房和乱搭乱建的附房进行整治和拆除，消除安全隐患，提升村容村貌。</w:t>
      </w:r>
    </w:p>
    <w:p>
      <w:pPr>
        <w:spacing w:before="65"/>
        <w:ind w:firstLine="640"/>
        <w:rPr>
          <w:lang w:bidi="ar"/>
        </w:rPr>
      </w:pPr>
    </w:p>
    <w:p>
      <w:pPr>
        <w:spacing w:before="65"/>
        <w:ind w:firstLine="640"/>
        <w:rPr>
          <w:lang w:bidi="ar"/>
        </w:rPr>
      </w:pPr>
      <w:r>
        <w:rPr>
          <w:lang w:bidi="ar"/>
        </w:rPr>
        <w:br w:type="page"/>
      </w:r>
    </w:p>
    <w:p>
      <w:pPr>
        <w:pStyle w:val="2"/>
        <w:spacing w:before="489" w:beforeLines="150" w:after="489" w:afterLines="150"/>
      </w:pPr>
      <w:bookmarkStart w:id="142" w:name="_Toc221006230"/>
      <w:r>
        <w:rPr>
          <w:rFonts w:hint="eastAsia"/>
        </w:rPr>
        <w:t>实施保障</w:t>
      </w:r>
      <w:bookmarkEnd w:id="142"/>
    </w:p>
    <w:p>
      <w:pPr>
        <w:pStyle w:val="3"/>
        <w:spacing w:before="326" w:beforeLines="100" w:after="326" w:afterLines="100"/>
      </w:pPr>
      <w:bookmarkStart w:id="143" w:name="_Toc183017820"/>
      <w:r>
        <w:rPr>
          <w:rFonts w:hint="eastAsia"/>
        </w:rPr>
        <w:t>近期行动计划制定</w:t>
      </w:r>
      <w:bookmarkEnd w:id="143"/>
    </w:p>
    <w:p>
      <w:pPr>
        <w:pStyle w:val="4"/>
        <w:spacing w:before="195" w:beforeLines="60" w:after="195" w:afterLines="60" w:line="240" w:lineRule="auto"/>
      </w:pPr>
      <w:r>
        <w:rPr>
          <w:rFonts w:hint="eastAsia"/>
        </w:rPr>
        <w:t>近期实施重点任务</w:t>
      </w:r>
    </w:p>
    <w:p>
      <w:pPr>
        <w:spacing w:before="65"/>
        <w:ind w:firstLine="640"/>
      </w:pPr>
      <w:r>
        <w:rPr>
          <w:rFonts w:hint="eastAsia"/>
        </w:rPr>
        <w:t>编制国土空间五年行动规划和年度实施计划。衔接十四五规划，加强对于国土空间规划目标任务的分解落实和实施推动，统筹各类专项行动，落实重大项目推进要求，滚动编制近期行动以及年度实施计划。</w:t>
      </w:r>
    </w:p>
    <w:p>
      <w:pPr>
        <w:pStyle w:val="4"/>
        <w:spacing w:before="195" w:beforeLines="60" w:after="195" w:afterLines="60" w:line="240" w:lineRule="auto"/>
      </w:pPr>
      <w:r>
        <w:rPr>
          <w:rFonts w:hint="eastAsia"/>
        </w:rPr>
        <w:t>行动计划</w:t>
      </w:r>
    </w:p>
    <w:p>
      <w:pPr>
        <w:spacing w:before="65"/>
        <w:ind w:firstLine="640"/>
      </w:pPr>
      <w:bookmarkStart w:id="144" w:name="_Hlk200566953"/>
      <w:r>
        <w:t>1.</w:t>
      </w:r>
      <w:r>
        <w:rPr>
          <w:rFonts w:hint="eastAsia"/>
        </w:rPr>
        <w:t>生态修复</w:t>
      </w:r>
      <w:r>
        <w:t>类项目</w:t>
      </w:r>
    </w:p>
    <w:p>
      <w:pPr>
        <w:spacing w:before="65"/>
        <w:ind w:firstLine="640"/>
      </w:pPr>
      <w:r>
        <w:rPr>
          <w:rFonts w:hint="eastAsia"/>
        </w:rPr>
        <w:t>重点推进内乡县湍河水环境综合治理项目、南水北调中线工程水源地（南阳片区）历史遗留废弃矿山生态修复示范工程项目（内乡县）</w:t>
      </w:r>
      <w:r>
        <w:t>等2个</w:t>
      </w:r>
      <w:r>
        <w:rPr>
          <w:rFonts w:hint="eastAsia"/>
        </w:rPr>
        <w:t>生态修复</w:t>
      </w:r>
      <w:r>
        <w:t>类项目。</w:t>
      </w:r>
    </w:p>
    <w:p>
      <w:pPr>
        <w:spacing w:before="65"/>
        <w:ind w:firstLine="640"/>
      </w:pPr>
      <w:r>
        <w:t>2.</w:t>
      </w:r>
      <w:r>
        <w:rPr>
          <w:rFonts w:hint="eastAsia"/>
        </w:rPr>
        <w:t>产业发展</w:t>
      </w:r>
      <w:r>
        <w:t>类项目</w:t>
      </w:r>
    </w:p>
    <w:p>
      <w:pPr>
        <w:spacing w:before="65"/>
        <w:ind w:firstLine="640"/>
      </w:pPr>
      <w:r>
        <w:rPr>
          <w:rFonts w:hint="eastAsia"/>
        </w:rPr>
        <w:t>重点推进内乡县塘峪康养小镇建设项目、内乡县夏馆镇游客集散中心、夏馆镇乡村振兴产业园建设项目、大地块村生态文旅康养项目、内乡县北部山区金属矿山尾矿资源综合利用试点建设项目、夏馆镇特色农产品（山珍）交易中心项目、葛条爬村宝曼湾旅游基地建设项目、内乡县中药材产业链融合贯通开发利用项目</w:t>
      </w:r>
      <w:r>
        <w:t>--中药材初加工车间</w:t>
      </w:r>
      <w:r>
        <w:rPr>
          <w:rFonts w:hint="eastAsia"/>
        </w:rPr>
        <w:t>、内乡县中药材产业链融合贯通开发利用项目</w:t>
      </w:r>
      <w:r>
        <w:t>--中药材豫西南物流仓储中心</w:t>
      </w:r>
      <w:r>
        <w:rPr>
          <w:rFonts w:hint="eastAsia"/>
        </w:rPr>
        <w:t>、隆达再生建筑石子加工、南阳金岭冶铸材料加工、内乡县泓鸣再生资源有限公司、得鑫选厂扩建、得鑫选厂尾矿库扩建等1</w:t>
      </w:r>
      <w:r>
        <w:t>4个</w:t>
      </w:r>
      <w:r>
        <w:rPr>
          <w:rFonts w:hint="eastAsia"/>
        </w:rPr>
        <w:t>产业发展</w:t>
      </w:r>
      <w:r>
        <w:t>类项目。</w:t>
      </w:r>
    </w:p>
    <w:p>
      <w:pPr>
        <w:spacing w:before="65"/>
        <w:ind w:firstLine="640"/>
      </w:pPr>
      <w:r>
        <w:t>3.</w:t>
      </w:r>
      <w:r>
        <w:rPr>
          <w:rFonts w:hint="eastAsia"/>
        </w:rPr>
        <w:t>水利</w:t>
      </w:r>
      <w:r>
        <w:t>类项目</w:t>
      </w:r>
    </w:p>
    <w:p>
      <w:pPr>
        <w:spacing w:before="65"/>
        <w:ind w:firstLine="640"/>
      </w:pPr>
      <w:r>
        <w:rPr>
          <w:rFonts w:hint="eastAsia"/>
        </w:rPr>
        <w:t>重点推进内乡县抗旱水源工程圣湖湾水库、南阳青杠树抽水蓄能电站工程、圣湖湾饮水灌溉配套设施建设项目、万沟赵峪水库建设项目等</w:t>
      </w:r>
      <w:r>
        <w:t>4个</w:t>
      </w:r>
      <w:r>
        <w:rPr>
          <w:rFonts w:hint="eastAsia"/>
        </w:rPr>
        <w:t>水利</w:t>
      </w:r>
      <w:r>
        <w:t>类项目。</w:t>
      </w:r>
    </w:p>
    <w:p>
      <w:pPr>
        <w:spacing w:before="65"/>
        <w:ind w:firstLine="640"/>
      </w:pPr>
      <w:r>
        <w:t>4.</w:t>
      </w:r>
      <w:r>
        <w:rPr>
          <w:rFonts w:hint="eastAsia"/>
        </w:rPr>
        <w:t>基础设施</w:t>
      </w:r>
      <w:r>
        <w:t>类项目</w:t>
      </w:r>
    </w:p>
    <w:p>
      <w:pPr>
        <w:spacing w:before="65"/>
        <w:ind w:firstLine="640"/>
      </w:pPr>
      <w:r>
        <w:rPr>
          <w:rFonts w:hint="eastAsia"/>
        </w:rPr>
        <w:t>重点推进</w:t>
      </w:r>
      <w:r>
        <w:t>S243湍源至S329交叉口段公路改建工程</w:t>
      </w:r>
      <w:r>
        <w:rPr>
          <w:rFonts w:hint="eastAsia"/>
        </w:rPr>
        <w:t>、内乡县夏馆镇黄龙村至塘峪村公路工程、嵩县至内乡高速公路南阳段、夏馆镇南环路建设项目、</w:t>
      </w:r>
      <w:r>
        <w:t>35KV葛条爬变电站</w:t>
      </w:r>
      <w:r>
        <w:rPr>
          <w:rFonts w:hint="eastAsia"/>
        </w:rPr>
        <w:t>、青杠树村抽水蓄能电站项目移民安置区、夏馆镇森林防火综合治理建设项目</w:t>
      </w:r>
      <w:r>
        <w:t>--森林防火管护房</w:t>
      </w:r>
      <w:r>
        <w:rPr>
          <w:rFonts w:hint="eastAsia"/>
        </w:rPr>
        <w:t>、夏馆镇森林防火综合治理建设项目</w:t>
      </w:r>
      <w:r>
        <w:t>--北部山区病虫害防治监测站</w:t>
      </w:r>
      <w:r>
        <w:rPr>
          <w:rFonts w:hint="eastAsia"/>
        </w:rPr>
        <w:t>、夏馆镇森林防火综合治理建设项目</w:t>
      </w:r>
      <w:r>
        <w:t>--北部山区森林防灭火综合救援中心</w:t>
      </w:r>
      <w:r>
        <w:rPr>
          <w:rFonts w:hint="eastAsia"/>
        </w:rPr>
        <w:t>、夏馆镇沿河村污水处理收集项目、夏馆镇凤鸣山公墓项目、夏馆忠孝园（公墓）等</w:t>
      </w:r>
      <w:r>
        <w:t>12个</w:t>
      </w:r>
      <w:r>
        <w:rPr>
          <w:rFonts w:hint="eastAsia"/>
        </w:rPr>
        <w:t>基础设施</w:t>
      </w:r>
      <w:r>
        <w:t>类项目。</w:t>
      </w:r>
    </w:p>
    <w:p>
      <w:pPr>
        <w:spacing w:before="65"/>
        <w:ind w:firstLine="640"/>
      </w:pPr>
      <w:r>
        <w:t>5.</w:t>
      </w:r>
      <w:r>
        <w:rPr>
          <w:rFonts w:hint="eastAsia"/>
        </w:rPr>
        <w:t>公共服务设施</w:t>
      </w:r>
      <w:r>
        <w:t>类项目</w:t>
      </w:r>
    </w:p>
    <w:p>
      <w:pPr>
        <w:spacing w:before="65"/>
        <w:ind w:firstLine="640"/>
      </w:pPr>
      <w:r>
        <w:rPr>
          <w:rFonts w:hint="eastAsia"/>
        </w:rPr>
        <w:t>重点推进夏馆镇初中建设项目、内乡县夏馆镇镇北中心小学重建项目、夏馆镇中心幼儿园建设项目、夏馆镇卫生院扩建项目、夏馆镇党群服务中心建设项目等</w:t>
      </w:r>
      <w:r>
        <w:t>5个</w:t>
      </w:r>
      <w:r>
        <w:rPr>
          <w:rFonts w:hint="eastAsia"/>
        </w:rPr>
        <w:t>公共服务设施</w:t>
      </w:r>
      <w:r>
        <w:t>类项目</w:t>
      </w:r>
      <w:bookmarkEnd w:id="144"/>
      <w:r>
        <w:t>。</w:t>
      </w:r>
    </w:p>
    <w:p>
      <w:pPr>
        <w:pStyle w:val="3"/>
        <w:spacing w:before="326" w:beforeLines="100" w:after="326" w:afterLines="100"/>
      </w:pPr>
      <w:bookmarkStart w:id="145" w:name="_Toc183017821"/>
      <w:r>
        <w:rPr>
          <w:rFonts w:hint="eastAsia"/>
        </w:rPr>
        <w:t>规划全周期实施监督管理</w:t>
      </w:r>
      <w:bookmarkEnd w:id="145"/>
    </w:p>
    <w:p>
      <w:pPr>
        <w:pStyle w:val="4"/>
        <w:spacing w:before="195" w:beforeLines="60" w:after="195" w:afterLines="60" w:line="240" w:lineRule="auto"/>
      </w:pPr>
      <w:r>
        <w:rPr>
          <w:rFonts w:hint="eastAsia"/>
        </w:rPr>
        <w:t>提升规划信息化水平</w:t>
      </w:r>
    </w:p>
    <w:p>
      <w:pPr>
        <w:spacing w:before="65"/>
        <w:ind w:firstLine="640"/>
        <w:rPr>
          <w:lang w:bidi="ar"/>
        </w:rPr>
      </w:pPr>
      <w:r>
        <w:rPr>
          <w:rFonts w:hint="eastAsia"/>
          <w:lang w:bidi="ar"/>
        </w:rPr>
        <w:t>形成国土空间规划数据库，数据成果应同步上报，纳入国土空间规划“一张图”实施监督信息系统。</w:t>
      </w:r>
    </w:p>
    <w:p>
      <w:pPr>
        <w:pStyle w:val="4"/>
        <w:spacing w:before="195" w:beforeLines="60" w:after="195" w:afterLines="60" w:line="240" w:lineRule="auto"/>
      </w:pPr>
      <w:r>
        <w:rPr>
          <w:rFonts w:hint="eastAsia"/>
        </w:rPr>
        <w:t>落实国土空间用途管制制度</w:t>
      </w:r>
    </w:p>
    <w:p>
      <w:pPr>
        <w:spacing w:before="65"/>
        <w:ind w:firstLine="640"/>
        <w:rPr>
          <w:lang w:bidi="ar"/>
        </w:rPr>
      </w:pPr>
      <w:r>
        <w:rPr>
          <w:rFonts w:hint="eastAsia"/>
          <w:lang w:bidi="ar"/>
        </w:rPr>
        <w:t>对所有国土空间分区分类实施用途管制，落实分区准入、用途转换等管制规则。城镇开发边界内实行“详细规划+规划许可”；城镇开发边界外按照主导用途分区，实行“详细规划+规划许可”和“约束指标+分区准入”。严格耕地、自然保护地、生态保护红线、生态敏感脆弱区等特殊区域的用途管制。</w:t>
      </w:r>
    </w:p>
    <w:p>
      <w:pPr>
        <w:pStyle w:val="4"/>
        <w:spacing w:before="195" w:beforeLines="60" w:after="195" w:afterLines="60" w:line="240" w:lineRule="auto"/>
      </w:pPr>
      <w:r>
        <w:rPr>
          <w:rFonts w:hint="eastAsia"/>
        </w:rPr>
        <w:t>加强规划实施监测评估</w:t>
      </w:r>
    </w:p>
    <w:p>
      <w:pPr>
        <w:spacing w:before="65"/>
        <w:ind w:firstLine="640"/>
        <w:rPr>
          <w:lang w:bidi="ar"/>
        </w:rPr>
      </w:pPr>
      <w:r>
        <w:rPr>
          <w:rFonts w:hint="eastAsia"/>
          <w:lang w:bidi="ar"/>
        </w:rPr>
        <w:t>建立规划实施评估指标体系和“体检评估”机制，落实国土空间规划监测评估预警系统，为市、县开展城市体检和规划全周期管理提供支撑。</w:t>
      </w:r>
      <w:r>
        <w:rPr>
          <w:lang w:bidi="ar"/>
        </w:rPr>
        <w:br w:type="page"/>
      </w:r>
    </w:p>
    <w:p>
      <w:pPr>
        <w:ind w:firstLine="640"/>
      </w:pPr>
    </w:p>
    <w:p>
      <w:pPr>
        <w:pStyle w:val="2"/>
      </w:pPr>
      <w:bookmarkStart w:id="146" w:name="_Toc216450862"/>
      <w:bookmarkStart w:id="147" w:name="_Toc221006231"/>
      <w:r>
        <w:t>“</w:t>
      </w:r>
      <w:r>
        <w:rPr>
          <w:rFonts w:hint="eastAsia"/>
        </w:rPr>
        <w:t>通则式</w:t>
      </w:r>
      <w:r>
        <w:t>”</w:t>
      </w:r>
      <w:r>
        <w:rPr>
          <w:rFonts w:hint="eastAsia"/>
        </w:rPr>
        <w:t>村庄规划管理规定</w:t>
      </w:r>
      <w:bookmarkEnd w:id="146"/>
      <w:bookmarkEnd w:id="147"/>
    </w:p>
    <w:p>
      <w:pPr>
        <w:pStyle w:val="3"/>
      </w:pPr>
      <w:bookmarkStart w:id="148" w:name="_Toc214543577"/>
      <w:r>
        <w:rPr>
          <w:rFonts w:hint="eastAsia"/>
        </w:rPr>
        <w:t>适用范围</w:t>
      </w:r>
      <w:bookmarkEnd w:id="148"/>
    </w:p>
    <w:p>
      <w:pPr>
        <w:pStyle w:val="4"/>
        <w:numPr>
          <w:ilvl w:val="0"/>
          <w:numId w:val="1"/>
        </w:numPr>
        <w:spacing w:before="195" w:beforeLines="60" w:after="195" w:afterLines="60" w:line="240" w:lineRule="auto"/>
        <w:ind w:left="420" w:hanging="420"/>
      </w:pPr>
      <w:r>
        <w:rPr>
          <w:rFonts w:hint="eastAsia"/>
        </w:rPr>
        <w:t>适用范围</w:t>
      </w:r>
    </w:p>
    <w:p>
      <w:pPr>
        <w:ind w:firstLine="640"/>
      </w:pPr>
      <w:r>
        <w:rPr>
          <w:rFonts w:hint="eastAsia"/>
        </w:rPr>
        <w:t>在单独编制的村庄规划批准前，本辖区范围内需要编制村庄规划的村庄适用本规定，在有条件有需求时，可再行单独编制“实用性”或“通则式”村庄规划，</w:t>
      </w:r>
      <w:r>
        <w:t>规划获批后上传至国土空间规划“一张图”，更新替代原规划</w:t>
      </w:r>
      <w:r>
        <w:rPr>
          <w:rFonts w:hint="eastAsia"/>
        </w:rPr>
        <w:t>。</w:t>
      </w:r>
    </w:p>
    <w:p>
      <w:pPr>
        <w:ind w:firstLine="640"/>
      </w:pPr>
      <w:r>
        <w:rPr>
          <w:rFonts w:hint="eastAsia"/>
        </w:rPr>
        <w:t>符合条件的农民建房（新建、改建、扩建）、乡村公共服务设施、公用设施和产业项目的建设，可依据通则式村庄规划管理规定，按相关规定办理规划许可手续。已单独编制村庄规划的，可参照执行。</w:t>
      </w:r>
    </w:p>
    <w:p>
      <w:pPr>
        <w:pStyle w:val="3"/>
      </w:pPr>
      <w:bookmarkStart w:id="149" w:name="_Toc214543578"/>
      <w:r>
        <w:rPr>
          <w:rFonts w:hint="eastAsia"/>
        </w:rPr>
        <w:t>底线管控要求</w:t>
      </w:r>
      <w:bookmarkEnd w:id="149"/>
    </w:p>
    <w:p>
      <w:pPr>
        <w:pStyle w:val="4"/>
        <w:numPr>
          <w:ilvl w:val="0"/>
          <w:numId w:val="1"/>
        </w:numPr>
        <w:spacing w:before="195" w:beforeLines="60" w:after="195" w:afterLines="60" w:line="240" w:lineRule="auto"/>
        <w:ind w:left="420" w:hanging="420"/>
      </w:pPr>
      <w:r>
        <w:rPr>
          <w:rFonts w:hint="eastAsia"/>
        </w:rPr>
        <w:t>耕地和</w:t>
      </w:r>
      <w:r>
        <w:t>永久基本农田</w:t>
      </w:r>
    </w:p>
    <w:p>
      <w:pPr>
        <w:ind w:firstLine="640"/>
      </w:pPr>
      <w:r>
        <w:rPr>
          <w:rFonts w:hint="eastAsia"/>
        </w:rPr>
        <w:t>乡村建设不得擅自占用永久基本农田。严格耕地用途管制，全面落实耕地占补平衡制度。</w:t>
      </w:r>
    </w:p>
    <w:p>
      <w:pPr>
        <w:ind w:firstLine="640"/>
      </w:pPr>
      <w:r>
        <w:t>1.耕地保护</w:t>
      </w:r>
    </w:p>
    <w:p>
      <w:pPr>
        <w:ind w:firstLine="640"/>
      </w:pPr>
      <w:r>
        <w:rPr>
          <w:rFonts w:hint="eastAsia"/>
        </w:rPr>
        <w:t>耕地主要用于粮食和棉、油、糖、蔬菜等农产品及饲草饲料生产；在不破坏耕地耕作层且不造成耕地地类改变的前提下</w:t>
      </w:r>
      <w:r>
        <w:t>,可以适度种植其他农作物。耕地管控“八不准”、“六严禁、五不得”。</w:t>
      </w:r>
    </w:p>
    <w:p>
      <w:pPr>
        <w:ind w:firstLine="640"/>
      </w:pPr>
    </w:p>
    <w:tbl>
      <w:tblPr>
        <w:tblStyle w:val="31"/>
        <w:tblW w:w="87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3"/>
        <w:gridCol w:w="2752"/>
        <w:gridCol w:w="3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8739" w:type="dxa"/>
            <w:gridSpan w:val="3"/>
            <w:vAlign w:val="center"/>
          </w:tcPr>
          <w:p>
            <w:pPr>
              <w:pStyle w:val="98"/>
              <w:ind w:firstLine="640"/>
            </w:pPr>
            <w:r>
              <w:rPr>
                <w:rFonts w:hint="eastAsia"/>
              </w:rPr>
              <w:t>专栏1</w:t>
            </w:r>
            <w:r>
              <w:t>6</w:t>
            </w:r>
            <w:r>
              <w:rPr>
                <w:rFonts w:hint="eastAsia"/>
              </w:rPr>
              <w:t>-1 耕地管控要求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2913" w:type="dxa"/>
            <w:vAlign w:val="center"/>
          </w:tcPr>
          <w:p>
            <w:pPr>
              <w:pStyle w:val="96"/>
            </w:pPr>
            <w:r>
              <w:rPr>
                <w:rFonts w:hint="eastAsia"/>
              </w:rPr>
              <w:t>八不准</w:t>
            </w:r>
          </w:p>
        </w:tc>
        <w:tc>
          <w:tcPr>
            <w:tcW w:w="2752" w:type="dxa"/>
            <w:vAlign w:val="center"/>
          </w:tcPr>
          <w:p>
            <w:pPr>
              <w:pStyle w:val="96"/>
            </w:pPr>
            <w:r>
              <w:rPr>
                <w:rFonts w:hint="eastAsia"/>
              </w:rPr>
              <w:t>六严禁</w:t>
            </w:r>
          </w:p>
        </w:tc>
        <w:tc>
          <w:tcPr>
            <w:tcW w:w="3074" w:type="dxa"/>
            <w:vAlign w:val="center"/>
          </w:tcPr>
          <w:p>
            <w:pPr>
              <w:pStyle w:val="96"/>
            </w:pPr>
            <w:r>
              <w:rPr>
                <w:rFonts w:hint="eastAsia"/>
              </w:rPr>
              <w:t>五不得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6" w:hRule="atLeast"/>
          <w:jc w:val="center"/>
        </w:trPr>
        <w:tc>
          <w:tcPr>
            <w:tcW w:w="2913" w:type="dxa"/>
          </w:tcPr>
          <w:p>
            <w:pPr>
              <w:pStyle w:val="96"/>
              <w:jc w:val="left"/>
            </w:pPr>
            <w:r>
              <w:t>不准占用永久基本农田建房。</w:t>
            </w:r>
          </w:p>
          <w:p>
            <w:pPr>
              <w:pStyle w:val="96"/>
              <w:jc w:val="left"/>
            </w:pPr>
            <w:r>
              <w:t>不准强占多占耕地建房。</w:t>
            </w:r>
          </w:p>
          <w:p>
            <w:pPr>
              <w:pStyle w:val="96"/>
              <w:jc w:val="left"/>
            </w:pPr>
            <w:r>
              <w:t>不准买卖、流转耕地违法建房。</w:t>
            </w:r>
          </w:p>
          <w:p>
            <w:pPr>
              <w:pStyle w:val="96"/>
              <w:jc w:val="left"/>
            </w:pPr>
            <w:r>
              <w:t>不准在承包耕地上违法建房。</w:t>
            </w:r>
          </w:p>
          <w:p>
            <w:pPr>
              <w:pStyle w:val="96"/>
              <w:jc w:val="left"/>
            </w:pPr>
            <w:r>
              <w:t>不准巧立名目违法占用耕地建房。</w:t>
            </w:r>
          </w:p>
          <w:p>
            <w:pPr>
              <w:pStyle w:val="96"/>
              <w:jc w:val="left"/>
            </w:pPr>
            <w:r>
              <w:t>不准违反“一户一宅”规定占用耕地建房。</w:t>
            </w:r>
          </w:p>
          <w:p>
            <w:pPr>
              <w:pStyle w:val="96"/>
              <w:jc w:val="left"/>
            </w:pPr>
            <w:r>
              <w:t>不准非法出售占用耕地建的房屋。</w:t>
            </w:r>
          </w:p>
          <w:p>
            <w:pPr>
              <w:pStyle w:val="96"/>
              <w:jc w:val="left"/>
            </w:pPr>
            <w:r>
              <w:t>不准违法审批占用耕地建房。</w:t>
            </w:r>
          </w:p>
        </w:tc>
        <w:tc>
          <w:tcPr>
            <w:tcW w:w="2752" w:type="dxa"/>
          </w:tcPr>
          <w:p>
            <w:pPr>
              <w:pStyle w:val="96"/>
              <w:jc w:val="left"/>
            </w:pPr>
            <w:r>
              <w:t>严禁违规占用耕地绿化造林；</w:t>
            </w:r>
          </w:p>
          <w:p>
            <w:pPr>
              <w:pStyle w:val="96"/>
              <w:jc w:val="left"/>
            </w:pPr>
            <w:r>
              <w:t>严禁超标准建设绿色通道</w:t>
            </w:r>
          </w:p>
          <w:p>
            <w:pPr>
              <w:pStyle w:val="96"/>
              <w:jc w:val="left"/>
            </w:pPr>
            <w:r>
              <w:t>严禁违规占用耕地挖湖造景；</w:t>
            </w:r>
          </w:p>
          <w:p>
            <w:pPr>
              <w:pStyle w:val="96"/>
              <w:jc w:val="left"/>
            </w:pPr>
            <w:r>
              <w:t>严禁占用永久基本农田扩大自然保护地；</w:t>
            </w:r>
          </w:p>
          <w:p>
            <w:pPr>
              <w:pStyle w:val="96"/>
              <w:jc w:val="left"/>
            </w:pPr>
            <w:r>
              <w:t>严禁违规占用耕地从事非农建设；</w:t>
            </w:r>
          </w:p>
          <w:p>
            <w:pPr>
              <w:pStyle w:val="96"/>
              <w:jc w:val="left"/>
            </w:pPr>
            <w:r>
              <w:t>严禁违法违规批地用地。</w:t>
            </w:r>
          </w:p>
          <w:p>
            <w:pPr>
              <w:pStyle w:val="96"/>
              <w:jc w:val="left"/>
            </w:pPr>
          </w:p>
        </w:tc>
        <w:tc>
          <w:tcPr>
            <w:tcW w:w="3074" w:type="dxa"/>
          </w:tcPr>
          <w:p>
            <w:pPr>
              <w:pStyle w:val="96"/>
              <w:jc w:val="left"/>
            </w:pPr>
            <w:r>
              <w:t>不得在一般耕地上挖湖造景、种植草皮；</w:t>
            </w:r>
          </w:p>
          <w:p>
            <w:pPr>
              <w:pStyle w:val="96"/>
              <w:jc w:val="left"/>
            </w:pPr>
            <w:r>
              <w:t>不得擅自扩大退耕还林还草还湖规模；</w:t>
            </w:r>
          </w:p>
          <w:p>
            <w:pPr>
              <w:pStyle w:val="96"/>
              <w:jc w:val="left"/>
            </w:pPr>
            <w:r>
              <w:t>不得违规超标准在铁路、公路等用地红线外，以及河渠两侧、水库周边占用一般耕地种树建设绿化带；</w:t>
            </w:r>
          </w:p>
          <w:p>
            <w:pPr>
              <w:pStyle w:val="96"/>
              <w:jc w:val="left"/>
            </w:pPr>
            <w:r>
              <w:t>未经批准不得占用一般耕地实施国土绿化；</w:t>
            </w:r>
          </w:p>
          <w:p>
            <w:pPr>
              <w:pStyle w:val="96"/>
              <w:jc w:val="left"/>
            </w:pPr>
            <w:r>
              <w:t>未经批准工商企业等社会资本不得将通过流转获得土地经营权的一般耕地转为林地、园地等其他农用地。</w:t>
            </w:r>
          </w:p>
        </w:tc>
      </w:tr>
    </w:tbl>
    <w:p>
      <w:pPr>
        <w:ind w:firstLine="640"/>
      </w:pPr>
      <w:r>
        <w:t>2.永久基本农田保护</w:t>
      </w:r>
    </w:p>
    <w:p>
      <w:pPr>
        <w:ind w:firstLine="640"/>
      </w:pPr>
      <w:r>
        <w:rPr>
          <w:rFonts w:hint="eastAsia"/>
        </w:rPr>
        <w:t>永久基本农田主要用于种植粮食作物，对现状种植棉、油、糖、蔬菜等非粮食作物的</w:t>
      </w:r>
      <w:r>
        <w:t>,可以维持不变。</w:t>
      </w:r>
    </w:p>
    <w:p>
      <w:pPr>
        <w:ind w:firstLine="640"/>
      </w:pPr>
      <w:r>
        <w:rPr>
          <w:rFonts w:hint="eastAsia"/>
        </w:rPr>
        <w:t>严禁占用永久基本农田发展林果业和挖塘养鱼；严禁占用永久基本农田种植苗木、草皮等用于绿化装饰以及其他破坏耕作层的植物；严禁占用永久基本农田挖湖造景、建设绿化带；严禁新增占用永久基本农田建设畜禽养殖设施、水产养殖设施和破坏耕作层的种植业设施。</w:t>
      </w:r>
    </w:p>
    <w:p>
      <w:pPr>
        <w:pStyle w:val="4"/>
        <w:numPr>
          <w:ilvl w:val="0"/>
          <w:numId w:val="1"/>
        </w:numPr>
        <w:spacing w:before="195" w:beforeLines="60" w:after="195" w:afterLines="60" w:line="240" w:lineRule="auto"/>
        <w:ind w:left="420" w:hanging="420"/>
      </w:pPr>
      <w:r>
        <w:rPr>
          <w:rFonts w:hint="eastAsia"/>
        </w:rPr>
        <w:t>生态保护红线</w:t>
      </w:r>
    </w:p>
    <w:p>
      <w:pPr>
        <w:ind w:firstLine="640"/>
      </w:pPr>
      <w:r>
        <w:rPr>
          <w:rFonts w:hint="eastAsia"/>
        </w:rPr>
        <w:t>加强生态保护红线管理，严守自然生态安全边界。</w:t>
      </w:r>
    </w:p>
    <w:tbl>
      <w:tblPr>
        <w:tblStyle w:val="31"/>
        <w:tblW w:w="84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97"/>
        <w:gridCol w:w="5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8459" w:type="dxa"/>
            <w:gridSpan w:val="2"/>
          </w:tcPr>
          <w:p>
            <w:pPr>
              <w:pStyle w:val="98"/>
              <w:rPr>
                <w:lang w:bidi="ar"/>
              </w:rPr>
            </w:pPr>
            <w:r>
              <w:rPr>
                <w:rFonts w:hint="eastAsia"/>
                <w:lang w:bidi="ar"/>
              </w:rPr>
              <w:t>专栏1</w:t>
            </w:r>
            <w:r>
              <w:rPr>
                <w:lang w:bidi="ar"/>
              </w:rPr>
              <w:t>6</w:t>
            </w:r>
            <w:r>
              <w:rPr>
                <w:rFonts w:hint="eastAsia"/>
                <w:lang w:bidi="ar"/>
              </w:rPr>
              <w:t>-</w:t>
            </w:r>
            <w:r>
              <w:rPr>
                <w:lang w:bidi="ar"/>
              </w:rPr>
              <w:t>2</w:t>
            </w:r>
            <w:r>
              <w:rPr>
                <w:rFonts w:hint="eastAsia"/>
                <w:lang w:bidi="ar"/>
              </w:rPr>
              <w:t>：生态保护红线管控要求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3397" w:type="dxa"/>
            <w:vAlign w:val="center"/>
          </w:tcPr>
          <w:p>
            <w:pPr>
              <w:pStyle w:val="96"/>
              <w:ind w:firstLine="640"/>
              <w:rPr>
                <w:lang w:bidi="ar"/>
              </w:rPr>
            </w:pPr>
            <w:r>
              <w:rPr>
                <w:rFonts w:hint="eastAsia"/>
                <w:lang w:bidi="ar"/>
              </w:rPr>
              <w:t>生态红线管控要求</w:t>
            </w:r>
          </w:p>
        </w:tc>
        <w:tc>
          <w:tcPr>
            <w:tcW w:w="5062" w:type="dxa"/>
            <w:vAlign w:val="center"/>
          </w:tcPr>
          <w:p>
            <w:pPr>
              <w:pStyle w:val="96"/>
              <w:ind w:firstLine="640"/>
              <w:rPr>
                <w:lang w:bidi="ar"/>
              </w:rPr>
            </w:pPr>
            <w:r>
              <w:rPr>
                <w:rFonts w:hint="eastAsia"/>
                <w:lang w:bidi="ar"/>
              </w:rPr>
              <w:t>有限人为活动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3397" w:type="dxa"/>
          </w:tcPr>
          <w:p>
            <w:pPr>
              <w:pStyle w:val="96"/>
              <w:ind w:firstLine="640"/>
              <w:jc w:val="left"/>
              <w:rPr>
                <w:lang w:bidi="ar"/>
              </w:rPr>
            </w:pPr>
            <w:r>
              <w:rPr>
                <w:rFonts w:hint="eastAsia"/>
                <w:lang w:bidi="ar"/>
              </w:rPr>
              <w:t>生态保护红线核心保护区内，禁止一切人为活动，现有村庄须有序退出。</w:t>
            </w:r>
          </w:p>
          <w:p>
            <w:pPr>
              <w:pStyle w:val="96"/>
              <w:ind w:firstLine="640"/>
              <w:jc w:val="left"/>
              <w:rPr>
                <w:lang w:bidi="ar"/>
              </w:rPr>
            </w:pPr>
            <w:r>
              <w:rPr>
                <w:rFonts w:hint="eastAsia"/>
                <w:lang w:bidi="ar"/>
              </w:rPr>
              <w:t>一般控制区内禁止开发性、生产性建设活动，在符合法律法规的前提下，仅允许以下对生态功能不造成破坏的有限人为活动。</w:t>
            </w:r>
          </w:p>
          <w:p>
            <w:pPr>
              <w:pStyle w:val="96"/>
              <w:ind w:firstLine="640"/>
              <w:jc w:val="left"/>
              <w:rPr>
                <w:spacing w:val="30"/>
              </w:rPr>
            </w:pPr>
            <w:r>
              <w:rPr>
                <w:rFonts w:hint="eastAsia"/>
                <w:lang w:bidi="ar"/>
              </w:rPr>
              <w:t>国家重大项目或有限人为活动涉及新增建设用地涉及生态红线的，须按有关规定进行论证和并办理相关手续。</w:t>
            </w:r>
            <w:r>
              <w:rPr>
                <w:rFonts w:hint="eastAsia"/>
                <w:spacing w:val="30"/>
                <w:shd w:val="clear" w:color="auto" w:fill="FFFFFF"/>
                <w:lang w:bidi="ar"/>
              </w:rPr>
              <w:t> </w:t>
            </w:r>
          </w:p>
          <w:p>
            <w:pPr>
              <w:pStyle w:val="96"/>
              <w:ind w:firstLine="640"/>
              <w:jc w:val="left"/>
              <w:rPr>
                <w:lang w:bidi="ar"/>
              </w:rPr>
            </w:pPr>
            <w:r>
              <w:rPr>
                <w:rFonts w:hint="eastAsia"/>
                <w:lang w:bidi="ar"/>
              </w:rPr>
              <w:t>生态保护红线内涉及自然保护区、风景名胜区、饮用水水源保护区等区域，依照相关法律法规执行。</w:t>
            </w:r>
          </w:p>
          <w:p>
            <w:pPr>
              <w:pStyle w:val="96"/>
              <w:ind w:firstLine="640"/>
              <w:jc w:val="left"/>
            </w:pPr>
            <w:r>
              <w:rPr>
                <w:rFonts w:hint="eastAsia"/>
                <w:lang w:bidi="ar"/>
              </w:rPr>
              <w:t>生态红线内已有水电、风电、光伏等设施，按照相关法律法规规定进行管理，严禁扩大现有规模与范围，项目到期后由建设单位负责做好生态修复。</w:t>
            </w:r>
          </w:p>
        </w:tc>
        <w:tc>
          <w:tcPr>
            <w:tcW w:w="5062" w:type="dxa"/>
          </w:tcPr>
          <w:p>
            <w:pPr>
              <w:pStyle w:val="96"/>
              <w:ind w:firstLine="640"/>
              <w:jc w:val="left"/>
            </w:pPr>
            <w:r>
              <w:rPr>
                <w:rFonts w:hint="eastAsia"/>
                <w:lang w:bidi="ar"/>
              </w:rPr>
              <w:t>管护巡护、保护执法、科学研究、调查监测、测绘导航、防灾减灾救灾、军事国防、疫情防控等活动及相关的必要设施修筑。</w:t>
            </w:r>
          </w:p>
          <w:p>
            <w:pPr>
              <w:pStyle w:val="96"/>
              <w:ind w:firstLine="640"/>
              <w:jc w:val="left"/>
              <w:rPr>
                <w:lang w:bidi="ar"/>
              </w:rPr>
            </w:pPr>
            <w:r>
              <w:rPr>
                <w:rFonts w:hint="eastAsia"/>
                <w:lang w:bidi="ar"/>
              </w:rPr>
              <w:t>原住居民和其他合法权益主体，允许在不扩大现有建设用地、耕地、水产养殖规模和放牧强度的前提下，开展种植、放牧、养殖等活动，修筑生产生活设施。</w:t>
            </w:r>
          </w:p>
          <w:p>
            <w:pPr>
              <w:pStyle w:val="96"/>
              <w:ind w:firstLine="640"/>
              <w:jc w:val="left"/>
              <w:rPr>
                <w:lang w:bidi="ar"/>
              </w:rPr>
            </w:pPr>
            <w:r>
              <w:rPr>
                <w:rFonts w:hint="eastAsia"/>
                <w:lang w:bidi="ar"/>
              </w:rPr>
              <w:t>经依法批准的考古调查发掘、古生物化石调查发掘、标本采集和文物保护活动。</w:t>
            </w:r>
          </w:p>
          <w:p>
            <w:pPr>
              <w:pStyle w:val="96"/>
              <w:ind w:firstLine="640"/>
              <w:jc w:val="left"/>
              <w:rPr>
                <w:lang w:bidi="ar"/>
              </w:rPr>
            </w:pPr>
            <w:r>
              <w:rPr>
                <w:rFonts w:hint="eastAsia"/>
                <w:lang w:bidi="ar"/>
              </w:rPr>
              <w:t>按规定对人工商品林进行抚育采伐，或以提升森林质量、优化栖息地、建设生物防火隔离带等为目的的树种更新，依法开展的竹林采伐经营。</w:t>
            </w:r>
          </w:p>
          <w:p>
            <w:pPr>
              <w:pStyle w:val="96"/>
              <w:ind w:firstLine="640"/>
              <w:jc w:val="left"/>
              <w:rPr>
                <w:lang w:bidi="ar"/>
              </w:rPr>
            </w:pPr>
            <w:r>
              <w:rPr>
                <w:rFonts w:hint="eastAsia"/>
                <w:lang w:bidi="ar"/>
              </w:rPr>
              <w:t>不破坏生态功能的适度参观旅游、科普宣教及符合相关规划的配套性服务设施和相关的必要公共设施建设及维护。</w:t>
            </w:r>
          </w:p>
          <w:p>
            <w:pPr>
              <w:pStyle w:val="96"/>
              <w:ind w:firstLine="640"/>
              <w:jc w:val="left"/>
              <w:rPr>
                <w:lang w:bidi="ar"/>
              </w:rPr>
            </w:pPr>
            <w:r>
              <w:rPr>
                <w:rFonts w:hint="eastAsia"/>
                <w:lang w:bidi="ar"/>
              </w:rPr>
              <w:t>必须且无法避让、符合县级以上国土空间规划的线性基础设施、通讯和防洪、供水设施建设和船舶航行、航道疏浚清淤等活动；已有的合法水利、交通运输等设施运行维护改造。</w:t>
            </w:r>
          </w:p>
          <w:p>
            <w:pPr>
              <w:pStyle w:val="96"/>
              <w:ind w:firstLine="640"/>
              <w:jc w:val="left"/>
              <w:rPr>
                <w:lang w:bidi="ar"/>
              </w:rPr>
            </w:pPr>
            <w:r>
              <w:rPr>
                <w:rFonts w:hint="eastAsia"/>
                <w:lang w:bidi="ar"/>
              </w:rPr>
              <w:t>地质调查与矿产资源勘查等公益性工作。</w:t>
            </w:r>
          </w:p>
          <w:p>
            <w:pPr>
              <w:pStyle w:val="96"/>
              <w:ind w:firstLine="640"/>
              <w:jc w:val="left"/>
            </w:pPr>
            <w:r>
              <w:rPr>
                <w:rFonts w:hint="eastAsia"/>
                <w:lang w:bidi="ar"/>
              </w:rPr>
              <w:t>依据县级以上国土空间规划和生态保护修复专项规划开展的生态修复。</w:t>
            </w:r>
          </w:p>
        </w:tc>
      </w:tr>
    </w:tbl>
    <w:p>
      <w:pPr>
        <w:pStyle w:val="4"/>
        <w:numPr>
          <w:ilvl w:val="0"/>
          <w:numId w:val="1"/>
        </w:numPr>
        <w:spacing w:before="195" w:beforeLines="60" w:after="195" w:afterLines="60" w:line="240" w:lineRule="auto"/>
        <w:ind w:left="420" w:hanging="420"/>
      </w:pPr>
      <w:r>
        <w:t>村庄建设边界</w:t>
      </w:r>
    </w:p>
    <w:p>
      <w:pPr>
        <w:ind w:firstLine="640"/>
      </w:pPr>
      <w:r>
        <w:rPr>
          <w:rFonts w:hint="eastAsia"/>
        </w:rPr>
        <w:t>不得突破《内乡县夏馆镇国土空间总体规划（</w:t>
      </w:r>
      <w:r>
        <w:t>2021-2035年）》划定的村庄建设边界，村庄建设边界内主要包括以下建设用地类型：</w:t>
      </w:r>
    </w:p>
    <w:p>
      <w:pPr>
        <w:ind w:firstLine="640"/>
      </w:pPr>
      <w:r>
        <w:rPr>
          <w:rFonts w:hint="eastAsia"/>
        </w:rPr>
        <w:t>农村宅基地、农村社区服务设施用地、公共管理与公共服务用地、商业服务业用地、工矿用地、仓储用地、交通运输用地、公用设施用地、绿地与开敞空间用地和特殊用地。</w:t>
      </w:r>
    </w:p>
    <w:p>
      <w:pPr>
        <w:ind w:firstLine="640"/>
      </w:pPr>
      <w:r>
        <w:rPr>
          <w:rFonts w:hint="eastAsia"/>
        </w:rPr>
        <w:t>村庄建设活动原则上应位于村庄建设边界范围内。</w:t>
      </w:r>
    </w:p>
    <w:p>
      <w:pPr>
        <w:ind w:firstLine="640"/>
      </w:pPr>
      <w:r>
        <w:rPr>
          <w:rFonts w:hint="eastAsia"/>
        </w:rPr>
        <w:t>村庄建设边界外的存量建设用地，通过土地整理、置换、整治等方式逐渐向村庄建设边界内集中，原土地可根据实际需要调整为非建设用地。</w:t>
      </w:r>
    </w:p>
    <w:p>
      <w:pPr>
        <w:pStyle w:val="4"/>
        <w:spacing w:before="195" w:after="195"/>
      </w:pPr>
      <w:r>
        <w:rPr>
          <w:rFonts w:hint="eastAsia"/>
        </w:rPr>
        <w:t>历史文化保护线</w:t>
      </w:r>
    </w:p>
    <w:p>
      <w:pPr>
        <w:ind w:firstLine="640"/>
        <w:rPr>
          <w:kern w:val="0"/>
          <w:lang w:bidi="ar"/>
        </w:rPr>
      </w:pPr>
      <w:r>
        <w:rPr>
          <w:rFonts w:hint="eastAsia"/>
        </w:rPr>
        <w:t>落实内乡县、夏馆镇国土空间规划确定的历史文化保护控制线，加强</w:t>
      </w:r>
      <w:r>
        <w:rPr>
          <w:rFonts w:hint="eastAsia"/>
          <w:kern w:val="0"/>
          <w:lang w:bidi="ar"/>
        </w:rPr>
        <w:t>历史文化要素管控。</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4"/>
        <w:gridCol w:w="64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5000" w:type="pct"/>
            <w:gridSpan w:val="2"/>
            <w:vAlign w:val="center"/>
          </w:tcPr>
          <w:p>
            <w:pPr>
              <w:pStyle w:val="98"/>
              <w:rPr>
                <w:lang w:val="zh-CN"/>
              </w:rPr>
            </w:pPr>
            <w:r>
              <w:rPr>
                <w:rFonts w:hint="eastAsia"/>
                <w:lang w:val="zh-CN"/>
              </w:rPr>
              <w:t>专栏</w:t>
            </w:r>
            <w:r>
              <w:rPr>
                <w:lang w:val="zh-CN"/>
              </w:rPr>
              <w:t xml:space="preserve">16-3 </w:t>
            </w:r>
            <w:r>
              <w:rPr>
                <w:rFonts w:hint="eastAsia"/>
                <w:lang w:val="zh-CN"/>
              </w:rPr>
              <w:t>历史文化要素管控要求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rPr>
                <w:lang w:val="zh-CN"/>
              </w:rPr>
            </w:pPr>
            <w:r>
              <w:rPr>
                <w:rFonts w:hint="eastAsia"/>
                <w:lang w:val="zh-CN"/>
              </w:rPr>
              <w:t>历史文化要素</w:t>
            </w:r>
          </w:p>
        </w:tc>
        <w:tc>
          <w:tcPr>
            <w:tcW w:w="3807" w:type="pct"/>
            <w:vAlign w:val="center"/>
          </w:tcPr>
          <w:p>
            <w:pPr>
              <w:pStyle w:val="96"/>
              <w:rPr>
                <w:lang w:val="zh-CN"/>
              </w:rPr>
            </w:pPr>
            <w:r>
              <w:rPr>
                <w:rFonts w:hint="eastAsia"/>
                <w:lang w:val="zh-CN"/>
              </w:rPr>
              <w:t>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rPr>
                <w:lang w:val="zh-CN"/>
              </w:rPr>
            </w:pPr>
            <w:r>
              <w:rPr>
                <w:rFonts w:hint="eastAsia"/>
                <w:lang w:val="zh-CN"/>
              </w:rPr>
              <w:t>文物保护单位</w:t>
            </w:r>
          </w:p>
        </w:tc>
        <w:tc>
          <w:tcPr>
            <w:tcW w:w="3807" w:type="pct"/>
            <w:vAlign w:val="center"/>
          </w:tcPr>
          <w:p>
            <w:pPr>
              <w:pStyle w:val="96"/>
              <w:jc w:val="left"/>
              <w:rPr>
                <w:lang w:val="zh-CN"/>
              </w:rPr>
            </w:pPr>
            <w:r>
              <w:rPr>
                <w:rFonts w:hint="eastAsia"/>
                <w:lang w:val="zh-CN"/>
              </w:rPr>
              <w:t>各级文物保护单位的保护范围和建设控制地带以及地下文物埋藏区的界线，以各级人民政府公布的保护范围、建设控制地带为准。应严格按照《文物法》相关规定和程序进行保护和修缮。</w:t>
            </w:r>
          </w:p>
        </w:tc>
      </w:tr>
    </w:tbl>
    <w:p>
      <w:pPr>
        <w:ind w:firstLine="640"/>
      </w:pPr>
      <w:r>
        <w:rPr>
          <w:rFonts w:hint="eastAsia"/>
        </w:rPr>
        <w:t>切实加强保护。保护范围内禁止新建其他无关建（构）筑物；不得损害历史文化街区、历史建筑、传统村落的原真性和完整性；不得破坏历史文化街区的历史肌理、历史街巷、空间尺度和景观环境 ,以及古井、古桥、古树等环境要素。</w:t>
      </w:r>
    </w:p>
    <w:p>
      <w:pPr>
        <w:ind w:firstLine="640"/>
      </w:pPr>
      <w:r>
        <w:rPr>
          <w:rFonts w:hint="eastAsia"/>
        </w:rPr>
        <w:t>全面修缮维护。采用“绣花”“织补”等微改造方式，充分利用修缮技艺传承人和传统工匠,结合建筑原有形制、结构、材料，运用传统工艺和现代技术，进行修缮加固，保护、延续传统建筑组群的传统格局特征和风貌特色，让不同时代的建筑完整保留城乡发展变迁的脉络，体现价值特色。</w:t>
      </w:r>
    </w:p>
    <w:p>
      <w:pPr>
        <w:ind w:firstLine="640"/>
      </w:pPr>
      <w:r>
        <w:rPr>
          <w:rFonts w:hint="eastAsia"/>
        </w:rPr>
        <w:t>合理开发利用。坚持“留、改、拆”并举，以“保护、利用、提升”为主的原则,严防大拆大建、拆真建假。系统梳理文物资源，深入挖掘其历史价值和旅游资源禀赋，将文物保护与乡村建设统筹结合。</w:t>
      </w:r>
    </w:p>
    <w:p>
      <w:pPr>
        <w:pStyle w:val="4"/>
        <w:spacing w:before="195" w:after="195"/>
      </w:pPr>
      <w:r>
        <w:t>洪涝风险控制线</w:t>
      </w:r>
    </w:p>
    <w:p>
      <w:pPr>
        <w:spacing w:before="65" w:after="156"/>
        <w:ind w:firstLine="640"/>
      </w:pPr>
      <w:r>
        <w:rPr>
          <w:rFonts w:hint="eastAsia"/>
        </w:rPr>
        <w:t>洪涝风险控制线内禁止新增城乡建设用地，确需新增的，需经得相关部门的意见后落实。</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7" w:type="dxa"/>
            <w:shd w:val="clear" w:color="auto" w:fill="auto"/>
          </w:tcPr>
          <w:p>
            <w:pPr>
              <w:pStyle w:val="98"/>
              <w:ind w:firstLine="640"/>
            </w:pPr>
            <w:r>
              <w:rPr>
                <w:rFonts w:hint="eastAsia"/>
                <w:lang w:bidi="ar"/>
              </w:rPr>
              <w:t>专栏</w:t>
            </w:r>
            <w:r>
              <w:rPr>
                <w:lang w:bidi="ar"/>
              </w:rPr>
              <w:t xml:space="preserve"> 16-4 </w:t>
            </w:r>
            <w:r>
              <w:rPr>
                <w:rFonts w:hint="eastAsia"/>
                <w:lang w:bidi="ar"/>
              </w:rPr>
              <w:t>洪涝风险控制线管控规则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7" w:type="dxa"/>
          </w:tcPr>
          <w:p>
            <w:pPr>
              <w:pStyle w:val="103"/>
              <w:ind w:firstLine="480"/>
              <w:rPr>
                <w:sz w:val="24"/>
                <w:szCs w:val="24"/>
                <w:lang w:bidi="ar"/>
              </w:rPr>
            </w:pPr>
            <w:r>
              <w:rPr>
                <w:rFonts w:hint="eastAsia"/>
                <w:sz w:val="24"/>
                <w:szCs w:val="24"/>
                <w:lang w:bidi="ar"/>
              </w:rPr>
              <w:t>洪涝灾害高风险区内允许进行的建设活动包括：洪涝灾害的监测设施、预警设施和救援设施；</w:t>
            </w:r>
            <w:r>
              <w:rPr>
                <w:sz w:val="24"/>
                <w:szCs w:val="24"/>
                <w:lang w:bidi="ar"/>
              </w:rPr>
              <w:t>有利于防洪排涝安全的灾害防御工程建设项目，如水库大坝、</w:t>
            </w:r>
            <w:r>
              <w:rPr>
                <w:rFonts w:hint="eastAsia"/>
                <w:sz w:val="24"/>
                <w:szCs w:val="24"/>
                <w:lang w:bidi="ar"/>
              </w:rPr>
              <w:t>调蓄湖、堤防、围堤围堰、水闸、涵洞、排涝泵站、堰坝、塘坝、沟渠、蓄水池、湿地等；现有防洪排涝工程隐患的治理和除险项目；有利于洪涝灾害次生灾害防治安全的治理和建设项目。洪涝灾害的疏散通道，如防洪临时撤离道路；重大洪涝灾害事件的遗址公园、纪念碑等纪念性设施；此类区域内其他类型灾害的防灾减灾治理和建设项目等。</w:t>
            </w:r>
          </w:p>
          <w:p>
            <w:pPr>
              <w:pStyle w:val="103"/>
              <w:ind w:firstLine="480"/>
              <w:rPr>
                <w:lang w:bidi="ar"/>
              </w:rPr>
            </w:pPr>
            <w:r>
              <w:rPr>
                <w:rFonts w:hint="eastAsia"/>
                <w:sz w:val="24"/>
                <w:szCs w:val="24"/>
                <w:lang w:bidi="ar"/>
              </w:rPr>
              <w:t>洪涝灾害高风险区内禁止进行的建设活动包括：禁止新建影响行洪和排涝安全的生产性、开发性建设活动，现有此类项目应逐步退出；禁止新建重大危源项目，以及生产易燃、易爆、有毒物品的工业用地和存放危险品的合储用地现有此类项目应逐步退出。禁止在此类区域内新增建设用地指标等。</w:t>
            </w:r>
          </w:p>
        </w:tc>
      </w:tr>
    </w:tbl>
    <w:p>
      <w:pPr>
        <w:pStyle w:val="3"/>
      </w:pPr>
      <w:bookmarkStart w:id="150" w:name="_Toc214543579"/>
      <w:r>
        <w:rPr>
          <w:rFonts w:hint="eastAsia"/>
        </w:rPr>
        <w:t>建设管控要求</w:t>
      </w:r>
      <w:bookmarkEnd w:id="150"/>
    </w:p>
    <w:p>
      <w:pPr>
        <w:pStyle w:val="4"/>
        <w:spacing w:before="195" w:after="195"/>
      </w:pPr>
      <w:r>
        <w:rPr>
          <w:rFonts w:hint="eastAsia"/>
        </w:rPr>
        <w:t>村庄建设用地管控</w:t>
      </w:r>
    </w:p>
    <w:p>
      <w:pPr>
        <w:ind w:firstLine="640"/>
      </w:pPr>
      <w:r>
        <w:rPr>
          <w:rFonts w:hint="eastAsia"/>
        </w:rPr>
        <w:t>村庄建设项目应当位于村庄建设边界内，符合乡镇国土空间规划明确的国土空间用途管制规则和建设管控要求。</w:t>
      </w:r>
    </w:p>
    <w:p>
      <w:pPr>
        <w:ind w:firstLine="640"/>
      </w:pPr>
      <w:r>
        <w:rPr>
          <w:rFonts w:hint="eastAsia"/>
        </w:rPr>
        <w:t>位于村庄建设边界外拟撤并搬迁村庄部分，不得进行翻建、扩建、改建。</w:t>
      </w:r>
    </w:p>
    <w:p>
      <w:pPr>
        <w:ind w:firstLine="640"/>
      </w:pPr>
      <w:r>
        <w:rPr>
          <w:rFonts w:hint="eastAsia"/>
        </w:rPr>
        <w:t>位于村庄建设边界内但属于撤并搬迁类村庄部分，可以进行加固、维修，但不能进行翻建、扩建、改建。</w:t>
      </w:r>
    </w:p>
    <w:p>
      <w:pPr>
        <w:ind w:firstLine="640"/>
      </w:pPr>
      <w:r>
        <w:t>村庄建设项目位于自然保护地、风景名胜区、文物保护范围和建设控制地带、历史文化名村、传统村落等区域的,还须符合相关专项规划。</w:t>
      </w:r>
    </w:p>
    <w:p>
      <w:pPr>
        <w:ind w:firstLine="640"/>
      </w:pPr>
      <w:r>
        <w:t>村庄建设项目选址位置应当遵循的一般原则：</w:t>
      </w:r>
      <w:r>
        <w:rPr>
          <w:rFonts w:hint="eastAsia"/>
        </w:rPr>
        <w:t>应选址在地质条件较好、环境适宜、交通方便的地段。坚持节约集约用地，充分利用村内空闲地、废弃地，满足消防、抗震、防洪要求，不得阻碍交通、侵占公共用地和邻里通道，妥善处理给水、排水、日照、采光、通风等方面的相邻关系。严格控制切坡建房，确因用地因难需要切坡的，应当在乡镇政府指导下，按照有关技术规范做好坡体防护工作，确保安全。</w:t>
      </w:r>
    </w:p>
    <w:p>
      <w:pPr>
        <w:ind w:firstLine="640"/>
      </w:pPr>
      <w:r>
        <w:t>村庄建设项目不得在下列地点或地段选址：</w:t>
      </w:r>
      <w:r>
        <w:rPr>
          <w:rFonts w:hint="eastAsia"/>
        </w:rPr>
        <w:t>山体滑坡、泥石流、危岩、塌陷等地质灾害易发区或次生灾害隐患易发地段。洪涝灾害危险地段。文物保护区。生态保护红线、永久基本农田保护区、永久基本农田储备区、生态资源保护区、饮用水源一级保护区、风景名胜区核心保护区、自然保护区核心区和缓冲区、历史文化核心保护范围内。输油、输气管道上、高压供电走廊下。危险化学品生产企业、危险化学品储存仓库或危房旁边。河道管理范围和水库、渠道的控制区范围内。法律、法规禁止建设建（构）筑物的其他区域。</w:t>
      </w:r>
    </w:p>
    <w:p>
      <w:pPr>
        <w:ind w:firstLine="640"/>
        <w:rPr>
          <w:lang w:bidi="ar"/>
        </w:rPr>
      </w:pPr>
      <w:r>
        <w:rPr>
          <w:lang w:bidi="ar"/>
        </w:rPr>
        <w:t>在高铁、国道、省道等交通干线两侧新建农村建筑，必须满足以下铁路、公路</w:t>
      </w:r>
      <w:r>
        <w:rPr>
          <w:rFonts w:hint="eastAsia"/>
          <w:lang w:bidi="ar"/>
        </w:rPr>
        <w:t>控制距离</w:t>
      </w:r>
      <w:r>
        <w:rPr>
          <w:lang w:bidi="ar"/>
        </w:rPr>
        <w:t>要求：</w:t>
      </w:r>
    </w:p>
    <w:tbl>
      <w:tblPr>
        <w:tblStyle w:val="31"/>
        <w:tblW w:w="8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5155"/>
        <w:gridCol w:w="1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5" w:type="dxa"/>
            <w:gridSpan w:val="3"/>
          </w:tcPr>
          <w:p>
            <w:pPr>
              <w:pStyle w:val="98"/>
              <w:rPr>
                <w:lang w:bidi="ar"/>
              </w:rPr>
            </w:pPr>
            <w:r>
              <w:rPr>
                <w:rFonts w:hint="eastAsia"/>
                <w:lang w:bidi="ar"/>
              </w:rPr>
              <w:t>专栏</w:t>
            </w:r>
            <w:r>
              <w:rPr>
                <w:lang w:bidi="ar"/>
              </w:rPr>
              <w:t xml:space="preserve">16-5 </w:t>
            </w:r>
            <w:r>
              <w:rPr>
                <w:rFonts w:hint="eastAsia"/>
                <w:lang w:bidi="ar"/>
              </w:rPr>
              <w:t>建筑退让铁路的控制距离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pPr>
            <w:r>
              <w:rPr>
                <w:rFonts w:hint="eastAsia"/>
              </w:rPr>
              <w:t>铁路等级</w:t>
            </w:r>
          </w:p>
        </w:tc>
        <w:tc>
          <w:tcPr>
            <w:tcW w:w="5155" w:type="dxa"/>
          </w:tcPr>
          <w:p>
            <w:pPr>
              <w:pStyle w:val="96"/>
            </w:pPr>
            <w:r>
              <w:rPr>
                <w:rFonts w:hint="eastAsia"/>
              </w:rPr>
              <w:t>建筑边缘与铁路路基外侧的距离（米）</w:t>
            </w:r>
          </w:p>
        </w:tc>
        <w:tc>
          <w:tcPr>
            <w:tcW w:w="1770" w:type="dxa"/>
          </w:tcPr>
          <w:p>
            <w:pPr>
              <w:pStyle w:val="96"/>
            </w:pPr>
            <w:r>
              <w:rPr>
                <w:rFonts w:hint="eastAsia"/>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pPr>
            <w:r>
              <w:rPr>
                <w:rFonts w:hint="eastAsia"/>
              </w:rPr>
              <w:t>高铁</w:t>
            </w:r>
          </w:p>
        </w:tc>
        <w:tc>
          <w:tcPr>
            <w:tcW w:w="5155" w:type="dxa"/>
          </w:tcPr>
          <w:p>
            <w:pPr>
              <w:pStyle w:val="96"/>
            </w:pPr>
            <w:r>
              <w:rPr>
                <w:rFonts w:hint="eastAsia"/>
              </w:rPr>
              <w:t>不低于50米</w:t>
            </w:r>
          </w:p>
        </w:tc>
        <w:tc>
          <w:tcPr>
            <w:tcW w:w="1770" w:type="dxa"/>
          </w:tcPr>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pStyle w:val="96"/>
            </w:pPr>
            <w:r>
              <w:rPr>
                <w:rFonts w:hint="eastAsia"/>
              </w:rPr>
              <w:t>铁路干线</w:t>
            </w:r>
          </w:p>
        </w:tc>
        <w:tc>
          <w:tcPr>
            <w:tcW w:w="5155" w:type="dxa"/>
          </w:tcPr>
          <w:p>
            <w:pPr>
              <w:pStyle w:val="96"/>
            </w:pPr>
            <w:r>
              <w:rPr>
                <w:rFonts w:hint="eastAsia"/>
              </w:rPr>
              <w:t>不低于30米</w:t>
            </w:r>
          </w:p>
        </w:tc>
        <w:tc>
          <w:tcPr>
            <w:tcW w:w="1770" w:type="dxa"/>
          </w:tcPr>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pPr>
            <w:r>
              <w:rPr>
                <w:rFonts w:hint="eastAsia"/>
              </w:rPr>
              <w:t>铁路支线</w:t>
            </w:r>
          </w:p>
        </w:tc>
        <w:tc>
          <w:tcPr>
            <w:tcW w:w="5155" w:type="dxa"/>
          </w:tcPr>
          <w:p>
            <w:pPr>
              <w:pStyle w:val="96"/>
            </w:pPr>
            <w:r>
              <w:rPr>
                <w:rFonts w:hint="eastAsia"/>
              </w:rPr>
              <w:t>不低于20米</w:t>
            </w:r>
          </w:p>
        </w:tc>
        <w:tc>
          <w:tcPr>
            <w:tcW w:w="1770" w:type="dxa"/>
          </w:tcPr>
          <w:p>
            <w:pPr>
              <w:pStyle w:val="96"/>
            </w:pPr>
          </w:p>
        </w:tc>
      </w:tr>
    </w:tbl>
    <w:p>
      <w:pPr>
        <w:spacing w:line="500" w:lineRule="exact"/>
        <w:ind w:firstLine="560"/>
        <w:jc w:val="center"/>
        <w:rPr>
          <w:rFonts w:ascii="仿宋" w:hAnsi="仿宋" w:eastAsia="仿宋" w:cs="仿宋"/>
          <w:kern w:val="0"/>
          <w:sz w:val="28"/>
          <w:szCs w:val="28"/>
          <w:lang w:bidi="ar"/>
        </w:rPr>
      </w:pPr>
    </w:p>
    <w:p>
      <w:pPr>
        <w:spacing w:line="500" w:lineRule="exact"/>
        <w:ind w:firstLine="560"/>
        <w:jc w:val="center"/>
        <w:rPr>
          <w:rFonts w:ascii="仿宋" w:hAnsi="仿宋" w:eastAsia="仿宋" w:cs="仿宋"/>
          <w:kern w:val="0"/>
          <w:sz w:val="28"/>
          <w:szCs w:val="28"/>
          <w:lang w:bidi="ar"/>
        </w:rPr>
      </w:pPr>
    </w:p>
    <w:tbl>
      <w:tblPr>
        <w:tblStyle w:val="31"/>
        <w:tblW w:w="8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5155"/>
        <w:gridCol w:w="1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5" w:type="dxa"/>
            <w:gridSpan w:val="3"/>
          </w:tcPr>
          <w:p>
            <w:pPr>
              <w:pStyle w:val="98"/>
              <w:rPr>
                <w:lang w:bidi="ar"/>
              </w:rPr>
            </w:pPr>
            <w:r>
              <w:rPr>
                <w:rFonts w:hint="eastAsia"/>
                <w:lang w:bidi="ar"/>
              </w:rPr>
              <w:t>专栏1</w:t>
            </w:r>
            <w:r>
              <w:rPr>
                <w:lang w:bidi="ar"/>
              </w:rPr>
              <w:t xml:space="preserve">6-6 </w:t>
            </w:r>
            <w:r>
              <w:rPr>
                <w:rFonts w:hint="eastAsia"/>
                <w:lang w:bidi="ar"/>
              </w:rPr>
              <w:t>建筑退让公路的控制距离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道路类型</w:t>
            </w:r>
          </w:p>
        </w:tc>
        <w:tc>
          <w:tcPr>
            <w:tcW w:w="5155" w:type="dxa"/>
          </w:tcPr>
          <w:p>
            <w:pPr>
              <w:pStyle w:val="96"/>
              <w:rPr>
                <w:lang w:bidi="ar"/>
              </w:rPr>
            </w:pPr>
            <w:r>
              <w:rPr>
                <w:rFonts w:hint="eastAsia"/>
                <w:lang w:bidi="ar"/>
              </w:rPr>
              <w:t>各类建筑物退让道路红线的距离（米</w:t>
            </w:r>
            <w:r>
              <w:rPr>
                <w:lang w:bidi="ar"/>
              </w:rPr>
              <w:t>）</w:t>
            </w:r>
          </w:p>
        </w:tc>
        <w:tc>
          <w:tcPr>
            <w:tcW w:w="1770" w:type="dxa"/>
          </w:tcPr>
          <w:p>
            <w:pPr>
              <w:pStyle w:val="96"/>
              <w:rPr>
                <w:lang w:bidi="ar"/>
              </w:rPr>
            </w:pPr>
            <w:r>
              <w:rPr>
                <w:rFonts w:hint="eastAsia"/>
                <w:lang w:bidi="ar"/>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高速公路</w:t>
            </w:r>
          </w:p>
        </w:tc>
        <w:tc>
          <w:tcPr>
            <w:tcW w:w="5155" w:type="dxa"/>
          </w:tcPr>
          <w:p>
            <w:pPr>
              <w:pStyle w:val="96"/>
              <w:rPr>
                <w:lang w:bidi="ar"/>
              </w:rPr>
            </w:pPr>
            <w:r>
              <w:rPr>
                <w:rFonts w:hint="eastAsia"/>
                <w:lang w:bidi="ar"/>
              </w:rPr>
              <w:t>≥3</w:t>
            </w:r>
            <w:r>
              <w:rPr>
                <w:lang w:bidi="ar"/>
              </w:rPr>
              <w:t>0</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pStyle w:val="96"/>
              <w:rPr>
                <w:lang w:bidi="ar"/>
              </w:rPr>
            </w:pPr>
            <w:r>
              <w:rPr>
                <w:rFonts w:hint="eastAsia"/>
                <w:lang w:bidi="ar"/>
              </w:rPr>
              <w:t>国道</w:t>
            </w:r>
          </w:p>
        </w:tc>
        <w:tc>
          <w:tcPr>
            <w:tcW w:w="5155" w:type="dxa"/>
          </w:tcPr>
          <w:p>
            <w:pPr>
              <w:pStyle w:val="96"/>
              <w:rPr>
                <w:lang w:bidi="ar"/>
              </w:rPr>
            </w:pPr>
            <w:r>
              <w:rPr>
                <w:rFonts w:hint="eastAsia"/>
                <w:lang w:bidi="ar"/>
              </w:rPr>
              <w:t>≥</w:t>
            </w:r>
            <w:r>
              <w:rPr>
                <w:lang w:bidi="ar"/>
              </w:rPr>
              <w:t>20</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省道</w:t>
            </w:r>
          </w:p>
        </w:tc>
        <w:tc>
          <w:tcPr>
            <w:tcW w:w="5155" w:type="dxa"/>
          </w:tcPr>
          <w:p>
            <w:pPr>
              <w:pStyle w:val="96"/>
              <w:rPr>
                <w:lang w:bidi="ar"/>
              </w:rPr>
            </w:pPr>
            <w:r>
              <w:rPr>
                <w:rFonts w:hint="eastAsia"/>
                <w:lang w:bidi="ar"/>
              </w:rPr>
              <w:t>≥</w:t>
            </w:r>
            <w:r>
              <w:rPr>
                <w:lang w:bidi="ar"/>
              </w:rPr>
              <w:t>15</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县道</w:t>
            </w:r>
          </w:p>
        </w:tc>
        <w:tc>
          <w:tcPr>
            <w:tcW w:w="5155" w:type="dxa"/>
          </w:tcPr>
          <w:p>
            <w:pPr>
              <w:pStyle w:val="96"/>
              <w:rPr>
                <w:lang w:bidi="ar"/>
              </w:rPr>
            </w:pPr>
            <w:r>
              <w:rPr>
                <w:rFonts w:hint="eastAsia"/>
                <w:lang w:bidi="ar"/>
              </w:rPr>
              <w:t>≥</w:t>
            </w:r>
            <w:r>
              <w:rPr>
                <w:lang w:bidi="ar"/>
              </w:rPr>
              <w:t>10</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乡道</w:t>
            </w:r>
          </w:p>
        </w:tc>
        <w:tc>
          <w:tcPr>
            <w:tcW w:w="5155" w:type="dxa"/>
          </w:tcPr>
          <w:p>
            <w:pPr>
              <w:pStyle w:val="96"/>
              <w:rPr>
                <w:lang w:bidi="ar"/>
              </w:rPr>
            </w:pPr>
            <w:r>
              <w:rPr>
                <w:rFonts w:hint="eastAsia"/>
                <w:lang w:bidi="ar"/>
              </w:rPr>
              <w:t>≥</w:t>
            </w:r>
            <w:r>
              <w:rPr>
                <w:lang w:bidi="ar"/>
              </w:rPr>
              <w:t>5</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pStyle w:val="96"/>
              <w:rPr>
                <w:lang w:bidi="ar"/>
              </w:rPr>
            </w:pPr>
            <w:r>
              <w:rPr>
                <w:rFonts w:hint="eastAsia"/>
                <w:lang w:bidi="ar"/>
              </w:rPr>
              <w:t>村道</w:t>
            </w:r>
          </w:p>
        </w:tc>
        <w:tc>
          <w:tcPr>
            <w:tcW w:w="5155" w:type="dxa"/>
          </w:tcPr>
          <w:p>
            <w:pPr>
              <w:pStyle w:val="96"/>
              <w:rPr>
                <w:lang w:bidi="ar"/>
              </w:rPr>
            </w:pPr>
            <w:r>
              <w:rPr>
                <w:rFonts w:hint="eastAsia"/>
                <w:lang w:bidi="ar"/>
              </w:rPr>
              <w:t>≥</w:t>
            </w:r>
            <w:r>
              <w:rPr>
                <w:lang w:bidi="ar"/>
              </w:rPr>
              <w:t>3</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村域主干路</w:t>
            </w:r>
          </w:p>
        </w:tc>
        <w:tc>
          <w:tcPr>
            <w:tcW w:w="5155" w:type="dxa"/>
          </w:tcPr>
          <w:p>
            <w:pPr>
              <w:pStyle w:val="96"/>
              <w:rPr>
                <w:lang w:bidi="ar"/>
              </w:rPr>
            </w:pPr>
            <w:r>
              <w:rPr>
                <w:rFonts w:hint="eastAsia"/>
                <w:lang w:bidi="ar"/>
              </w:rPr>
              <w:t>≥</w:t>
            </w:r>
            <w:r>
              <w:rPr>
                <w:lang w:bidi="ar"/>
              </w:rPr>
              <w:t>1.5</w:t>
            </w:r>
          </w:p>
        </w:tc>
        <w:tc>
          <w:tcPr>
            <w:tcW w:w="1770" w:type="dxa"/>
          </w:tcPr>
          <w:p>
            <w:pPr>
              <w:pStyle w:val="96"/>
              <w:rPr>
                <w:lang w:bidi="ar"/>
              </w:rPr>
            </w:pPr>
          </w:p>
        </w:tc>
      </w:tr>
    </w:tbl>
    <w:p>
      <w:pPr>
        <w:pStyle w:val="105"/>
      </w:pPr>
      <w:r>
        <w:rPr>
          <w:rFonts w:hint="eastAsia"/>
        </w:rPr>
        <w:t>注：若村内有约定的建筑退让道路红线距离，按照约定的退让距离执行。</w:t>
      </w:r>
    </w:p>
    <w:p>
      <w:pPr>
        <w:ind w:firstLine="640"/>
      </w:pPr>
      <w:r>
        <w:t>乡村范围内各类建筑退河道（水库）管护范围线不得小于5米，且应结合防洪、生态、水系及其他专项规划进行合理控制。</w:t>
      </w:r>
    </w:p>
    <w:p>
      <w:pPr>
        <w:pStyle w:val="4"/>
        <w:spacing w:before="195" w:after="195"/>
      </w:pPr>
      <w:r>
        <w:t>农村村民自建住房管控</w:t>
      </w:r>
    </w:p>
    <w:p>
      <w:pPr>
        <w:ind w:firstLine="640"/>
      </w:pPr>
      <w:r>
        <w:t>村庄建设边界内建设用地优先保障村民自建住房用地，住宅用地不足的不得安排其他产业用地。</w:t>
      </w:r>
      <w:r>
        <w:rPr>
          <w:rFonts w:hint="eastAsia"/>
        </w:rPr>
        <w:t>村庄用地规划按住宅用地、村庄公共设施、公益事业、产业用地顺序保障。</w:t>
      </w:r>
    </w:p>
    <w:p>
      <w:pPr>
        <w:ind w:firstLine="640"/>
      </w:pPr>
      <w:r>
        <w:t>农村村民自建住房建设主体应符合农村宅基地申请条件。</w:t>
      </w:r>
      <w:r>
        <w:rPr>
          <w:rFonts w:hint="eastAsia"/>
        </w:rPr>
        <w:t>农村村民一户只能拥有一处宅基地。新建宅基地平原地区</w:t>
      </w:r>
      <w:r>
        <w:t>每户宅基地面积不得超过167平方米</w:t>
      </w:r>
      <w:r>
        <w:rPr>
          <w:rFonts w:hint="eastAsia"/>
        </w:rPr>
        <w:t>，新建宅基地山地、丘陵地区</w:t>
      </w:r>
      <w:r>
        <w:t>每户宅基地面积不得超过200平方米。</w:t>
      </w:r>
    </w:p>
    <w:p>
      <w:pPr>
        <w:ind w:firstLine="640"/>
      </w:pPr>
      <w:r>
        <w:rPr>
          <w:rFonts w:hint="eastAsia"/>
        </w:rPr>
        <w:t>利用村内原宅基地改造、翻建的，应符合村规民约，与周边住宅建筑对齐，不得扩大用地规模。涉及妨碍村庄道路等公共空间的，须按村规民约退出。</w:t>
      </w:r>
    </w:p>
    <w:p>
      <w:pPr>
        <w:ind w:firstLine="640"/>
      </w:pPr>
      <w:r>
        <w:rPr>
          <w:rFonts w:hint="eastAsia"/>
        </w:rPr>
        <w:t>村民按照规划另选址建房的，无偿退回原有宅基地。</w:t>
      </w:r>
    </w:p>
    <w:p>
      <w:pPr>
        <w:ind w:firstLine="640"/>
      </w:pPr>
      <w:r>
        <w:t>村村民自建住房建筑一般以两层为主，最高不超过三层，建筑限高12米。</w:t>
      </w:r>
    </w:p>
    <w:p>
      <w:pPr>
        <w:ind w:firstLine="640"/>
      </w:pPr>
      <w:r>
        <w:rPr>
          <w:rFonts w:hint="eastAsia"/>
        </w:rPr>
        <w:t>各村村民自建住房在不超建筑限高</w:t>
      </w:r>
      <w:r>
        <w:t>12米的前提下，可根据本村规民约、风土人情、地理环境特点等因素合理确定各村住宅层高及限高，并体现在本村村庄规划或村规民约中。</w:t>
      </w:r>
    </w:p>
    <w:p>
      <w:pPr>
        <w:ind w:firstLine="640"/>
      </w:pPr>
      <w:r>
        <w:rPr>
          <w:rFonts w:hint="eastAsia"/>
        </w:rPr>
        <w:t>对于机场、风景名胜区、文物保护区、传统村落保护区等特殊地段的村民自建住宅，建筑限高还须符合其他相关部门的专项规定。</w:t>
      </w:r>
    </w:p>
    <w:p>
      <w:pPr>
        <w:ind w:firstLine="640"/>
      </w:pPr>
      <w:r>
        <w:rPr>
          <w:rFonts w:hint="eastAsia"/>
        </w:rPr>
        <w:t>平原地区室内外高差不宜大于</w:t>
      </w:r>
      <w:r>
        <w:t>0.45米、院落和街巷高差不宜大于0.3米</w:t>
      </w:r>
      <w:r>
        <w:rPr>
          <w:rFonts w:hint="eastAsia" w:ascii="仿宋_GB2312" w:hAnsi="仿宋_GB2312" w:cs="仿宋_GB2312"/>
        </w:rPr>
        <w:t>。</w:t>
      </w:r>
    </w:p>
    <w:p>
      <w:pPr>
        <w:ind w:firstLine="640"/>
      </w:pPr>
      <w:r>
        <w:t>农村村民自建住宅建筑</w:t>
      </w:r>
      <w:r>
        <w:rPr>
          <w:rFonts w:hint="eastAsia"/>
        </w:rPr>
        <w:t>间</w:t>
      </w:r>
      <w:r>
        <w:t>距应符合村规民约，不妨害相邻权、地役权，应保证相邻利益方房屋的正常采光和通行要求，并符合《农村防火规范（GB50039-2010）》规定。</w:t>
      </w:r>
      <w:r>
        <w:rPr>
          <w:rFonts w:hint="eastAsia"/>
        </w:rPr>
        <w:t>村民联排自建住房（并山）可不考虑山墙建筑间距。</w:t>
      </w:r>
    </w:p>
    <w:p>
      <w:pPr>
        <w:ind w:firstLine="640"/>
      </w:pPr>
      <w:r>
        <w:t>农村村民自建住宅临村内道路进行住宅建设，宜按下列原则退让道路。</w:t>
      </w:r>
      <w:r>
        <w:rPr>
          <w:rFonts w:hint="eastAsia"/>
        </w:rPr>
        <w:t>新建村民自建住房临路方向应与同侧相邻建筑外墙面边界齐平，保证沿路建筑的整齐美观。临路方向退缩距离如有村规民约的，按照村规民约约定退让距离执行。村规民约没有约定的，按照正向临路方向退缩不宜小于</w:t>
      </w:r>
      <w:r>
        <w:t>2米(以道路边线为基准)，侧向临路方向退缩不宜小于1米(以道路中边线为基准)规定执行。</w:t>
      </w:r>
      <w:r>
        <w:rPr>
          <w:rFonts w:hint="eastAsia"/>
        </w:rPr>
        <w:t>村民自建住房与其他公共建筑、企业、仓储等建筑间距离，须符合建筑防火规范。</w:t>
      </w:r>
    </w:p>
    <w:p>
      <w:pPr>
        <w:ind w:firstLine="640"/>
      </w:pPr>
      <w:r>
        <w:t>农村村民自建住房可按照</w:t>
      </w:r>
      <w:r>
        <w:rPr>
          <w:rFonts w:hint="eastAsia"/>
        </w:rPr>
        <w:t>村庄规划推荐</w:t>
      </w:r>
      <w:r>
        <w:t>的农村住房设计图集建设或自行聘请设计单位进行。自行设计的，建筑风貌应与本村建筑风貌一致，符合村规民约，尊重本村居民居住习惯。村民自建低层经营性建筑或三层（含）以上住宅的，必须由有资质建筑设计单位进行设计，并按有关建筑规范要求施工。</w:t>
      </w:r>
    </w:p>
    <w:p>
      <w:pPr>
        <w:ind w:firstLine="640"/>
      </w:pPr>
      <w:r>
        <w:t>鼓励开展“空心村”、闲置用地整治，集约节约用地。为节约集约用地，对宅基地特别紧张的村庄，集体经济组织可通过综合整治，本着村民自愿的原则，统筹建设多层村民集中住宅楼，实现户有所居。</w:t>
      </w:r>
      <w:r>
        <w:rPr>
          <w:rFonts w:hint="eastAsia"/>
        </w:rPr>
        <w:t>村民集中住宅楼只限本村村民，不得对外销售、租赁。</w:t>
      </w:r>
    </w:p>
    <w:p>
      <w:pPr>
        <w:ind w:firstLine="640"/>
      </w:pPr>
      <w:r>
        <w:t>村民集中住宅楼、保障性租赁住房可按下列指标控制：</w:t>
      </w:r>
    </w:p>
    <w:tbl>
      <w:tblPr>
        <w:tblStyle w:val="31"/>
        <w:tblpPr w:leftFromText="180" w:rightFromText="180" w:vertAnchor="text" w:horzAnchor="page" w:tblpX="1821" w:tblpY="286"/>
        <w:tblOverlap w:val="never"/>
        <w:tblW w:w="534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3"/>
        <w:gridCol w:w="1312"/>
        <w:gridCol w:w="1932"/>
        <w:gridCol w:w="1853"/>
        <w:gridCol w:w="1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5000" w:type="pct"/>
            <w:gridSpan w:val="5"/>
          </w:tcPr>
          <w:p>
            <w:pPr>
              <w:pStyle w:val="98"/>
            </w:pPr>
            <w:r>
              <w:rPr>
                <w:rFonts w:hint="eastAsia"/>
              </w:rPr>
              <w:t>专栏</w:t>
            </w:r>
            <w:r>
              <w:t xml:space="preserve">16-7 </w:t>
            </w:r>
            <w:r>
              <w:rPr>
                <w:rFonts w:hint="eastAsia"/>
              </w:rPr>
              <w:t>村庄集中住宅楼、保障性租赁住房建设指标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1116" w:type="pct"/>
          </w:tcPr>
          <w:p>
            <w:pPr>
              <w:pStyle w:val="96"/>
            </w:pPr>
            <w:r>
              <w:rPr>
                <w:rFonts w:hint="eastAsia"/>
              </w:rPr>
              <w:t>建筑层数（层）</w:t>
            </w:r>
          </w:p>
        </w:tc>
        <w:tc>
          <w:tcPr>
            <w:tcW w:w="720" w:type="pct"/>
          </w:tcPr>
          <w:p>
            <w:pPr>
              <w:pStyle w:val="96"/>
            </w:pPr>
            <w:r>
              <w:rPr>
                <w:rFonts w:hint="eastAsia"/>
              </w:rPr>
              <w:t>容积率</w:t>
            </w:r>
          </w:p>
        </w:tc>
        <w:tc>
          <w:tcPr>
            <w:tcW w:w="1060" w:type="pct"/>
          </w:tcPr>
          <w:p>
            <w:pPr>
              <w:pStyle w:val="96"/>
            </w:pPr>
            <w:r>
              <w:rPr>
                <w:rFonts w:hint="eastAsia"/>
              </w:rPr>
              <w:t>建筑密度（%）</w:t>
            </w:r>
          </w:p>
        </w:tc>
        <w:tc>
          <w:tcPr>
            <w:tcW w:w="1017" w:type="pct"/>
          </w:tcPr>
          <w:p>
            <w:pPr>
              <w:pStyle w:val="96"/>
            </w:pPr>
            <w:r>
              <w:rPr>
                <w:rFonts w:hint="eastAsia"/>
              </w:rPr>
              <w:t>绿地率（%）</w:t>
            </w:r>
          </w:p>
        </w:tc>
        <w:tc>
          <w:tcPr>
            <w:tcW w:w="1087" w:type="pct"/>
          </w:tcPr>
          <w:p>
            <w:pPr>
              <w:pStyle w:val="96"/>
            </w:pPr>
            <w:r>
              <w:rPr>
                <w:rFonts w:hint="eastAsia"/>
              </w:rPr>
              <w:t>建筑高度（米）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1116" w:type="pct"/>
          </w:tcPr>
          <w:p>
            <w:pPr>
              <w:pStyle w:val="96"/>
            </w:pPr>
            <w:r>
              <w:rPr>
                <w:rFonts w:hint="eastAsia"/>
              </w:rPr>
              <w:t>≤3</w:t>
            </w:r>
          </w:p>
        </w:tc>
        <w:tc>
          <w:tcPr>
            <w:tcW w:w="720" w:type="pct"/>
          </w:tcPr>
          <w:p>
            <w:pPr>
              <w:pStyle w:val="96"/>
            </w:pPr>
            <w:r>
              <w:rPr>
                <w:rFonts w:hint="eastAsia"/>
              </w:rPr>
              <w:t>≥0</w:t>
            </w:r>
            <w:r>
              <w:t>.8</w:t>
            </w:r>
          </w:p>
        </w:tc>
        <w:tc>
          <w:tcPr>
            <w:tcW w:w="1060" w:type="pct"/>
          </w:tcPr>
          <w:p>
            <w:pPr>
              <w:pStyle w:val="96"/>
            </w:pPr>
            <w:r>
              <w:rPr>
                <w:rFonts w:hint="eastAsia"/>
              </w:rPr>
              <w:t>≤4</w:t>
            </w:r>
            <w:r>
              <w:t>7</w:t>
            </w:r>
          </w:p>
        </w:tc>
        <w:tc>
          <w:tcPr>
            <w:tcW w:w="1017" w:type="pct"/>
          </w:tcPr>
          <w:p>
            <w:pPr>
              <w:pStyle w:val="96"/>
            </w:pPr>
            <w:r>
              <w:rPr>
                <w:rFonts w:hint="eastAsia"/>
              </w:rPr>
              <w:t>≥2</w:t>
            </w:r>
            <w:r>
              <w:t>3</w:t>
            </w:r>
          </w:p>
        </w:tc>
        <w:tc>
          <w:tcPr>
            <w:tcW w:w="1087" w:type="pct"/>
          </w:tcPr>
          <w:p>
            <w:pPr>
              <w:pStyle w:val="96"/>
            </w:pPr>
            <w:r>
              <w:rPr>
                <w:rFonts w:hint="eastAsia"/>
              </w:rPr>
              <w:t>≤1</w:t>
            </w: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1116" w:type="pct"/>
          </w:tcPr>
          <w:p>
            <w:pPr>
              <w:pStyle w:val="96"/>
              <w:rPr>
                <w:rFonts w:ascii="仿宋_GB2312"/>
              </w:rPr>
            </w:pPr>
            <w:r>
              <w:rPr>
                <w:rFonts w:hint="eastAsia"/>
              </w:rPr>
              <w:t>4</w:t>
            </w:r>
            <w:r>
              <w:t>-6</w:t>
            </w:r>
          </w:p>
        </w:tc>
        <w:tc>
          <w:tcPr>
            <w:tcW w:w="720" w:type="pct"/>
          </w:tcPr>
          <w:p>
            <w:pPr>
              <w:pStyle w:val="96"/>
              <w:rPr>
                <w:rFonts w:ascii="仿宋_GB2312"/>
              </w:rPr>
            </w:pPr>
            <w:r>
              <w:rPr>
                <w:rFonts w:hint="eastAsia"/>
              </w:rPr>
              <w:t>≥</w:t>
            </w:r>
            <w:r>
              <w:t>1.2</w:t>
            </w:r>
          </w:p>
        </w:tc>
        <w:tc>
          <w:tcPr>
            <w:tcW w:w="1060" w:type="pct"/>
          </w:tcPr>
          <w:p>
            <w:pPr>
              <w:pStyle w:val="96"/>
              <w:rPr>
                <w:rFonts w:ascii="仿宋_GB2312"/>
              </w:rPr>
            </w:pPr>
            <w:r>
              <w:rPr>
                <w:rFonts w:hint="eastAsia"/>
              </w:rPr>
              <w:t>≤3</w:t>
            </w:r>
            <w:r>
              <w:t>8</w:t>
            </w:r>
          </w:p>
        </w:tc>
        <w:tc>
          <w:tcPr>
            <w:tcW w:w="1017" w:type="pct"/>
          </w:tcPr>
          <w:p>
            <w:pPr>
              <w:pStyle w:val="96"/>
              <w:rPr>
                <w:rFonts w:ascii="仿宋_GB2312"/>
              </w:rPr>
            </w:pPr>
            <w:r>
              <w:rPr>
                <w:rFonts w:hint="eastAsia"/>
              </w:rPr>
              <w:t>≥</w:t>
            </w:r>
            <w:r>
              <w:t>28</w:t>
            </w:r>
          </w:p>
        </w:tc>
        <w:tc>
          <w:tcPr>
            <w:tcW w:w="1087" w:type="pct"/>
          </w:tcPr>
          <w:p>
            <w:pPr>
              <w:pStyle w:val="96"/>
              <w:rPr>
                <w:rFonts w:ascii="仿宋_GB2312"/>
              </w:rPr>
            </w:pPr>
            <w:r>
              <w:rPr>
                <w:rFonts w:hint="eastAsia"/>
              </w:rPr>
              <w:t>≤</w:t>
            </w:r>
            <w:r>
              <w:t>24</w:t>
            </w:r>
          </w:p>
        </w:tc>
      </w:tr>
    </w:tbl>
    <w:p>
      <w:pPr>
        <w:ind w:firstLine="640"/>
      </w:pPr>
      <w:r>
        <w:t>村民集中住宅楼、保障性租赁住房建筑间距、建筑退让及其他配套设施设置可参照城市居住区有关标准执行。</w:t>
      </w:r>
    </w:p>
    <w:p>
      <w:pPr>
        <w:pStyle w:val="4"/>
        <w:spacing w:before="195" w:after="195"/>
      </w:pPr>
      <w:r>
        <w:rPr>
          <w:rFonts w:hint="eastAsia"/>
        </w:rPr>
        <w:t>村庄基础设施</w:t>
      </w:r>
    </w:p>
    <w:p>
      <w:pPr>
        <w:ind w:firstLine="640"/>
      </w:pPr>
      <w:r>
        <w:t>落实镇国土空间规划规划确定的区域性基础设施，在梳理村庄现状设施的基础上，结合实际需求，明确道路、给排水、环卫等设施的设置要求。</w:t>
      </w:r>
    </w:p>
    <w:tbl>
      <w:tblPr>
        <w:tblStyle w:val="31"/>
        <w:tblW w:w="82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1984"/>
        <w:gridCol w:w="1559"/>
        <w:gridCol w:w="1701"/>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217" w:type="dxa"/>
            <w:gridSpan w:val="5"/>
            <w:vAlign w:val="center"/>
          </w:tcPr>
          <w:p>
            <w:pPr>
              <w:pStyle w:val="98"/>
              <w:rPr>
                <w:lang w:bidi="ar"/>
              </w:rPr>
            </w:pPr>
            <w:r>
              <w:rPr>
                <w:rFonts w:hint="eastAsia"/>
                <w:lang w:bidi="ar"/>
              </w:rPr>
              <w:t>专栏</w:t>
            </w:r>
            <w:r>
              <w:rPr>
                <w:lang w:bidi="ar"/>
              </w:rPr>
              <w:t xml:space="preserve">16-8 </w:t>
            </w:r>
            <w:r>
              <w:rPr>
                <w:rFonts w:hint="eastAsia"/>
                <w:lang w:bidi="ar"/>
              </w:rPr>
              <w:t>村庄基础设施分类及项目基本配置表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类别</w:t>
            </w:r>
          </w:p>
        </w:tc>
        <w:tc>
          <w:tcPr>
            <w:tcW w:w="1984" w:type="dxa"/>
            <w:vMerge w:val="restart"/>
            <w:vAlign w:val="center"/>
          </w:tcPr>
          <w:p>
            <w:pPr>
              <w:pStyle w:val="96"/>
              <w:rPr>
                <w:lang w:bidi="ar"/>
              </w:rPr>
            </w:pPr>
            <w:r>
              <w:rPr>
                <w:rFonts w:hint="eastAsia"/>
                <w:lang w:bidi="ar"/>
              </w:rPr>
              <w:t>项目</w:t>
            </w:r>
          </w:p>
        </w:tc>
        <w:tc>
          <w:tcPr>
            <w:tcW w:w="4678" w:type="dxa"/>
            <w:gridSpan w:val="3"/>
            <w:vAlign w:val="center"/>
          </w:tcPr>
          <w:p>
            <w:pPr>
              <w:pStyle w:val="96"/>
              <w:rPr>
                <w:lang w:bidi="ar"/>
              </w:rPr>
            </w:pPr>
            <w:r>
              <w:rPr>
                <w:rFonts w:hint="eastAsia"/>
                <w:lang w:bidi="ar"/>
              </w:rPr>
              <w:t>基础设施项目配置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tcPr>
          <w:p>
            <w:pPr>
              <w:pStyle w:val="96"/>
              <w:rPr>
                <w:lang w:bidi="ar"/>
              </w:rPr>
            </w:pPr>
          </w:p>
        </w:tc>
        <w:tc>
          <w:tcPr>
            <w:tcW w:w="1984" w:type="dxa"/>
            <w:vMerge w:val="continue"/>
          </w:tcPr>
          <w:p>
            <w:pPr>
              <w:pStyle w:val="96"/>
              <w:rPr>
                <w:lang w:bidi="ar"/>
              </w:rPr>
            </w:pPr>
          </w:p>
        </w:tc>
        <w:tc>
          <w:tcPr>
            <w:tcW w:w="1559" w:type="dxa"/>
          </w:tcPr>
          <w:p>
            <w:pPr>
              <w:pStyle w:val="96"/>
              <w:rPr>
                <w:lang w:bidi="ar"/>
              </w:rPr>
            </w:pPr>
            <w:r>
              <w:rPr>
                <w:rFonts w:hint="eastAsia"/>
                <w:lang w:bidi="ar"/>
              </w:rPr>
              <w:t>集聚提升类</w:t>
            </w:r>
          </w:p>
        </w:tc>
        <w:tc>
          <w:tcPr>
            <w:tcW w:w="1701" w:type="dxa"/>
          </w:tcPr>
          <w:p>
            <w:pPr>
              <w:pStyle w:val="96"/>
              <w:rPr>
                <w:lang w:bidi="ar"/>
              </w:rPr>
            </w:pPr>
            <w:r>
              <w:rPr>
                <w:rFonts w:hint="eastAsia"/>
                <w:lang w:bidi="ar"/>
              </w:rPr>
              <w:t>特色保护类</w:t>
            </w:r>
          </w:p>
        </w:tc>
        <w:tc>
          <w:tcPr>
            <w:tcW w:w="1418" w:type="dxa"/>
          </w:tcPr>
          <w:p>
            <w:pPr>
              <w:pStyle w:val="96"/>
              <w:rPr>
                <w:lang w:bidi="ar"/>
              </w:rPr>
            </w:pPr>
            <w:r>
              <w:rPr>
                <w:rFonts w:hint="eastAsia"/>
                <w:lang w:bidi="ar"/>
              </w:rPr>
              <w:t>整治改善类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道路交通</w:t>
            </w:r>
          </w:p>
        </w:tc>
        <w:tc>
          <w:tcPr>
            <w:tcW w:w="1984" w:type="dxa"/>
          </w:tcPr>
          <w:p>
            <w:pPr>
              <w:pStyle w:val="96"/>
              <w:rPr>
                <w:lang w:bidi="ar"/>
              </w:rPr>
            </w:pPr>
            <w:r>
              <w:rPr>
                <w:rFonts w:hint="eastAsia"/>
                <w:lang w:bidi="ar"/>
              </w:rPr>
              <w:t>公交站点</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lang w:bidi="ar"/>
              </w:rPr>
            </w:pPr>
          </w:p>
        </w:tc>
        <w:tc>
          <w:tcPr>
            <w:tcW w:w="1984" w:type="dxa"/>
          </w:tcPr>
          <w:p>
            <w:pPr>
              <w:pStyle w:val="96"/>
              <w:rPr>
                <w:lang w:bidi="ar"/>
              </w:rPr>
            </w:pPr>
            <w:r>
              <w:rPr>
                <w:rFonts w:hint="eastAsia"/>
                <w:lang w:bidi="ar"/>
              </w:rPr>
              <w:t>停车场</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市政设施</w:t>
            </w:r>
          </w:p>
        </w:tc>
        <w:tc>
          <w:tcPr>
            <w:tcW w:w="1984" w:type="dxa"/>
          </w:tcPr>
          <w:p>
            <w:pPr>
              <w:pStyle w:val="96"/>
              <w:rPr>
                <w:lang w:bidi="ar"/>
              </w:rPr>
            </w:pPr>
            <w:r>
              <w:rPr>
                <w:rFonts w:hint="eastAsia"/>
                <w:lang w:bidi="ar"/>
              </w:rPr>
              <w:t>变压器，配电室</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lang w:bidi="ar"/>
              </w:rPr>
            </w:pPr>
          </w:p>
        </w:tc>
        <w:tc>
          <w:tcPr>
            <w:tcW w:w="1984" w:type="dxa"/>
          </w:tcPr>
          <w:p>
            <w:pPr>
              <w:pStyle w:val="96"/>
              <w:rPr>
                <w:lang w:bidi="ar"/>
              </w:rPr>
            </w:pPr>
            <w:r>
              <w:rPr>
                <w:rFonts w:hint="eastAsia"/>
                <w:lang w:bidi="ar"/>
              </w:rPr>
              <w:t>污水处理设施</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lang w:bidi="ar"/>
              </w:rPr>
            </w:pPr>
          </w:p>
        </w:tc>
        <w:tc>
          <w:tcPr>
            <w:tcW w:w="1984" w:type="dxa"/>
          </w:tcPr>
          <w:p>
            <w:pPr>
              <w:pStyle w:val="96"/>
              <w:rPr>
                <w:lang w:bidi="ar"/>
              </w:rPr>
            </w:pPr>
            <w:r>
              <w:rPr>
                <w:rFonts w:hint="eastAsia"/>
                <w:lang w:bidi="ar"/>
              </w:rPr>
              <w:t>水泵房</w:t>
            </w:r>
          </w:p>
        </w:tc>
        <w:tc>
          <w:tcPr>
            <w:tcW w:w="4678" w:type="dxa"/>
            <w:gridSpan w:val="3"/>
          </w:tcPr>
          <w:p>
            <w:pPr>
              <w:pStyle w:val="96"/>
              <w:rPr>
                <w:lang w:bidi="ar"/>
              </w:rPr>
            </w:pPr>
            <w:r>
              <w:rPr>
                <w:rFonts w:hint="eastAsia"/>
                <w:lang w:bidi="ar"/>
              </w:rPr>
              <w:t>非集中供水村庄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环境卫生</w:t>
            </w:r>
          </w:p>
        </w:tc>
        <w:tc>
          <w:tcPr>
            <w:tcW w:w="1984" w:type="dxa"/>
          </w:tcPr>
          <w:p>
            <w:pPr>
              <w:pStyle w:val="96"/>
              <w:rPr>
                <w:lang w:bidi="ar"/>
              </w:rPr>
            </w:pPr>
            <w:r>
              <w:rPr>
                <w:rFonts w:hint="eastAsia"/>
                <w:lang w:bidi="ar"/>
              </w:rPr>
              <w:t>垃圾收集点</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55" w:type="dxa"/>
            <w:vMerge w:val="continue"/>
          </w:tcPr>
          <w:p>
            <w:pPr>
              <w:pStyle w:val="96"/>
              <w:rPr>
                <w:lang w:bidi="ar"/>
              </w:rPr>
            </w:pPr>
          </w:p>
        </w:tc>
        <w:tc>
          <w:tcPr>
            <w:tcW w:w="1984" w:type="dxa"/>
          </w:tcPr>
          <w:p>
            <w:pPr>
              <w:pStyle w:val="96"/>
              <w:rPr>
                <w:lang w:bidi="ar"/>
              </w:rPr>
            </w:pPr>
            <w:r>
              <w:rPr>
                <w:rFonts w:hint="eastAsia"/>
                <w:lang w:bidi="ar"/>
              </w:rPr>
              <w:t>公厕</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bl>
    <w:p>
      <w:pPr>
        <w:autoSpaceDE w:val="0"/>
        <w:autoSpaceDN w:val="0"/>
        <w:ind w:firstLine="420"/>
        <w:jc w:val="left"/>
        <w:rPr>
          <w:rFonts w:ascii="楷体" w:hAnsi="楷体" w:eastAsia="楷体" w:cs="楷体"/>
          <w:kern w:val="0"/>
          <w:sz w:val="21"/>
          <w:szCs w:val="21"/>
        </w:rPr>
      </w:pPr>
      <w:r>
        <w:rPr>
          <w:rFonts w:hint="eastAsia" w:ascii="楷体" w:hAnsi="楷体" w:eastAsia="楷体" w:cs="楷体"/>
          <w:kern w:val="0"/>
          <w:sz w:val="21"/>
          <w:szCs w:val="21"/>
        </w:rPr>
        <w:t>注： ●——为应设的内容  ○——为可设的内容</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351"/>
        <w:gridCol w:w="3043"/>
        <w:gridCol w:w="3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7" w:type="dxa"/>
            <w:gridSpan w:val="4"/>
          </w:tcPr>
          <w:p>
            <w:pPr>
              <w:pStyle w:val="98"/>
              <w:rPr>
                <w:lang w:bidi="ar"/>
              </w:rPr>
            </w:pPr>
            <w:r>
              <w:rPr>
                <w:rFonts w:hint="eastAsia"/>
                <w:lang w:bidi="ar"/>
              </w:rPr>
              <w:t>专栏</w:t>
            </w:r>
            <w:r>
              <w:rPr>
                <w:lang w:bidi="ar"/>
              </w:rPr>
              <w:t xml:space="preserve">16-9 </w:t>
            </w:r>
            <w:r>
              <w:rPr>
                <w:rFonts w:hint="eastAsia"/>
                <w:lang w:bidi="ar"/>
              </w:rPr>
              <w:t>村庄基础设施配置内容表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96"/>
              <w:rPr>
                <w:lang w:bidi="ar"/>
              </w:rPr>
            </w:pPr>
            <w:r>
              <w:rPr>
                <w:rFonts w:hint="eastAsia"/>
                <w:lang w:bidi="ar"/>
              </w:rPr>
              <w:t>类别</w:t>
            </w:r>
          </w:p>
        </w:tc>
        <w:tc>
          <w:tcPr>
            <w:tcW w:w="1351" w:type="dxa"/>
          </w:tcPr>
          <w:p>
            <w:pPr>
              <w:pStyle w:val="96"/>
              <w:rPr>
                <w:lang w:bidi="ar"/>
              </w:rPr>
            </w:pPr>
            <w:r>
              <w:rPr>
                <w:rFonts w:hint="eastAsia"/>
                <w:lang w:bidi="ar"/>
              </w:rPr>
              <w:t>项目</w:t>
            </w:r>
          </w:p>
        </w:tc>
        <w:tc>
          <w:tcPr>
            <w:tcW w:w="3043" w:type="dxa"/>
          </w:tcPr>
          <w:p>
            <w:pPr>
              <w:pStyle w:val="96"/>
              <w:rPr>
                <w:lang w:bidi="ar"/>
              </w:rPr>
            </w:pPr>
            <w:r>
              <w:rPr>
                <w:rFonts w:hint="eastAsia"/>
                <w:lang w:bidi="ar"/>
              </w:rPr>
              <w:t>配置方式</w:t>
            </w:r>
          </w:p>
        </w:tc>
        <w:tc>
          <w:tcPr>
            <w:tcW w:w="3057" w:type="dxa"/>
          </w:tcPr>
          <w:p>
            <w:pPr>
              <w:pStyle w:val="96"/>
              <w:rPr>
                <w:lang w:bidi="ar"/>
              </w:rPr>
            </w:pPr>
            <w:r>
              <w:rPr>
                <w:rFonts w:hint="eastAsia"/>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restart"/>
            <w:vAlign w:val="center"/>
          </w:tcPr>
          <w:p>
            <w:pPr>
              <w:pStyle w:val="96"/>
              <w:rPr>
                <w:lang w:bidi="ar"/>
              </w:rPr>
            </w:pPr>
            <w:r>
              <w:rPr>
                <w:rFonts w:hint="eastAsia"/>
                <w:lang w:bidi="ar"/>
              </w:rPr>
              <w:t>道路交通</w:t>
            </w:r>
          </w:p>
        </w:tc>
        <w:tc>
          <w:tcPr>
            <w:tcW w:w="1351" w:type="dxa"/>
            <w:vAlign w:val="center"/>
          </w:tcPr>
          <w:p>
            <w:pPr>
              <w:pStyle w:val="96"/>
              <w:rPr>
                <w:lang w:bidi="ar"/>
              </w:rPr>
            </w:pPr>
            <w:r>
              <w:rPr>
                <w:rFonts w:hint="eastAsia"/>
                <w:lang w:bidi="ar"/>
              </w:rPr>
              <w:t>公交站点</w:t>
            </w:r>
          </w:p>
        </w:tc>
        <w:tc>
          <w:tcPr>
            <w:tcW w:w="3043" w:type="dxa"/>
            <w:vAlign w:val="center"/>
          </w:tcPr>
          <w:p>
            <w:pPr>
              <w:pStyle w:val="96"/>
              <w:rPr>
                <w:lang w:bidi="ar"/>
              </w:rPr>
            </w:pPr>
            <w:r>
              <w:rPr>
                <w:rFonts w:hint="eastAsia"/>
                <w:lang w:bidi="ar"/>
              </w:rPr>
              <w:t>满足公交车辆运行安全要求，同时尽可能不影响其他交通工具在道路的通行。</w:t>
            </w:r>
          </w:p>
        </w:tc>
        <w:tc>
          <w:tcPr>
            <w:tcW w:w="3057" w:type="dxa"/>
          </w:tcPr>
          <w:p>
            <w:pPr>
              <w:pStyle w:val="96"/>
              <w:rPr>
                <w:lang w:bidi="ar"/>
              </w:rPr>
            </w:pPr>
            <w:r>
              <w:rPr>
                <w:rFonts w:hint="eastAsia"/>
              </w:rPr>
              <w:t>宜设置在道路使用面积较富裕而人口又比较集中的村居点或村委会附近。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3"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停车场</w:t>
            </w:r>
          </w:p>
        </w:tc>
        <w:tc>
          <w:tcPr>
            <w:tcW w:w="3043" w:type="dxa"/>
            <w:vAlign w:val="center"/>
          </w:tcPr>
          <w:p>
            <w:pPr>
              <w:pStyle w:val="96"/>
              <w:rPr>
                <w:lang w:bidi="ar"/>
              </w:rPr>
            </w:pPr>
            <w:r>
              <w:rPr>
                <w:rFonts w:hint="eastAsia"/>
              </w:rPr>
              <w:t>结合村庄实际，灵活设施</w:t>
            </w:r>
          </w:p>
        </w:tc>
        <w:tc>
          <w:tcPr>
            <w:tcW w:w="3057"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46" w:type="dxa"/>
            <w:vMerge w:val="restart"/>
            <w:vAlign w:val="center"/>
          </w:tcPr>
          <w:p>
            <w:pPr>
              <w:pStyle w:val="96"/>
              <w:rPr>
                <w:lang w:bidi="ar"/>
              </w:rPr>
            </w:pPr>
            <w:r>
              <w:rPr>
                <w:rFonts w:hint="eastAsia"/>
                <w:lang w:bidi="ar"/>
              </w:rPr>
              <w:t>市政设施</w:t>
            </w:r>
          </w:p>
        </w:tc>
        <w:tc>
          <w:tcPr>
            <w:tcW w:w="1351" w:type="dxa"/>
            <w:vAlign w:val="center"/>
          </w:tcPr>
          <w:p>
            <w:pPr>
              <w:pStyle w:val="96"/>
              <w:rPr>
                <w:lang w:bidi="ar"/>
              </w:rPr>
            </w:pPr>
            <w:r>
              <w:rPr>
                <w:rFonts w:hint="eastAsia"/>
                <w:lang w:bidi="ar"/>
              </w:rPr>
              <w:t>变压器、配电室</w:t>
            </w:r>
          </w:p>
        </w:tc>
        <w:tc>
          <w:tcPr>
            <w:tcW w:w="3043" w:type="dxa"/>
            <w:vAlign w:val="center"/>
          </w:tcPr>
          <w:p>
            <w:pPr>
              <w:pStyle w:val="96"/>
            </w:pPr>
            <w:r>
              <w:rPr>
                <w:rFonts w:hint="eastAsia"/>
              </w:rPr>
              <w:t>供电半径以不超过500m为宜。</w:t>
            </w:r>
          </w:p>
        </w:tc>
        <w:tc>
          <w:tcPr>
            <w:tcW w:w="3057" w:type="dxa"/>
          </w:tcPr>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村庄排水</w:t>
            </w:r>
          </w:p>
        </w:tc>
        <w:tc>
          <w:tcPr>
            <w:tcW w:w="3043" w:type="dxa"/>
            <w:vAlign w:val="center"/>
          </w:tcPr>
          <w:p>
            <w:pPr>
              <w:pStyle w:val="96"/>
            </w:pPr>
            <w:r>
              <w:rPr>
                <w:rFonts w:hint="eastAsia"/>
              </w:rPr>
              <w:t>污水量按生活用水量的75%～90%计算。</w:t>
            </w:r>
          </w:p>
        </w:tc>
        <w:tc>
          <w:tcPr>
            <w:tcW w:w="3057" w:type="dxa"/>
          </w:tcPr>
          <w:p>
            <w:pPr>
              <w:pStyle w:val="96"/>
            </w:pPr>
            <w:r>
              <w:rPr>
                <w:rFonts w:hint="eastAsia"/>
              </w:rPr>
              <w:t>鼓励雨水采用自然下渗或排水明沟等方式收集，污水根据不同村庄实际，采用盖板渠、管网等方式进行收集。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水泵房</w:t>
            </w:r>
          </w:p>
        </w:tc>
        <w:tc>
          <w:tcPr>
            <w:tcW w:w="3043" w:type="dxa"/>
            <w:vAlign w:val="center"/>
          </w:tcPr>
          <w:p>
            <w:pPr>
              <w:pStyle w:val="96"/>
            </w:pPr>
            <w:r>
              <w:rPr>
                <w:rFonts w:hint="eastAsia"/>
              </w:rPr>
              <w:t>泵房的主要通道宽度不应小于1.2米。</w:t>
            </w:r>
          </w:p>
        </w:tc>
        <w:tc>
          <w:tcPr>
            <w:tcW w:w="3057" w:type="dxa"/>
            <w:vAlign w:val="center"/>
          </w:tcPr>
          <w:p>
            <w:pPr>
              <w:pStyle w:val="96"/>
            </w:pPr>
            <w:r>
              <w:rPr>
                <w:rFonts w:hint="eastAsia"/>
              </w:rPr>
              <w:t>非集中供水村庄</w:t>
            </w:r>
          </w:p>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46" w:type="dxa"/>
            <w:vMerge w:val="restart"/>
            <w:vAlign w:val="center"/>
          </w:tcPr>
          <w:p>
            <w:pPr>
              <w:pStyle w:val="96"/>
              <w:rPr>
                <w:lang w:bidi="ar"/>
              </w:rPr>
            </w:pPr>
            <w:r>
              <w:rPr>
                <w:rFonts w:hint="eastAsia"/>
                <w:lang w:bidi="ar"/>
              </w:rPr>
              <w:t>环境卫生</w:t>
            </w:r>
          </w:p>
        </w:tc>
        <w:tc>
          <w:tcPr>
            <w:tcW w:w="1351" w:type="dxa"/>
            <w:vAlign w:val="center"/>
          </w:tcPr>
          <w:p>
            <w:pPr>
              <w:pStyle w:val="96"/>
              <w:rPr>
                <w:lang w:bidi="ar"/>
              </w:rPr>
            </w:pPr>
            <w:r>
              <w:rPr>
                <w:rFonts w:hint="eastAsia"/>
                <w:lang w:bidi="ar"/>
              </w:rPr>
              <w:t>垃圾筒</w:t>
            </w:r>
          </w:p>
        </w:tc>
        <w:tc>
          <w:tcPr>
            <w:tcW w:w="3043" w:type="dxa"/>
            <w:vAlign w:val="center"/>
          </w:tcPr>
          <w:p>
            <w:pPr>
              <w:pStyle w:val="96"/>
            </w:pPr>
            <w:r>
              <w:rPr>
                <w:rFonts w:hint="eastAsia"/>
              </w:rPr>
              <w:t>服务半径一般不超过70m。</w:t>
            </w:r>
          </w:p>
        </w:tc>
        <w:tc>
          <w:tcPr>
            <w:tcW w:w="3057" w:type="dxa"/>
            <w:vAlign w:val="center"/>
          </w:tcPr>
          <w:p>
            <w:pPr>
              <w:pStyle w:val="96"/>
            </w:pPr>
            <w:r>
              <w:rPr>
                <w:rFonts w:hint="eastAsia"/>
              </w:rPr>
              <w:t>五星支部村庄服务半径一般不超过50m。</w:t>
            </w:r>
          </w:p>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公厕</w:t>
            </w:r>
          </w:p>
        </w:tc>
        <w:tc>
          <w:tcPr>
            <w:tcW w:w="3043" w:type="dxa"/>
            <w:vAlign w:val="center"/>
          </w:tcPr>
          <w:p>
            <w:pPr>
              <w:pStyle w:val="96"/>
            </w:pPr>
            <w:r>
              <w:rPr>
                <w:rFonts w:hint="eastAsia"/>
              </w:rPr>
              <w:t>每村至少设置一个。</w:t>
            </w:r>
          </w:p>
        </w:tc>
        <w:tc>
          <w:tcPr>
            <w:tcW w:w="3057" w:type="dxa"/>
            <w:vAlign w:val="center"/>
          </w:tcPr>
          <w:p>
            <w:pPr>
              <w:pStyle w:val="96"/>
            </w:pPr>
            <w:r>
              <w:rPr>
                <w:rFonts w:hint="eastAsia"/>
              </w:rPr>
              <w:t>建筑面积不大于60平米。</w:t>
            </w:r>
          </w:p>
        </w:tc>
      </w:tr>
    </w:tbl>
    <w:p>
      <w:pPr>
        <w:ind w:firstLine="640"/>
        <w:rPr>
          <w:lang w:bidi="ar"/>
        </w:rPr>
      </w:pPr>
      <w:r>
        <w:rPr>
          <w:rFonts w:hint="eastAsia"/>
          <w:lang w:bidi="ar"/>
        </w:rPr>
        <w:t>在乡村地区建设的机动车停车场，其用地规划控制指标宜符合下表</w:t>
      </w:r>
      <w:r>
        <w:rPr>
          <w:lang w:bidi="ar"/>
        </w:rPr>
        <w:t>的规定。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8"/>
        <w:gridCol w:w="1701"/>
        <w:gridCol w:w="2126"/>
        <w:gridCol w:w="2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4"/>
          </w:tcPr>
          <w:p>
            <w:pPr>
              <w:pStyle w:val="98"/>
              <w:ind w:firstLine="640"/>
              <w:rPr>
                <w:rFonts w:ascii="仿宋" w:hAnsi="仿宋" w:eastAsia="仿宋" w:cs="仿宋"/>
                <w:sz w:val="21"/>
                <w:szCs w:val="21"/>
              </w:rPr>
            </w:pPr>
            <w:r>
              <w:rPr>
                <w:rFonts w:hint="eastAsia"/>
                <w:lang w:bidi="ar"/>
              </w:rPr>
              <w:t>专栏</w:t>
            </w:r>
            <w:r>
              <w:rPr>
                <w:lang w:bidi="ar"/>
              </w:rPr>
              <w:t xml:space="preserve">16-10 </w:t>
            </w:r>
            <w:r>
              <w:rPr>
                <w:rFonts w:hint="eastAsia"/>
                <w:lang w:bidi="ar"/>
              </w:rPr>
              <w:t>机动车停车场建设用地规划控制指标表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838" w:type="dxa"/>
            <w:vAlign w:val="center"/>
          </w:tcPr>
          <w:p>
            <w:pPr>
              <w:spacing w:line="500" w:lineRule="exact"/>
              <w:ind w:firstLine="0" w:firstLineChars="0"/>
              <w:jc w:val="center"/>
              <w:rPr>
                <w:rFonts w:ascii="仿宋_GB2312" w:hAnsi="仿宋" w:cs="仿宋"/>
                <w:sz w:val="24"/>
                <w:szCs w:val="24"/>
              </w:rPr>
            </w:pP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机动车数量（辆）</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用地标准（平方米/标准停车位）</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用地面积（平方米）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83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小型停车场</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≤5</w:t>
            </w:r>
            <w:r>
              <w:rPr>
                <w:rFonts w:ascii="仿宋_GB2312" w:hAnsi="仿宋" w:cs="仿宋"/>
                <w:sz w:val="24"/>
                <w:szCs w:val="24"/>
              </w:rPr>
              <w:t>0</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83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中型停车场</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5</w:t>
            </w:r>
            <w:r>
              <w:rPr>
                <w:rFonts w:ascii="仿宋_GB2312" w:hAnsi="仿宋" w:cs="仿宋"/>
                <w:sz w:val="24"/>
                <w:szCs w:val="24"/>
              </w:rPr>
              <w:t>0-300</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500-9000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83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大型停车场</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00</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＞9</w:t>
            </w:r>
            <w:r>
              <w:rPr>
                <w:rFonts w:ascii="仿宋_GB2312" w:hAnsi="仿宋" w:cs="仿宋"/>
                <w:sz w:val="24"/>
                <w:szCs w:val="24"/>
              </w:rPr>
              <w:t>000</w:t>
            </w:r>
          </w:p>
        </w:tc>
      </w:tr>
    </w:tbl>
    <w:p>
      <w:pPr>
        <w:pStyle w:val="105"/>
        <w:rPr>
          <w:lang w:bidi="ar"/>
        </w:rPr>
      </w:pPr>
      <w:r>
        <w:rPr>
          <w:rFonts w:hint="eastAsia"/>
          <w:lang w:bidi="ar"/>
        </w:rPr>
        <w:t>注：</w:t>
      </w:r>
      <w:r>
        <w:rPr>
          <w:lang w:bidi="ar"/>
        </w:rPr>
        <w:t>1.标准车停车位以小型汽车为基本单位，其他车型折合为小型汽车车位的换算系数为：微型</w:t>
      </w:r>
      <w:r>
        <w:rPr>
          <w:rFonts w:hint="eastAsia"/>
          <w:lang w:bidi="ar"/>
        </w:rPr>
        <w:t>车</w:t>
      </w:r>
      <w:r>
        <w:rPr>
          <w:lang w:bidi="ar"/>
        </w:rPr>
        <w:t>0.7，小型车1.0，中型车2.0，大型车2.5，铰接车3.5。</w:t>
      </w:r>
    </w:p>
    <w:p>
      <w:pPr>
        <w:pStyle w:val="105"/>
        <w:rPr>
          <w:lang w:bidi="ar"/>
        </w:rPr>
      </w:pPr>
      <w:r>
        <w:rPr>
          <w:lang w:bidi="ar"/>
        </w:rPr>
        <w:t>2.为乡村旅游服务的停车场，可适当提高机动车停车场用地标准，结合地形地貌和游客流量，</w:t>
      </w:r>
      <w:r>
        <w:rPr>
          <w:rFonts w:hint="eastAsia"/>
          <w:lang w:bidi="ar"/>
        </w:rPr>
        <w:t>合理安排用地规模。</w:t>
      </w:r>
    </w:p>
    <w:p>
      <w:pPr>
        <w:pStyle w:val="105"/>
        <w:rPr>
          <w:lang w:bidi="ar"/>
        </w:rPr>
      </w:pPr>
      <w:r>
        <w:rPr>
          <w:lang w:bidi="ar"/>
        </w:rPr>
        <w:t>3.在村庄内部宜建设小型、中型机动车停车场，乡村文旅项目宜结合停车需求建设中型、大</w:t>
      </w:r>
      <w:r>
        <w:rPr>
          <w:rFonts w:hint="eastAsia"/>
          <w:lang w:bidi="ar"/>
        </w:rPr>
        <w:t>型停车场。</w:t>
      </w:r>
    </w:p>
    <w:p>
      <w:pPr>
        <w:pStyle w:val="4"/>
        <w:spacing w:before="195" w:after="195"/>
        <w:rPr>
          <w:lang w:bidi="ar"/>
        </w:rPr>
      </w:pPr>
      <w:r>
        <w:rPr>
          <w:rFonts w:hint="eastAsia"/>
          <w:lang w:bidi="ar"/>
        </w:rPr>
        <w:t>村庄公共服务设施</w:t>
      </w:r>
    </w:p>
    <w:p>
      <w:pPr>
        <w:ind w:firstLine="640"/>
        <w:rPr>
          <w:lang w:bidi="ar"/>
        </w:rPr>
      </w:pPr>
      <w:r>
        <w:rPr>
          <w:rFonts w:hint="eastAsia"/>
          <w:lang w:bidi="ar"/>
        </w:rPr>
        <w:t>公共服务设施应根据村庄分类、当地村民的生产生活习惯和地域乡土风貌特色设置。可参照下表设置。</w:t>
      </w:r>
    </w:p>
    <w:tbl>
      <w:tblPr>
        <w:tblStyle w:val="31"/>
        <w:tblW w:w="84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3"/>
        <w:gridCol w:w="1983"/>
        <w:gridCol w:w="1558"/>
        <w:gridCol w:w="1417"/>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99" w:type="dxa"/>
            <w:gridSpan w:val="5"/>
            <w:vAlign w:val="center"/>
          </w:tcPr>
          <w:p>
            <w:pPr>
              <w:pStyle w:val="98"/>
              <w:rPr>
                <w:lang w:bidi="ar"/>
              </w:rPr>
            </w:pPr>
            <w:r>
              <w:rPr>
                <w:rFonts w:hint="eastAsia"/>
                <w:lang w:bidi="ar"/>
              </w:rPr>
              <w:t>专栏</w:t>
            </w:r>
            <w:r>
              <w:rPr>
                <w:lang w:bidi="ar"/>
              </w:rPr>
              <w:t xml:space="preserve">16-11 </w:t>
            </w:r>
            <w:r>
              <w:rPr>
                <w:rFonts w:hint="eastAsia"/>
                <w:lang w:bidi="ar"/>
              </w:rPr>
              <w:t>村庄公共服务设施分类及项目基本配置表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lang w:bidi="ar"/>
              </w:rPr>
            </w:pPr>
            <w:r>
              <w:rPr>
                <w:rFonts w:hint="eastAsia"/>
                <w:lang w:bidi="ar"/>
              </w:rPr>
              <w:t>类别</w:t>
            </w:r>
          </w:p>
        </w:tc>
        <w:tc>
          <w:tcPr>
            <w:tcW w:w="1983" w:type="dxa"/>
            <w:vMerge w:val="restart"/>
            <w:vAlign w:val="center"/>
          </w:tcPr>
          <w:p>
            <w:pPr>
              <w:pStyle w:val="96"/>
              <w:rPr>
                <w:lang w:bidi="ar"/>
              </w:rPr>
            </w:pPr>
            <w:r>
              <w:rPr>
                <w:rFonts w:hint="eastAsia"/>
                <w:lang w:bidi="ar"/>
              </w:rPr>
              <w:t>项目</w:t>
            </w:r>
          </w:p>
        </w:tc>
        <w:tc>
          <w:tcPr>
            <w:tcW w:w="4393" w:type="dxa"/>
            <w:gridSpan w:val="3"/>
          </w:tcPr>
          <w:p>
            <w:pPr>
              <w:pStyle w:val="96"/>
              <w:rPr>
                <w:lang w:bidi="ar"/>
              </w:rPr>
            </w:pPr>
            <w:r>
              <w:rPr>
                <w:rFonts w:hint="eastAsia"/>
                <w:lang w:bidi="ar"/>
              </w:rPr>
              <w:t>公共设施项目配置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tcPr>
          <w:p>
            <w:pPr>
              <w:pStyle w:val="96"/>
              <w:rPr>
                <w:lang w:bidi="ar"/>
              </w:rPr>
            </w:pPr>
          </w:p>
        </w:tc>
        <w:tc>
          <w:tcPr>
            <w:tcW w:w="1983" w:type="dxa"/>
            <w:vMerge w:val="continue"/>
          </w:tcPr>
          <w:p>
            <w:pPr>
              <w:pStyle w:val="96"/>
              <w:rPr>
                <w:lang w:bidi="ar"/>
              </w:rPr>
            </w:pPr>
          </w:p>
        </w:tc>
        <w:tc>
          <w:tcPr>
            <w:tcW w:w="1558" w:type="dxa"/>
          </w:tcPr>
          <w:p>
            <w:pPr>
              <w:pStyle w:val="96"/>
              <w:rPr>
                <w:lang w:bidi="ar"/>
              </w:rPr>
            </w:pPr>
            <w:r>
              <w:rPr>
                <w:rFonts w:hint="eastAsia"/>
                <w:lang w:bidi="ar"/>
              </w:rPr>
              <w:t>集聚提升类</w:t>
            </w:r>
          </w:p>
        </w:tc>
        <w:tc>
          <w:tcPr>
            <w:tcW w:w="1417" w:type="dxa"/>
          </w:tcPr>
          <w:p>
            <w:pPr>
              <w:pStyle w:val="96"/>
              <w:rPr>
                <w:lang w:bidi="ar"/>
              </w:rPr>
            </w:pPr>
            <w:r>
              <w:rPr>
                <w:rFonts w:hint="eastAsia"/>
                <w:lang w:bidi="ar"/>
              </w:rPr>
              <w:t>特色保护类</w:t>
            </w:r>
          </w:p>
        </w:tc>
        <w:tc>
          <w:tcPr>
            <w:tcW w:w="1418" w:type="dxa"/>
          </w:tcPr>
          <w:p>
            <w:pPr>
              <w:pStyle w:val="96"/>
              <w:rPr>
                <w:lang w:bidi="ar"/>
              </w:rPr>
            </w:pPr>
            <w:r>
              <w:rPr>
                <w:rFonts w:hint="eastAsia"/>
                <w:lang w:bidi="ar"/>
              </w:rPr>
              <w:t>整治改善类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行政管理</w:t>
            </w:r>
          </w:p>
        </w:tc>
        <w:tc>
          <w:tcPr>
            <w:tcW w:w="1983" w:type="dxa"/>
            <w:vAlign w:val="center"/>
          </w:tcPr>
          <w:p>
            <w:pPr>
              <w:pStyle w:val="96"/>
              <w:rPr>
                <w:lang w:bidi="ar"/>
              </w:rPr>
            </w:pPr>
            <w:r>
              <w:rPr>
                <w:rFonts w:hint="eastAsia"/>
                <w:lang w:bidi="ar"/>
              </w:rPr>
              <w:t>村委会</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lang w:bidi="ar"/>
              </w:rPr>
            </w:pPr>
            <w:r>
              <w:rPr>
                <w:rFonts w:hint="eastAsia"/>
                <w:lang w:bidi="ar"/>
              </w:rPr>
              <w:t>教育机构</w:t>
            </w:r>
          </w:p>
        </w:tc>
        <w:tc>
          <w:tcPr>
            <w:tcW w:w="1983" w:type="dxa"/>
            <w:vAlign w:val="center"/>
          </w:tcPr>
          <w:p>
            <w:pPr>
              <w:pStyle w:val="96"/>
              <w:rPr>
                <w:lang w:bidi="ar"/>
              </w:rPr>
            </w:pPr>
            <w:r>
              <w:rPr>
                <w:rFonts w:hint="eastAsia"/>
                <w:lang w:bidi="ar"/>
              </w:rPr>
              <w:t>小学</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幼儿园</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托儿所</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文化科技</w:t>
            </w:r>
          </w:p>
        </w:tc>
        <w:tc>
          <w:tcPr>
            <w:tcW w:w="1983" w:type="dxa"/>
            <w:vAlign w:val="center"/>
          </w:tcPr>
          <w:p>
            <w:pPr>
              <w:pStyle w:val="96"/>
              <w:rPr>
                <w:lang w:bidi="ar"/>
              </w:rPr>
            </w:pPr>
            <w:r>
              <w:rPr>
                <w:rFonts w:hint="eastAsia"/>
                <w:lang w:bidi="ar"/>
              </w:rPr>
              <w:t>文化大院</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体育设施</w:t>
            </w:r>
          </w:p>
        </w:tc>
        <w:tc>
          <w:tcPr>
            <w:tcW w:w="1983" w:type="dxa"/>
            <w:vAlign w:val="center"/>
          </w:tcPr>
          <w:p>
            <w:pPr>
              <w:pStyle w:val="96"/>
              <w:rPr>
                <w:lang w:bidi="ar"/>
              </w:rPr>
            </w:pPr>
            <w:r>
              <w:rPr>
                <w:rFonts w:hint="eastAsia"/>
                <w:lang w:bidi="ar"/>
              </w:rPr>
              <w:t>休闲运动广场</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医疗设施</w:t>
            </w:r>
          </w:p>
        </w:tc>
        <w:tc>
          <w:tcPr>
            <w:tcW w:w="1983" w:type="dxa"/>
            <w:vAlign w:val="center"/>
          </w:tcPr>
          <w:p>
            <w:pPr>
              <w:pStyle w:val="96"/>
              <w:rPr>
                <w:lang w:bidi="ar"/>
              </w:rPr>
            </w:pPr>
            <w:r>
              <w:rPr>
                <w:rFonts w:hint="eastAsia"/>
                <w:lang w:bidi="ar"/>
              </w:rPr>
              <w:t>村卫生室</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社会保障</w:t>
            </w:r>
          </w:p>
        </w:tc>
        <w:tc>
          <w:tcPr>
            <w:tcW w:w="1983" w:type="dxa"/>
            <w:vAlign w:val="center"/>
          </w:tcPr>
          <w:p>
            <w:pPr>
              <w:pStyle w:val="96"/>
              <w:rPr>
                <w:lang w:bidi="ar"/>
              </w:rPr>
            </w:pPr>
            <w:r>
              <w:rPr>
                <w:rFonts w:hint="eastAsia"/>
                <w:lang w:bidi="ar"/>
              </w:rPr>
              <w:t>日间照料中心</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lang w:bidi="ar"/>
              </w:rPr>
            </w:pPr>
            <w:r>
              <w:rPr>
                <w:rFonts w:hint="eastAsia"/>
                <w:lang w:bidi="ar"/>
              </w:rPr>
              <w:t>商业服务</w:t>
            </w:r>
          </w:p>
        </w:tc>
        <w:tc>
          <w:tcPr>
            <w:tcW w:w="1983" w:type="dxa"/>
            <w:vAlign w:val="center"/>
          </w:tcPr>
          <w:p>
            <w:pPr>
              <w:pStyle w:val="96"/>
              <w:rPr>
                <w:lang w:bidi="ar"/>
              </w:rPr>
            </w:pPr>
            <w:r>
              <w:rPr>
                <w:rFonts w:hint="eastAsia"/>
                <w:lang w:bidi="ar"/>
              </w:rPr>
              <w:t>小卖部</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小型超市</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餐饮、特产店</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旅馆、招待所</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bl>
    <w:p>
      <w:pPr>
        <w:ind w:firstLine="420"/>
        <w:jc w:val="left"/>
        <w:rPr>
          <w:rFonts w:ascii="楷体" w:hAnsi="楷体" w:eastAsia="楷体" w:cs="楷体"/>
          <w:sz w:val="21"/>
          <w:szCs w:val="21"/>
        </w:rPr>
      </w:pPr>
      <w:r>
        <w:rPr>
          <w:rFonts w:hint="eastAsia" w:ascii="楷体" w:hAnsi="楷体" w:eastAsia="楷体" w:cs="楷体"/>
          <w:kern w:val="0"/>
          <w:sz w:val="21"/>
          <w:szCs w:val="21"/>
          <w:lang w:bidi="ar"/>
        </w:rPr>
        <w:t>注： ●—为应设的内容○—为可设的内容</w:t>
      </w:r>
    </w:p>
    <w:p>
      <w:pPr>
        <w:ind w:firstLine="640"/>
        <w:rPr>
          <w:lang w:bidi="ar"/>
        </w:rPr>
      </w:pPr>
      <w:r>
        <w:rPr>
          <w:rFonts w:hint="eastAsia"/>
          <w:lang w:bidi="ar"/>
        </w:rPr>
        <w:t>配置标准应根据村庄类别配置村庄公共设施，村庄主要公共设施的单项设施用地面积可参考下表规定。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276"/>
        <w:gridCol w:w="1701"/>
        <w:gridCol w:w="44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8297" w:type="dxa"/>
            <w:gridSpan w:val="4"/>
          </w:tcPr>
          <w:p>
            <w:pPr>
              <w:pStyle w:val="98"/>
              <w:rPr>
                <w:lang w:bidi="ar"/>
              </w:rPr>
            </w:pPr>
            <w:r>
              <w:rPr>
                <w:rFonts w:hint="eastAsia"/>
                <w:lang w:bidi="ar"/>
              </w:rPr>
              <w:t>专栏</w:t>
            </w:r>
            <w:r>
              <w:rPr>
                <w:lang w:bidi="ar"/>
              </w:rPr>
              <w:t xml:space="preserve">16-12 </w:t>
            </w:r>
            <w:r>
              <w:rPr>
                <w:rFonts w:hint="eastAsia"/>
                <w:lang w:bidi="ar"/>
              </w:rPr>
              <w:t>村庄公共设施用地面积参考指标（单位：平方米）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846" w:type="dxa"/>
          </w:tcPr>
          <w:p>
            <w:pPr>
              <w:pStyle w:val="96"/>
              <w:rPr>
                <w:lang w:bidi="ar"/>
              </w:rPr>
            </w:pPr>
            <w:r>
              <w:rPr>
                <w:rFonts w:hint="eastAsia"/>
                <w:lang w:bidi="ar"/>
              </w:rPr>
              <w:t>类别</w:t>
            </w:r>
          </w:p>
        </w:tc>
        <w:tc>
          <w:tcPr>
            <w:tcW w:w="1276" w:type="dxa"/>
          </w:tcPr>
          <w:p>
            <w:pPr>
              <w:pStyle w:val="96"/>
              <w:rPr>
                <w:lang w:bidi="ar"/>
              </w:rPr>
            </w:pPr>
            <w:r>
              <w:rPr>
                <w:rFonts w:hint="eastAsia"/>
                <w:lang w:bidi="ar"/>
              </w:rPr>
              <w:t>设施名称</w:t>
            </w:r>
          </w:p>
        </w:tc>
        <w:tc>
          <w:tcPr>
            <w:tcW w:w="1701" w:type="dxa"/>
          </w:tcPr>
          <w:p>
            <w:pPr>
              <w:pStyle w:val="96"/>
              <w:rPr>
                <w:lang w:bidi="ar"/>
              </w:rPr>
            </w:pPr>
            <w:r>
              <w:rPr>
                <w:rFonts w:hint="eastAsia"/>
                <w:lang w:bidi="ar"/>
              </w:rPr>
              <w:t>建筑面积</w:t>
            </w:r>
          </w:p>
        </w:tc>
        <w:tc>
          <w:tcPr>
            <w:tcW w:w="4474" w:type="dxa"/>
          </w:tcPr>
          <w:p>
            <w:pPr>
              <w:pStyle w:val="96"/>
              <w:rPr>
                <w:lang w:bidi="ar"/>
              </w:rPr>
            </w:pPr>
            <w:r>
              <w:rPr>
                <w:rFonts w:hint="eastAsia"/>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96"/>
              <w:rPr>
                <w:lang w:bidi="ar"/>
              </w:rPr>
            </w:pPr>
            <w:r>
              <w:rPr>
                <w:rFonts w:hint="eastAsia"/>
                <w:lang w:bidi="ar"/>
              </w:rPr>
              <w:t>行政管理</w:t>
            </w:r>
          </w:p>
        </w:tc>
        <w:tc>
          <w:tcPr>
            <w:tcW w:w="1276" w:type="dxa"/>
            <w:vAlign w:val="center"/>
          </w:tcPr>
          <w:p>
            <w:pPr>
              <w:pStyle w:val="96"/>
              <w:rPr>
                <w:lang w:bidi="ar"/>
              </w:rPr>
            </w:pPr>
            <w:r>
              <w:rPr>
                <w:rFonts w:hint="eastAsia"/>
                <w:lang w:bidi="ar"/>
              </w:rPr>
              <w:t>村委会</w:t>
            </w:r>
          </w:p>
        </w:tc>
        <w:tc>
          <w:tcPr>
            <w:tcW w:w="1701" w:type="dxa"/>
            <w:vAlign w:val="center"/>
          </w:tcPr>
          <w:p>
            <w:pPr>
              <w:pStyle w:val="96"/>
              <w:rPr>
                <w:lang w:bidi="ar"/>
              </w:rPr>
            </w:pPr>
            <w:r>
              <w:rPr>
                <w:rFonts w:hint="eastAsia"/>
                <w:lang w:bidi="ar"/>
              </w:rPr>
              <w:t>200-500</w:t>
            </w:r>
          </w:p>
        </w:tc>
        <w:tc>
          <w:tcPr>
            <w:tcW w:w="4474" w:type="dxa"/>
          </w:tcPr>
          <w:p>
            <w:pPr>
              <w:pStyle w:val="96"/>
              <w:rPr>
                <w:lang w:bidi="ar"/>
              </w:rPr>
            </w:pPr>
            <w:r>
              <w:rPr>
                <w:rFonts w:hint="eastAsia"/>
              </w:rPr>
              <w:t>宜布置在方便出入、便于办事的地点，原则上独立于村民住宅。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restart"/>
            <w:vAlign w:val="center"/>
          </w:tcPr>
          <w:p>
            <w:pPr>
              <w:pStyle w:val="96"/>
              <w:rPr>
                <w:lang w:bidi="ar"/>
              </w:rPr>
            </w:pPr>
            <w:r>
              <w:rPr>
                <w:rFonts w:hint="eastAsia"/>
                <w:lang w:bidi="ar"/>
              </w:rPr>
              <w:t>教育机构</w:t>
            </w:r>
          </w:p>
        </w:tc>
        <w:tc>
          <w:tcPr>
            <w:tcW w:w="1276" w:type="dxa"/>
            <w:vAlign w:val="center"/>
          </w:tcPr>
          <w:p>
            <w:pPr>
              <w:pStyle w:val="96"/>
              <w:rPr>
                <w:lang w:bidi="ar"/>
              </w:rPr>
            </w:pPr>
            <w:r>
              <w:rPr>
                <w:rFonts w:hint="eastAsia"/>
                <w:lang w:bidi="ar"/>
              </w:rPr>
              <w:t>小学</w:t>
            </w:r>
          </w:p>
        </w:tc>
        <w:tc>
          <w:tcPr>
            <w:tcW w:w="1701" w:type="dxa"/>
            <w:vAlign w:val="center"/>
          </w:tcPr>
          <w:p>
            <w:pPr>
              <w:pStyle w:val="96"/>
              <w:rPr>
                <w:lang w:bidi="ar"/>
              </w:rPr>
            </w:pPr>
            <w:r>
              <w:rPr>
                <w:rFonts w:hint="eastAsia"/>
                <w:lang w:bidi="ar"/>
              </w:rPr>
              <w:t>4000-8000</w:t>
            </w:r>
          </w:p>
        </w:tc>
        <w:tc>
          <w:tcPr>
            <w:tcW w:w="4474" w:type="dxa"/>
          </w:tcPr>
          <w:p>
            <w:pPr>
              <w:pStyle w:val="96"/>
            </w:pPr>
            <w:r>
              <w:rPr>
                <w:rFonts w:hint="eastAsia"/>
              </w:rPr>
              <w:t>应独立占地。可根据乡村生活圈配置要求采取多村合设的方式。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幼儿园</w:t>
            </w:r>
          </w:p>
        </w:tc>
        <w:tc>
          <w:tcPr>
            <w:tcW w:w="1701" w:type="dxa"/>
            <w:vAlign w:val="center"/>
          </w:tcPr>
          <w:p>
            <w:pPr>
              <w:pStyle w:val="96"/>
              <w:rPr>
                <w:lang w:bidi="ar"/>
              </w:rPr>
            </w:pPr>
            <w:r>
              <w:rPr>
                <w:rFonts w:hint="eastAsia"/>
                <w:lang w:bidi="ar"/>
              </w:rPr>
              <w:t>600-1800</w:t>
            </w:r>
          </w:p>
        </w:tc>
        <w:tc>
          <w:tcPr>
            <w:tcW w:w="4474" w:type="dxa"/>
          </w:tcPr>
          <w:p>
            <w:pPr>
              <w:pStyle w:val="96"/>
            </w:pPr>
            <w:r>
              <w:rPr>
                <w:rFonts w:hint="eastAsia"/>
              </w:rPr>
              <w:t>独立设置或与绿地结合设置。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托儿所</w:t>
            </w:r>
          </w:p>
        </w:tc>
        <w:tc>
          <w:tcPr>
            <w:tcW w:w="1701" w:type="dxa"/>
            <w:vAlign w:val="center"/>
          </w:tcPr>
          <w:p>
            <w:pPr>
              <w:pStyle w:val="96"/>
              <w:rPr>
                <w:lang w:bidi="ar"/>
              </w:rPr>
            </w:pPr>
            <w:r>
              <w:rPr>
                <w:rFonts w:hint="eastAsia"/>
                <w:lang w:bidi="ar"/>
              </w:rPr>
              <w:t>600-1800</w:t>
            </w:r>
          </w:p>
        </w:tc>
        <w:tc>
          <w:tcPr>
            <w:tcW w:w="4474" w:type="dxa"/>
          </w:tcPr>
          <w:p>
            <w:pPr>
              <w:pStyle w:val="96"/>
            </w:pPr>
            <w:r>
              <w:rPr>
                <w:rFonts w:hint="eastAsia"/>
              </w:rPr>
              <w:t>独立设置或与幼儿园、绿地等结合设置。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96"/>
              <w:rPr>
                <w:lang w:bidi="ar"/>
              </w:rPr>
            </w:pPr>
            <w:r>
              <w:rPr>
                <w:rFonts w:hint="eastAsia"/>
                <w:lang w:bidi="ar"/>
              </w:rPr>
              <w:t>文化科技</w:t>
            </w:r>
          </w:p>
        </w:tc>
        <w:tc>
          <w:tcPr>
            <w:tcW w:w="1276" w:type="dxa"/>
            <w:vAlign w:val="center"/>
          </w:tcPr>
          <w:p>
            <w:pPr>
              <w:pStyle w:val="96"/>
              <w:rPr>
                <w:lang w:bidi="ar"/>
              </w:rPr>
            </w:pPr>
            <w:r>
              <w:rPr>
                <w:rFonts w:hint="eastAsia"/>
                <w:lang w:bidi="ar"/>
              </w:rPr>
              <w:t>文化大院</w:t>
            </w:r>
          </w:p>
        </w:tc>
        <w:tc>
          <w:tcPr>
            <w:tcW w:w="1701" w:type="dxa"/>
            <w:vAlign w:val="center"/>
          </w:tcPr>
          <w:p>
            <w:pPr>
              <w:pStyle w:val="96"/>
              <w:rPr>
                <w:lang w:bidi="ar"/>
              </w:rPr>
            </w:pPr>
            <w:r>
              <w:rPr>
                <w:rFonts w:hint="eastAsia"/>
                <w:lang w:bidi="ar"/>
              </w:rPr>
              <w:t>200-800</w:t>
            </w:r>
          </w:p>
        </w:tc>
        <w:tc>
          <w:tcPr>
            <w:tcW w:w="4474" w:type="dxa"/>
          </w:tcPr>
          <w:p>
            <w:pPr>
              <w:pStyle w:val="96"/>
            </w:pPr>
            <w:r>
              <w:rPr>
                <w:rFonts w:hint="eastAsia"/>
              </w:rPr>
              <w:t>应包括科技服务、图书阅览等功能。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96"/>
              <w:rPr>
                <w:lang w:bidi="ar"/>
              </w:rPr>
            </w:pPr>
            <w:r>
              <w:rPr>
                <w:rFonts w:hint="eastAsia"/>
                <w:lang w:bidi="ar"/>
              </w:rPr>
              <w:t>体育设施</w:t>
            </w:r>
          </w:p>
        </w:tc>
        <w:tc>
          <w:tcPr>
            <w:tcW w:w="1276" w:type="dxa"/>
            <w:vAlign w:val="center"/>
          </w:tcPr>
          <w:p>
            <w:pPr>
              <w:pStyle w:val="96"/>
              <w:rPr>
                <w:lang w:bidi="ar"/>
              </w:rPr>
            </w:pPr>
            <w:r>
              <w:rPr>
                <w:rFonts w:hint="eastAsia"/>
                <w:lang w:bidi="ar"/>
              </w:rPr>
              <w:t>休闲运动广场</w:t>
            </w:r>
          </w:p>
        </w:tc>
        <w:tc>
          <w:tcPr>
            <w:tcW w:w="1701" w:type="dxa"/>
            <w:vAlign w:val="center"/>
          </w:tcPr>
          <w:p>
            <w:pPr>
              <w:pStyle w:val="96"/>
              <w:rPr>
                <w:lang w:bidi="ar"/>
              </w:rPr>
            </w:pPr>
            <w:r>
              <w:rPr>
                <w:rFonts w:hint="eastAsia"/>
                <w:lang w:bidi="ar"/>
              </w:rPr>
              <w:t>600-2000</w:t>
            </w:r>
          </w:p>
          <w:p>
            <w:pPr>
              <w:pStyle w:val="96"/>
              <w:rPr>
                <w:lang w:bidi="ar"/>
              </w:rPr>
            </w:pPr>
            <w:r>
              <w:rPr>
                <w:rFonts w:hint="eastAsia"/>
                <w:lang w:bidi="ar"/>
              </w:rPr>
              <w:t>（用地面积）</w:t>
            </w:r>
          </w:p>
        </w:tc>
        <w:tc>
          <w:tcPr>
            <w:tcW w:w="4474" w:type="dxa"/>
          </w:tcPr>
          <w:p>
            <w:pPr>
              <w:pStyle w:val="96"/>
            </w:pPr>
            <w:r>
              <w:rPr>
                <w:rFonts w:hint="eastAsia"/>
              </w:rPr>
              <w:t>可与绿地结合建设。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Align w:val="center"/>
          </w:tcPr>
          <w:p>
            <w:pPr>
              <w:pStyle w:val="96"/>
              <w:rPr>
                <w:lang w:bidi="ar"/>
              </w:rPr>
            </w:pPr>
            <w:r>
              <w:rPr>
                <w:rFonts w:hint="eastAsia"/>
                <w:lang w:bidi="ar"/>
              </w:rPr>
              <w:t>医疗设施</w:t>
            </w:r>
          </w:p>
        </w:tc>
        <w:tc>
          <w:tcPr>
            <w:tcW w:w="1276" w:type="dxa"/>
            <w:vAlign w:val="center"/>
          </w:tcPr>
          <w:p>
            <w:pPr>
              <w:pStyle w:val="96"/>
              <w:rPr>
                <w:lang w:bidi="ar"/>
              </w:rPr>
            </w:pPr>
            <w:r>
              <w:rPr>
                <w:rFonts w:hint="eastAsia"/>
                <w:lang w:bidi="ar"/>
              </w:rPr>
              <w:t>村卫生室</w:t>
            </w:r>
          </w:p>
        </w:tc>
        <w:tc>
          <w:tcPr>
            <w:tcW w:w="1701" w:type="dxa"/>
            <w:vAlign w:val="center"/>
          </w:tcPr>
          <w:p>
            <w:pPr>
              <w:pStyle w:val="96"/>
              <w:rPr>
                <w:lang w:bidi="ar"/>
              </w:rPr>
            </w:pPr>
            <w:r>
              <w:rPr>
                <w:rFonts w:hint="eastAsia"/>
                <w:lang w:bidi="ar"/>
              </w:rPr>
              <w:t>50-100</w:t>
            </w:r>
          </w:p>
        </w:tc>
        <w:tc>
          <w:tcPr>
            <w:tcW w:w="4474" w:type="dxa"/>
          </w:tcPr>
          <w:p>
            <w:pPr>
              <w:pStyle w:val="96"/>
            </w:pPr>
            <w:r>
              <w:rPr>
                <w:rFonts w:hint="eastAsia"/>
              </w:rPr>
              <w:t>原则上一个行政村设置一所村卫生室，人口较多或者居住分散的行政村可酌情增设;人口较少或面积较小的行政村，可与相邻行政村联合设置村卫生室。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Align w:val="center"/>
          </w:tcPr>
          <w:p>
            <w:pPr>
              <w:pStyle w:val="96"/>
              <w:rPr>
                <w:lang w:bidi="ar"/>
              </w:rPr>
            </w:pPr>
            <w:r>
              <w:rPr>
                <w:rFonts w:hint="eastAsia"/>
                <w:lang w:bidi="ar"/>
              </w:rPr>
              <w:t>社会保障</w:t>
            </w:r>
          </w:p>
        </w:tc>
        <w:tc>
          <w:tcPr>
            <w:tcW w:w="1276" w:type="dxa"/>
            <w:vAlign w:val="center"/>
          </w:tcPr>
          <w:p>
            <w:pPr>
              <w:pStyle w:val="96"/>
              <w:rPr>
                <w:lang w:bidi="ar"/>
              </w:rPr>
            </w:pPr>
            <w:r>
              <w:rPr>
                <w:rFonts w:hint="eastAsia"/>
                <w:lang w:bidi="ar"/>
              </w:rPr>
              <w:t>日间照料中心</w:t>
            </w:r>
          </w:p>
        </w:tc>
        <w:tc>
          <w:tcPr>
            <w:tcW w:w="1701" w:type="dxa"/>
            <w:vAlign w:val="center"/>
          </w:tcPr>
          <w:p>
            <w:pPr>
              <w:pStyle w:val="96"/>
              <w:rPr>
                <w:lang w:bidi="ar"/>
              </w:rPr>
            </w:pPr>
            <w:r>
              <w:rPr>
                <w:rFonts w:hint="eastAsia"/>
                <w:lang w:bidi="ar"/>
              </w:rPr>
              <w:t>200-800</w:t>
            </w:r>
          </w:p>
        </w:tc>
        <w:tc>
          <w:tcPr>
            <w:tcW w:w="4474" w:type="dxa"/>
          </w:tcPr>
          <w:p>
            <w:pPr>
              <w:pStyle w:val="96"/>
            </w:pPr>
            <w:r>
              <w:rPr>
                <w:rFonts w:hint="eastAsia"/>
              </w:rPr>
              <w:t>宜综合设置。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restart"/>
            <w:vAlign w:val="center"/>
          </w:tcPr>
          <w:p>
            <w:pPr>
              <w:pStyle w:val="96"/>
              <w:rPr>
                <w:lang w:bidi="ar"/>
              </w:rPr>
            </w:pPr>
            <w:r>
              <w:rPr>
                <w:rFonts w:hint="eastAsia"/>
                <w:lang w:bidi="ar"/>
              </w:rPr>
              <w:t>商业服务</w:t>
            </w:r>
          </w:p>
        </w:tc>
        <w:tc>
          <w:tcPr>
            <w:tcW w:w="1276" w:type="dxa"/>
            <w:vAlign w:val="center"/>
          </w:tcPr>
          <w:p>
            <w:pPr>
              <w:pStyle w:val="96"/>
              <w:rPr>
                <w:lang w:bidi="ar"/>
              </w:rPr>
            </w:pPr>
            <w:r>
              <w:rPr>
                <w:rFonts w:hint="eastAsia"/>
                <w:lang w:bidi="ar"/>
              </w:rPr>
              <w:t>小卖部</w:t>
            </w:r>
          </w:p>
        </w:tc>
        <w:tc>
          <w:tcPr>
            <w:tcW w:w="1701" w:type="dxa"/>
            <w:vAlign w:val="center"/>
          </w:tcPr>
          <w:p>
            <w:pPr>
              <w:pStyle w:val="96"/>
              <w:rPr>
                <w:lang w:bidi="ar"/>
              </w:rPr>
            </w:pPr>
            <w:r>
              <w:rPr>
                <w:rFonts w:hint="eastAsia"/>
                <w:lang w:bidi="ar"/>
              </w:rPr>
              <w:t>300-1000</w:t>
            </w:r>
          </w:p>
        </w:tc>
        <w:tc>
          <w:tcPr>
            <w:tcW w:w="4474" w:type="dxa"/>
          </w:tcPr>
          <w:p>
            <w:pPr>
              <w:pStyle w:val="96"/>
            </w:pPr>
            <w:r>
              <w:rPr>
                <w:rFonts w:hint="eastAsia"/>
              </w:rPr>
              <w:t>宜综合设置。各行政村设一处，村域面积较大或集中农村居民点较分散情况下可多点设置。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小型超市</w:t>
            </w:r>
          </w:p>
        </w:tc>
        <w:tc>
          <w:tcPr>
            <w:tcW w:w="1701" w:type="dxa"/>
            <w:vAlign w:val="center"/>
          </w:tcPr>
          <w:p>
            <w:pPr>
              <w:pStyle w:val="96"/>
              <w:rPr>
                <w:lang w:bidi="ar"/>
              </w:rPr>
            </w:pPr>
            <w:r>
              <w:rPr>
                <w:rFonts w:hint="eastAsia"/>
                <w:lang w:bidi="ar"/>
              </w:rPr>
              <w:t>500-800</w:t>
            </w:r>
          </w:p>
        </w:tc>
        <w:tc>
          <w:tcPr>
            <w:tcW w:w="4474" w:type="dxa"/>
          </w:tcPr>
          <w:p>
            <w:pPr>
              <w:pStyle w:val="96"/>
            </w:pPr>
            <w:r>
              <w:rPr>
                <w:rFonts w:hint="eastAsia"/>
              </w:rPr>
              <w:t>根据村庄规模设置。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餐饮、特产店</w:t>
            </w:r>
          </w:p>
        </w:tc>
        <w:tc>
          <w:tcPr>
            <w:tcW w:w="1701" w:type="dxa"/>
            <w:vAlign w:val="center"/>
          </w:tcPr>
          <w:p>
            <w:pPr>
              <w:pStyle w:val="96"/>
              <w:rPr>
                <w:lang w:bidi="ar"/>
              </w:rPr>
            </w:pPr>
            <w:r>
              <w:rPr>
                <w:rFonts w:hint="eastAsia"/>
                <w:lang w:bidi="ar"/>
              </w:rPr>
              <w:t>——</w:t>
            </w:r>
          </w:p>
        </w:tc>
        <w:tc>
          <w:tcPr>
            <w:tcW w:w="4474" w:type="dxa"/>
          </w:tcPr>
          <w:p>
            <w:pPr>
              <w:pStyle w:val="96"/>
            </w:pPr>
            <w:r>
              <w:rPr>
                <w:rFonts w:hint="eastAsia"/>
              </w:rPr>
              <w:t>根据需求设置。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旅馆、招待所</w:t>
            </w:r>
          </w:p>
        </w:tc>
        <w:tc>
          <w:tcPr>
            <w:tcW w:w="1701" w:type="dxa"/>
            <w:vAlign w:val="center"/>
          </w:tcPr>
          <w:p>
            <w:pPr>
              <w:pStyle w:val="96"/>
              <w:rPr>
                <w:lang w:bidi="ar"/>
              </w:rPr>
            </w:pPr>
            <w:r>
              <w:rPr>
                <w:rFonts w:hint="eastAsia"/>
                <w:lang w:bidi="ar"/>
              </w:rPr>
              <w:t>——</w:t>
            </w:r>
          </w:p>
        </w:tc>
        <w:tc>
          <w:tcPr>
            <w:tcW w:w="4474" w:type="dxa"/>
          </w:tcPr>
          <w:p>
            <w:pPr>
              <w:pStyle w:val="96"/>
            </w:pPr>
            <w:r>
              <w:rPr>
                <w:rFonts w:hint="eastAsia"/>
              </w:rPr>
              <w:t>根据需求设置</w:t>
            </w:r>
          </w:p>
        </w:tc>
      </w:tr>
    </w:tbl>
    <w:p>
      <w:pPr>
        <w:ind w:firstLine="640"/>
      </w:pPr>
      <w:r>
        <w:rPr>
          <w:rFonts w:hint="eastAsia"/>
        </w:rPr>
        <w:t>村委会办公建筑规划控制指标可参照下表执行。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72"/>
        <w:gridCol w:w="3119"/>
        <w:gridCol w:w="2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3"/>
          </w:tcPr>
          <w:p>
            <w:pPr>
              <w:pStyle w:val="98"/>
              <w:rPr>
                <w:rFonts w:ascii="仿宋" w:hAnsi="仿宋" w:eastAsia="仿宋" w:cs="仿宋"/>
                <w:sz w:val="21"/>
                <w:szCs w:val="21"/>
              </w:rPr>
            </w:pPr>
            <w:r>
              <w:rPr>
                <w:rFonts w:hint="eastAsia"/>
                <w:lang w:bidi="ar"/>
              </w:rPr>
              <w:t>专栏</w:t>
            </w:r>
            <w:r>
              <w:rPr>
                <w:lang w:bidi="ar"/>
              </w:rPr>
              <w:t xml:space="preserve">16-13 </w:t>
            </w:r>
            <w:r>
              <w:rPr>
                <w:rFonts w:hint="eastAsia"/>
              </w:rPr>
              <w:t>村委会办公</w:t>
            </w:r>
            <w:r>
              <w:rPr>
                <w:rFonts w:hint="eastAsia"/>
                <w:lang w:bidi="ar"/>
              </w:rPr>
              <w:t>建筑建设控制指标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297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建筑类型</w:t>
            </w:r>
          </w:p>
        </w:tc>
        <w:tc>
          <w:tcPr>
            <w:tcW w:w="311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297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村委会办公建筑</w:t>
            </w:r>
          </w:p>
        </w:tc>
        <w:tc>
          <w:tcPr>
            <w:tcW w:w="311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≥0</w:t>
            </w:r>
            <w:r>
              <w:rPr>
                <w:rFonts w:ascii="仿宋_GB2312" w:hAnsi="仿宋" w:cs="仿宋"/>
                <w:sz w:val="24"/>
                <w:szCs w:val="24"/>
              </w:rPr>
              <w:t>.8</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2</w:t>
            </w:r>
          </w:p>
        </w:tc>
      </w:tr>
    </w:tbl>
    <w:p>
      <w:pPr>
        <w:ind w:firstLine="640"/>
      </w:pPr>
      <w:r>
        <w:rPr>
          <w:rFonts w:hint="eastAsia"/>
        </w:rPr>
        <w:t>幼儿园建筑规划控制指标可参照下表执行。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56"/>
        <w:gridCol w:w="2268"/>
        <w:gridCol w:w="2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3"/>
          </w:tcPr>
          <w:p>
            <w:pPr>
              <w:pStyle w:val="98"/>
              <w:rPr>
                <w:rFonts w:ascii="仿宋" w:hAnsi="仿宋" w:eastAsia="仿宋" w:cs="仿宋"/>
                <w:sz w:val="21"/>
                <w:szCs w:val="21"/>
              </w:rPr>
            </w:pPr>
            <w:r>
              <w:rPr>
                <w:rFonts w:hint="eastAsia"/>
                <w:lang w:bidi="ar"/>
              </w:rPr>
              <w:t>专栏</w:t>
            </w:r>
            <w:r>
              <w:rPr>
                <w:lang w:bidi="ar"/>
              </w:rPr>
              <w:t xml:space="preserve">16-14 </w:t>
            </w:r>
            <w:r>
              <w:rPr>
                <w:rFonts w:hint="eastAsia"/>
              </w:rPr>
              <w:t>幼儿园建筑</w:t>
            </w:r>
            <w:r>
              <w:rPr>
                <w:rFonts w:hint="eastAsia"/>
                <w:lang w:bidi="ar"/>
              </w:rPr>
              <w:t>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325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生均建设用地（平方米/人）</w:t>
            </w:r>
          </w:p>
        </w:tc>
        <w:tc>
          <w:tcPr>
            <w:tcW w:w="226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77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325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3</w:t>
            </w:r>
          </w:p>
        </w:tc>
        <w:tc>
          <w:tcPr>
            <w:tcW w:w="226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≤0</w:t>
            </w:r>
            <w:r>
              <w:rPr>
                <w:rFonts w:ascii="仿宋_GB2312" w:hAnsi="仿宋" w:cs="仿宋"/>
                <w:sz w:val="24"/>
                <w:szCs w:val="24"/>
              </w:rPr>
              <w:t>.7</w:t>
            </w:r>
          </w:p>
        </w:tc>
        <w:tc>
          <w:tcPr>
            <w:tcW w:w="277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≥30</w:t>
            </w:r>
          </w:p>
        </w:tc>
      </w:tr>
    </w:tbl>
    <w:p>
      <w:pPr>
        <w:ind w:firstLine="640"/>
      </w:pPr>
      <w:r>
        <w:rPr>
          <w:rFonts w:hint="eastAsia"/>
        </w:rPr>
        <w:t>小学建筑规划控制指标可参照下表执行。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984"/>
        <w:gridCol w:w="2127"/>
        <w:gridCol w:w="2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4"/>
          </w:tcPr>
          <w:p>
            <w:pPr>
              <w:pStyle w:val="98"/>
              <w:rPr>
                <w:rFonts w:ascii="仿宋" w:hAnsi="仿宋" w:eastAsia="仿宋" w:cs="仿宋"/>
                <w:sz w:val="21"/>
                <w:szCs w:val="21"/>
              </w:rPr>
            </w:pPr>
            <w:r>
              <w:rPr>
                <w:rFonts w:hint="eastAsia"/>
                <w:lang w:bidi="ar"/>
              </w:rPr>
              <w:t>专栏</w:t>
            </w:r>
            <w:r>
              <w:rPr>
                <w:lang w:bidi="ar"/>
              </w:rPr>
              <w:t xml:space="preserve">16-15 </w:t>
            </w:r>
            <w:r>
              <w:rPr>
                <w:rFonts w:hint="eastAsia"/>
              </w:rPr>
              <w:t>小学建筑</w:t>
            </w:r>
            <w:r>
              <w:rPr>
                <w:rFonts w:hint="eastAsia"/>
                <w:lang w:bidi="ar"/>
              </w:rPr>
              <w:t>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3397" w:type="dxa"/>
            <w:gridSpan w:val="2"/>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生均建设用地（平方米/人）</w:t>
            </w:r>
          </w:p>
        </w:tc>
        <w:tc>
          <w:tcPr>
            <w:tcW w:w="2127"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77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≤2</w:t>
            </w:r>
            <w:r>
              <w:rPr>
                <w:rFonts w:ascii="仿宋_GB2312" w:hAnsi="仿宋" w:cs="仿宋"/>
                <w:sz w:val="24"/>
                <w:szCs w:val="24"/>
              </w:rPr>
              <w:t>4</w:t>
            </w:r>
            <w:r>
              <w:rPr>
                <w:rFonts w:hint="eastAsia" w:ascii="仿宋_GB2312" w:hAnsi="仿宋" w:cs="仿宋"/>
                <w:sz w:val="24"/>
                <w:szCs w:val="24"/>
              </w:rPr>
              <w:t>班</w:t>
            </w:r>
          </w:p>
        </w:tc>
        <w:tc>
          <w:tcPr>
            <w:tcW w:w="198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8</w:t>
            </w:r>
          </w:p>
        </w:tc>
        <w:tc>
          <w:tcPr>
            <w:tcW w:w="2127" w:type="dxa"/>
            <w:vMerge w:val="restart"/>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≤0</w:t>
            </w:r>
            <w:r>
              <w:rPr>
                <w:rFonts w:ascii="仿宋_GB2312" w:hAnsi="仿宋" w:cs="仿宋"/>
                <w:sz w:val="24"/>
                <w:szCs w:val="24"/>
              </w:rPr>
              <w:t>.9</w:t>
            </w:r>
          </w:p>
        </w:tc>
        <w:tc>
          <w:tcPr>
            <w:tcW w:w="2773" w:type="dxa"/>
            <w:vMerge w:val="restart"/>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＞2</w:t>
            </w:r>
            <w:r>
              <w:rPr>
                <w:rFonts w:ascii="仿宋_GB2312" w:hAnsi="仿宋" w:cs="仿宋"/>
                <w:sz w:val="24"/>
                <w:szCs w:val="24"/>
              </w:rPr>
              <w:t>4</w:t>
            </w:r>
            <w:r>
              <w:rPr>
                <w:rFonts w:hint="eastAsia" w:ascii="仿宋_GB2312" w:hAnsi="仿宋" w:cs="仿宋"/>
                <w:sz w:val="24"/>
                <w:szCs w:val="24"/>
              </w:rPr>
              <w:t>班</w:t>
            </w:r>
          </w:p>
        </w:tc>
        <w:tc>
          <w:tcPr>
            <w:tcW w:w="198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7</w:t>
            </w:r>
          </w:p>
        </w:tc>
        <w:tc>
          <w:tcPr>
            <w:tcW w:w="2127" w:type="dxa"/>
            <w:vMerge w:val="continue"/>
            <w:vAlign w:val="center"/>
          </w:tcPr>
          <w:p>
            <w:pPr>
              <w:spacing w:line="500" w:lineRule="exact"/>
              <w:ind w:firstLine="0" w:firstLineChars="0"/>
              <w:jc w:val="center"/>
              <w:rPr>
                <w:rFonts w:ascii="仿宋_GB2312" w:hAnsi="仿宋" w:cs="仿宋"/>
                <w:sz w:val="24"/>
                <w:szCs w:val="24"/>
              </w:rPr>
            </w:pPr>
          </w:p>
        </w:tc>
        <w:tc>
          <w:tcPr>
            <w:tcW w:w="2773" w:type="dxa"/>
            <w:vMerge w:val="continue"/>
            <w:vAlign w:val="center"/>
          </w:tcPr>
          <w:p>
            <w:pPr>
              <w:spacing w:line="500" w:lineRule="exact"/>
              <w:ind w:firstLine="0" w:firstLineChars="0"/>
              <w:jc w:val="center"/>
              <w:rPr>
                <w:rFonts w:ascii="仿宋_GB2312" w:hAnsi="仿宋" w:cs="仿宋"/>
                <w:sz w:val="24"/>
                <w:szCs w:val="24"/>
              </w:rPr>
            </w:pPr>
          </w:p>
        </w:tc>
      </w:tr>
    </w:tbl>
    <w:p>
      <w:pPr>
        <w:ind w:firstLine="640"/>
      </w:pPr>
      <w:r>
        <w:rPr>
          <w:rFonts w:hint="eastAsia"/>
        </w:rPr>
        <w:t>医疗卫生建筑规划控制指标可参照下表执行。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559"/>
        <w:gridCol w:w="1418"/>
        <w:gridCol w:w="1701"/>
        <w:gridCol w:w="2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5"/>
          </w:tcPr>
          <w:p>
            <w:pPr>
              <w:pStyle w:val="98"/>
              <w:rPr>
                <w:rFonts w:ascii="仿宋" w:hAnsi="仿宋" w:eastAsia="仿宋" w:cs="仿宋"/>
                <w:sz w:val="21"/>
                <w:szCs w:val="21"/>
              </w:rPr>
            </w:pPr>
            <w:r>
              <w:rPr>
                <w:rFonts w:hint="eastAsia"/>
                <w:lang w:bidi="ar"/>
              </w:rPr>
              <w:t>专栏</w:t>
            </w:r>
            <w:r>
              <w:rPr>
                <w:lang w:bidi="ar"/>
              </w:rPr>
              <w:t xml:space="preserve">16-16 </w:t>
            </w:r>
            <w:r>
              <w:rPr>
                <w:rFonts w:hint="eastAsia"/>
                <w:lang w:bidi="ar"/>
              </w:rPr>
              <w:t>医疗卫生建筑建设控制指标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建筑类型</w:t>
            </w:r>
          </w:p>
        </w:tc>
        <w:tc>
          <w:tcPr>
            <w:tcW w:w="155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床位数（床）</w:t>
            </w:r>
          </w:p>
        </w:tc>
        <w:tc>
          <w:tcPr>
            <w:tcW w:w="141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村卫生室</w:t>
            </w:r>
          </w:p>
        </w:tc>
        <w:tc>
          <w:tcPr>
            <w:tcW w:w="155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2</w:t>
            </w:r>
            <w:r>
              <w:rPr>
                <w:rFonts w:ascii="仿宋_GB2312" w:hAnsi="仿宋" w:cs="仿宋"/>
                <w:sz w:val="24"/>
                <w:szCs w:val="24"/>
              </w:rPr>
              <w:t>-4</w:t>
            </w:r>
          </w:p>
        </w:tc>
        <w:tc>
          <w:tcPr>
            <w:tcW w:w="141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2</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p>
        </w:tc>
      </w:tr>
    </w:tbl>
    <w:p>
      <w:pPr>
        <w:ind w:firstLine="640"/>
      </w:pPr>
      <w:r>
        <w:rPr>
          <w:rFonts w:hint="eastAsia"/>
        </w:rPr>
        <w:t>社会福利建筑规划控制指标可参照下表执行。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1279"/>
        <w:gridCol w:w="1145"/>
        <w:gridCol w:w="1453"/>
        <w:gridCol w:w="1755"/>
        <w:gridCol w:w="15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6"/>
          </w:tcPr>
          <w:p>
            <w:pPr>
              <w:pStyle w:val="98"/>
              <w:rPr>
                <w:lang w:bidi="ar"/>
              </w:rPr>
            </w:pPr>
            <w:r>
              <w:rPr>
                <w:rFonts w:hint="eastAsia"/>
                <w:lang w:bidi="ar"/>
              </w:rPr>
              <w:t>专栏</w:t>
            </w:r>
            <w:r>
              <w:rPr>
                <w:lang w:bidi="ar"/>
              </w:rPr>
              <w:t xml:space="preserve">16-17 </w:t>
            </w:r>
            <w:r>
              <w:rPr>
                <w:rFonts w:hint="eastAsia"/>
                <w:lang w:bidi="ar"/>
              </w:rPr>
              <w:t>社会福利建筑建设控制指标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10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建筑类型</w:t>
            </w:r>
          </w:p>
        </w:tc>
        <w:tc>
          <w:tcPr>
            <w:tcW w:w="12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床均用地面积（平方米/床）</w:t>
            </w:r>
          </w:p>
        </w:tc>
        <w:tc>
          <w:tcPr>
            <w:tcW w:w="114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145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c>
          <w:tcPr>
            <w:tcW w:w="175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建筑密度（%）</w:t>
            </w:r>
          </w:p>
        </w:tc>
        <w:tc>
          <w:tcPr>
            <w:tcW w:w="156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10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养老院</w:t>
            </w:r>
          </w:p>
        </w:tc>
        <w:tc>
          <w:tcPr>
            <w:tcW w:w="1279"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35-50</w:t>
            </w:r>
          </w:p>
        </w:tc>
        <w:tc>
          <w:tcPr>
            <w:tcW w:w="114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0.8</w:t>
            </w:r>
          </w:p>
        </w:tc>
        <w:tc>
          <w:tcPr>
            <w:tcW w:w="145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24</w:t>
            </w:r>
          </w:p>
        </w:tc>
        <w:tc>
          <w:tcPr>
            <w:tcW w:w="175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30</w:t>
            </w:r>
          </w:p>
        </w:tc>
        <w:tc>
          <w:tcPr>
            <w:tcW w:w="156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≥30</w:t>
            </w:r>
          </w:p>
        </w:tc>
      </w:tr>
    </w:tbl>
    <w:p>
      <w:pPr>
        <w:ind w:firstLine="640"/>
      </w:pPr>
      <w:r>
        <w:rPr>
          <w:rFonts w:hint="eastAsia"/>
        </w:rPr>
        <w:t>公共服务建筑</w:t>
      </w:r>
      <w:r>
        <w:rPr>
          <w:rFonts w:hint="eastAsia"/>
          <w:kern w:val="0"/>
          <w:lang w:bidi="ar"/>
        </w:rPr>
        <w:t>间距、道路退让、边界退让须符合建筑防火消防安全和日照标准。</w:t>
      </w:r>
      <w:r>
        <w:rPr>
          <w:rFonts w:hint="eastAsia"/>
        </w:rPr>
        <w:t>公共服务建筑原址翻建、改造的，建筑面积不作限制，但须符合地块建设强度控制指标要求。</w:t>
      </w:r>
    </w:p>
    <w:p>
      <w:pPr>
        <w:ind w:firstLine="640"/>
      </w:pPr>
      <w:r>
        <w:rPr>
          <w:rFonts w:hint="eastAsia"/>
        </w:rPr>
        <w:t>鼓励利用村内空闲地、边角地，因地制宜，建设点式分散的小型绿地游园、活动</w:t>
      </w:r>
      <w:r>
        <w:t>广场</w:t>
      </w:r>
      <w:r>
        <w:rPr>
          <w:rFonts w:hint="eastAsia"/>
        </w:rPr>
        <w:t>、停车场等。游园、</w:t>
      </w:r>
      <w:r>
        <w:t>广场</w:t>
      </w:r>
      <w:r>
        <w:rPr>
          <w:rFonts w:hint="eastAsia"/>
        </w:rPr>
        <w:t>应</w:t>
      </w:r>
      <w:r>
        <w:t>当配备健身活动器材、儿童娱乐设施、休闲座椅等</w:t>
      </w:r>
      <w:r>
        <w:rPr>
          <w:rFonts w:hint="eastAsia"/>
        </w:rPr>
        <w:t>活动设施，</w:t>
      </w:r>
      <w:r>
        <w:t>提升村庄环境品质，增加村民休闲场所。</w:t>
      </w:r>
      <w:r>
        <w:rPr>
          <w:rFonts w:hint="eastAsia"/>
        </w:rPr>
        <w:t>村庄健身广场宜与绿地结合设置，可根据村庄人口数量和人口分布情况设置多处，单个健身广场用地面积不宜大于</w:t>
      </w:r>
      <w:r>
        <w:t>400平方米，每村健身广场的总面积人均不宜大于3平方米。</w:t>
      </w:r>
      <w:r>
        <w:rPr>
          <w:rFonts w:hint="eastAsia"/>
        </w:rPr>
        <w:t>位于旅游景区或特色保护类游客较多的村庄，面积可适当增加。</w:t>
      </w:r>
    </w:p>
    <w:p>
      <w:pPr>
        <w:pStyle w:val="4"/>
        <w:spacing w:before="195" w:after="195"/>
      </w:pPr>
      <w:r>
        <w:rPr>
          <w:rFonts w:hint="eastAsia"/>
        </w:rPr>
        <w:t>乡村产业管控</w:t>
      </w:r>
    </w:p>
    <w:p>
      <w:pPr>
        <w:ind w:firstLine="640"/>
      </w:pPr>
      <w:r>
        <w:rPr>
          <w:rFonts w:hint="eastAsia"/>
        </w:rPr>
        <w:t>乡村产业主要包括农业产业融合相关类项目和其他产业项目。</w:t>
      </w:r>
    </w:p>
    <w:p>
      <w:pPr>
        <w:ind w:firstLine="640"/>
      </w:pPr>
      <w:r>
        <w:rPr>
          <w:rFonts w:hint="eastAsia"/>
        </w:rPr>
        <w:t>农业产业融合相关类项目主要以农业农村资源为依托，拓展农业农村功能，延伸产业链条，涵盖农产品生产、加工、流通、就地消费等环节，用于农产品加工流通、农村休闲观光旅游、电子商务等混合融合的农村产业融合发展用地，土地用途可确定为工业用地、商业用地、物流仓储用地等。主要包括：农产品加工产业用地（包括农产品烘干、贮藏、保鲜、畜禽屠宰等产业）、生产性服务产业用地（包括农资配送、病虫害防治、农机作业服务、畜禽无害化处理与收集转运、畜禽粪污资源化利用、农产品流通、农产品仓储保鲜冷链物流设施、农业废弃物处理等产业）、生活性服务产业用地（包括乡村综合性服务网点、电商、快递、物流、商贸批发和零售等产业）、新产业新业态用地（包括“互联网+”现代农业、农产品电子商务、休闲农业和乡村旅游、红色文化与民俗文化、非遗传承、传统手工业、文化创意等新型业态用地；依托乡村资源优势，培育的农业特色小镇、地方特色产业用地）。</w:t>
      </w:r>
    </w:p>
    <w:p>
      <w:pPr>
        <w:ind w:firstLine="640"/>
      </w:pPr>
      <w:r>
        <w:rPr>
          <w:rFonts w:hint="eastAsia"/>
        </w:rPr>
        <w:t>农村产业融合相关类发展用地不得用于商品住宅、别墅、酒店、公寓等房地产开发，不得擅自改变用途或分割转让转租。</w:t>
      </w:r>
    </w:p>
    <w:p>
      <w:pPr>
        <w:ind w:firstLine="640"/>
      </w:pPr>
      <w:r>
        <w:rPr>
          <w:rFonts w:hint="eastAsia"/>
        </w:rPr>
        <w:t>农村产业融合类项目布局要求。项目规模较大、工业化程度高、分散布局配套设施成本高的产业项目要进产业园区。具有一定规模的农产品加工要向城区或有条件的乡镇城镇开发边界内集聚。直接服务种植养殖业的农产品加工、电子商务、仓储保鲜冷链、产地低温直销配送等产业，原则上应集中在行政村村庄建设边界内。利用农村本地资源开展农产品初加工、发展休闲观光旅游而必须的配套设施建设，可在不占用永久基本农田和生态保护红线、不突破国土空间规划建设用地指标等约束条件、不破坏生态环境和乡村风貌的前提下，在村庄建设边界外安排少量建设用地，实行比例和面积控制。符合环保政策的其他产业类项目，在不新建、扩建的条件下，可暂予以保留。集体经营性建设用地可以用于工业、商业、仓储、保障性租赁住房等经营性项目，不得用于房（地）产类开发、别墅类、私人会所等项目建设。</w:t>
      </w:r>
    </w:p>
    <w:p>
      <w:pPr>
        <w:ind w:firstLine="640"/>
      </w:pPr>
      <w:r>
        <w:rPr>
          <w:rFonts w:hint="eastAsia"/>
        </w:rPr>
        <w:t>本着节约集约用地的原则，在乡村地区建设的商业服务业设施用地规划控制指标一般符合以下规定：</w:t>
      </w:r>
    </w:p>
    <w:tbl>
      <w:tblPr>
        <w:tblStyle w:val="30"/>
        <w:tblW w:w="5000" w:type="pct"/>
        <w:tblInd w:w="0" w:type="dxa"/>
        <w:tblLayout w:type="autofit"/>
        <w:tblCellMar>
          <w:top w:w="0" w:type="dxa"/>
          <w:left w:w="108" w:type="dxa"/>
          <w:bottom w:w="0" w:type="dxa"/>
          <w:right w:w="108" w:type="dxa"/>
        </w:tblCellMar>
      </w:tblPr>
      <w:tblGrid>
        <w:gridCol w:w="3053"/>
        <w:gridCol w:w="2184"/>
        <w:gridCol w:w="3286"/>
      </w:tblGrid>
      <w:tr>
        <w:tblPrEx>
          <w:tblCellMar>
            <w:top w:w="0" w:type="dxa"/>
            <w:left w:w="108" w:type="dxa"/>
            <w:bottom w:w="0" w:type="dxa"/>
            <w:right w:w="108" w:type="dxa"/>
          </w:tblCellMar>
        </w:tblPrEx>
        <w:trPr>
          <w:trHeight w:val="373" w:hRule="atLeast"/>
        </w:trPr>
        <w:tc>
          <w:tcPr>
            <w:tcW w:w="5000" w:type="pct"/>
            <w:gridSpan w:val="3"/>
            <w:tcBorders>
              <w:top w:val="single" w:color="auto" w:sz="4" w:space="0"/>
              <w:left w:val="single" w:color="auto" w:sz="4" w:space="0"/>
              <w:bottom w:val="single" w:color="auto" w:sz="4" w:space="0"/>
              <w:right w:val="single" w:color="auto" w:sz="4" w:space="0"/>
            </w:tcBorders>
            <w:shd w:val="clear" w:color="auto" w:fill="auto"/>
            <w:noWrap/>
            <w:vAlign w:val="center"/>
          </w:tcPr>
          <w:p>
            <w:pPr>
              <w:pStyle w:val="98"/>
            </w:pPr>
            <w:r>
              <w:rPr>
                <w:rFonts w:hint="eastAsia"/>
              </w:rPr>
              <w:t>专栏</w:t>
            </w:r>
            <w:r>
              <w:t xml:space="preserve">16-18 </w:t>
            </w:r>
            <w:r>
              <w:rPr>
                <w:rFonts w:hint="eastAsia"/>
              </w:rPr>
              <w:t>商业服务业设施建设用地规划控制指标表</w:t>
            </w:r>
          </w:p>
        </w:tc>
      </w:tr>
      <w:tr>
        <w:tblPrEx>
          <w:tblCellMar>
            <w:top w:w="0" w:type="dxa"/>
            <w:left w:w="108" w:type="dxa"/>
            <w:bottom w:w="0" w:type="dxa"/>
            <w:right w:w="108" w:type="dxa"/>
          </w:tblCellMar>
        </w:tblPrEx>
        <w:trPr>
          <w:trHeight w:val="706" w:hRule="atLeast"/>
        </w:trPr>
        <w:tc>
          <w:tcPr>
            <w:tcW w:w="179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96"/>
              <w:rPr>
                <w:szCs w:val="24"/>
              </w:rPr>
            </w:pPr>
            <w:r>
              <w:rPr>
                <w:rFonts w:hint="eastAsia"/>
                <w:szCs w:val="24"/>
              </w:rPr>
              <w:t>用地分类</w:t>
            </w:r>
          </w:p>
        </w:tc>
        <w:tc>
          <w:tcPr>
            <w:tcW w:w="1281" w:type="pct"/>
            <w:tcBorders>
              <w:top w:val="single" w:color="auto" w:sz="4" w:space="0"/>
              <w:left w:val="nil"/>
              <w:bottom w:val="single" w:color="auto" w:sz="4" w:space="0"/>
              <w:right w:val="single" w:color="auto" w:sz="4" w:space="0"/>
            </w:tcBorders>
            <w:shd w:val="clear" w:color="auto" w:fill="auto"/>
            <w:vAlign w:val="center"/>
          </w:tcPr>
          <w:p>
            <w:pPr>
              <w:pStyle w:val="96"/>
              <w:rPr>
                <w:szCs w:val="24"/>
              </w:rPr>
            </w:pPr>
            <w:r>
              <w:rPr>
                <w:rFonts w:hint="eastAsia"/>
                <w:szCs w:val="24"/>
              </w:rPr>
              <w:t>容积率</w:t>
            </w:r>
          </w:p>
        </w:tc>
        <w:tc>
          <w:tcPr>
            <w:tcW w:w="1928" w:type="pct"/>
            <w:tcBorders>
              <w:top w:val="single" w:color="auto" w:sz="4" w:space="0"/>
              <w:left w:val="nil"/>
              <w:bottom w:val="single" w:color="auto" w:sz="4" w:space="0"/>
              <w:right w:val="single" w:color="auto" w:sz="4" w:space="0"/>
            </w:tcBorders>
            <w:shd w:val="clear" w:color="auto" w:fill="auto"/>
            <w:vAlign w:val="center"/>
          </w:tcPr>
          <w:p>
            <w:pPr>
              <w:pStyle w:val="96"/>
              <w:rPr>
                <w:szCs w:val="24"/>
              </w:rPr>
            </w:pPr>
            <w:r>
              <w:rPr>
                <w:rFonts w:hint="eastAsia"/>
                <w:szCs w:val="24"/>
              </w:rPr>
              <w:t>建筑高度（米）</w:t>
            </w: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shd w:val="clear" w:color="auto" w:fill="auto"/>
            <w:noWrap/>
            <w:vAlign w:val="center"/>
          </w:tcPr>
          <w:p>
            <w:pPr>
              <w:pStyle w:val="96"/>
              <w:rPr>
                <w:szCs w:val="24"/>
              </w:rPr>
            </w:pPr>
            <w:r>
              <w:rPr>
                <w:rFonts w:hint="eastAsia"/>
                <w:szCs w:val="24"/>
              </w:rPr>
              <w:t>商业用地</w:t>
            </w:r>
          </w:p>
        </w:tc>
        <w:tc>
          <w:tcPr>
            <w:tcW w:w="1281" w:type="pct"/>
            <w:tcBorders>
              <w:top w:val="nil"/>
              <w:left w:val="nil"/>
              <w:bottom w:val="single" w:color="auto" w:sz="4" w:space="0"/>
              <w:right w:val="single" w:color="auto" w:sz="4" w:space="0"/>
            </w:tcBorders>
            <w:shd w:val="clear" w:color="auto" w:fill="auto"/>
            <w:vAlign w:val="center"/>
          </w:tcPr>
          <w:p>
            <w:pPr>
              <w:pStyle w:val="96"/>
              <w:rPr>
                <w:szCs w:val="24"/>
              </w:rPr>
            </w:pPr>
            <w:r>
              <w:rPr>
                <w:rFonts w:hint="eastAsia"/>
                <w:szCs w:val="24"/>
              </w:rPr>
              <w:t>≤1</w:t>
            </w:r>
            <w:r>
              <w:rPr>
                <w:szCs w:val="24"/>
              </w:rPr>
              <w:t>.5</w:t>
            </w:r>
          </w:p>
        </w:tc>
        <w:tc>
          <w:tcPr>
            <w:tcW w:w="1928" w:type="pct"/>
            <w:vMerge w:val="restart"/>
            <w:tcBorders>
              <w:top w:val="nil"/>
              <w:left w:val="nil"/>
              <w:right w:val="single" w:color="auto" w:sz="4" w:space="0"/>
            </w:tcBorders>
            <w:shd w:val="clear" w:color="auto" w:fill="auto"/>
            <w:vAlign w:val="center"/>
          </w:tcPr>
          <w:p>
            <w:pPr>
              <w:pStyle w:val="96"/>
              <w:rPr>
                <w:szCs w:val="24"/>
              </w:rPr>
            </w:pPr>
            <w:r>
              <w:rPr>
                <w:rFonts w:hint="eastAsia"/>
                <w:szCs w:val="24"/>
              </w:rPr>
              <w:t>≤1</w:t>
            </w:r>
            <w:r>
              <w:rPr>
                <w:szCs w:val="24"/>
              </w:rPr>
              <w:t>2</w:t>
            </w: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shd w:val="clear" w:color="auto" w:fill="auto"/>
            <w:noWrap/>
            <w:vAlign w:val="center"/>
          </w:tcPr>
          <w:p>
            <w:pPr>
              <w:pStyle w:val="96"/>
              <w:jc w:val="both"/>
              <w:rPr>
                <w:szCs w:val="24"/>
              </w:rPr>
            </w:pPr>
            <w:r>
              <w:rPr>
                <w:rFonts w:hint="eastAsia"/>
                <w:szCs w:val="24"/>
              </w:rPr>
              <w:t>商务金融用地</w:t>
            </w:r>
          </w:p>
        </w:tc>
        <w:tc>
          <w:tcPr>
            <w:tcW w:w="1281" w:type="pct"/>
            <w:tcBorders>
              <w:top w:val="nil"/>
              <w:left w:val="nil"/>
              <w:bottom w:val="single" w:color="auto" w:sz="4" w:space="0"/>
              <w:right w:val="single" w:color="auto" w:sz="4" w:space="0"/>
            </w:tcBorders>
            <w:shd w:val="clear" w:color="auto" w:fill="auto"/>
            <w:vAlign w:val="center"/>
          </w:tcPr>
          <w:p>
            <w:pPr>
              <w:pStyle w:val="96"/>
              <w:rPr>
                <w:szCs w:val="24"/>
              </w:rPr>
            </w:pPr>
            <w:r>
              <w:rPr>
                <w:rFonts w:hint="eastAsia"/>
                <w:szCs w:val="24"/>
              </w:rPr>
              <w:t>≤</w:t>
            </w:r>
            <w:r>
              <w:rPr>
                <w:szCs w:val="24"/>
              </w:rPr>
              <w:t>2.5</w:t>
            </w:r>
          </w:p>
        </w:tc>
        <w:tc>
          <w:tcPr>
            <w:tcW w:w="1928" w:type="pct"/>
            <w:vMerge w:val="continue"/>
            <w:tcBorders>
              <w:left w:val="nil"/>
              <w:right w:val="single" w:color="auto" w:sz="4" w:space="0"/>
            </w:tcBorders>
            <w:shd w:val="clear" w:color="auto" w:fill="auto"/>
            <w:vAlign w:val="center"/>
          </w:tcPr>
          <w:p>
            <w:pPr>
              <w:pStyle w:val="96"/>
              <w:rPr>
                <w:szCs w:val="24"/>
              </w:rPr>
            </w:pP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shd w:val="clear" w:color="auto" w:fill="auto"/>
            <w:noWrap/>
            <w:vAlign w:val="center"/>
          </w:tcPr>
          <w:p>
            <w:pPr>
              <w:pStyle w:val="96"/>
              <w:rPr>
                <w:szCs w:val="24"/>
              </w:rPr>
            </w:pPr>
            <w:r>
              <w:rPr>
                <w:rFonts w:hint="eastAsia"/>
                <w:szCs w:val="24"/>
              </w:rPr>
              <w:t>娱乐用地</w:t>
            </w:r>
          </w:p>
        </w:tc>
        <w:tc>
          <w:tcPr>
            <w:tcW w:w="1281" w:type="pct"/>
            <w:tcBorders>
              <w:top w:val="nil"/>
              <w:left w:val="nil"/>
              <w:bottom w:val="single" w:color="auto" w:sz="4" w:space="0"/>
              <w:right w:val="single" w:color="auto" w:sz="4" w:space="0"/>
            </w:tcBorders>
            <w:shd w:val="clear" w:color="auto" w:fill="auto"/>
          </w:tcPr>
          <w:p>
            <w:pPr>
              <w:pStyle w:val="96"/>
              <w:rPr>
                <w:szCs w:val="24"/>
              </w:rPr>
            </w:pPr>
            <w:r>
              <w:rPr>
                <w:rFonts w:hint="eastAsia"/>
                <w:szCs w:val="24"/>
              </w:rPr>
              <w:t>≤</w:t>
            </w:r>
            <w:r>
              <w:rPr>
                <w:szCs w:val="24"/>
              </w:rPr>
              <w:t>2.5</w:t>
            </w:r>
          </w:p>
        </w:tc>
        <w:tc>
          <w:tcPr>
            <w:tcW w:w="1928" w:type="pct"/>
            <w:vMerge w:val="continue"/>
            <w:tcBorders>
              <w:left w:val="nil"/>
              <w:right w:val="single" w:color="auto" w:sz="4" w:space="0"/>
            </w:tcBorders>
            <w:shd w:val="clear" w:color="auto" w:fill="auto"/>
            <w:vAlign w:val="center"/>
          </w:tcPr>
          <w:p>
            <w:pPr>
              <w:pStyle w:val="96"/>
              <w:rPr>
                <w:szCs w:val="24"/>
              </w:rPr>
            </w:pP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shd w:val="clear" w:color="auto" w:fill="auto"/>
            <w:noWrap/>
            <w:vAlign w:val="center"/>
          </w:tcPr>
          <w:p>
            <w:pPr>
              <w:pStyle w:val="96"/>
              <w:rPr>
                <w:szCs w:val="24"/>
              </w:rPr>
            </w:pPr>
            <w:r>
              <w:rPr>
                <w:rFonts w:hint="eastAsia"/>
                <w:szCs w:val="24"/>
              </w:rPr>
              <w:t>其他商业服务业用地</w:t>
            </w:r>
          </w:p>
        </w:tc>
        <w:tc>
          <w:tcPr>
            <w:tcW w:w="1281" w:type="pct"/>
            <w:tcBorders>
              <w:top w:val="nil"/>
              <w:left w:val="nil"/>
              <w:bottom w:val="single" w:color="auto" w:sz="4" w:space="0"/>
              <w:right w:val="single" w:color="auto" w:sz="4" w:space="0"/>
            </w:tcBorders>
            <w:shd w:val="clear" w:color="auto" w:fill="auto"/>
          </w:tcPr>
          <w:p>
            <w:pPr>
              <w:pStyle w:val="96"/>
              <w:rPr>
                <w:szCs w:val="24"/>
              </w:rPr>
            </w:pPr>
            <w:r>
              <w:rPr>
                <w:rFonts w:hint="eastAsia"/>
                <w:szCs w:val="24"/>
              </w:rPr>
              <w:t>≤1</w:t>
            </w:r>
            <w:r>
              <w:rPr>
                <w:szCs w:val="24"/>
              </w:rPr>
              <w:t>.2</w:t>
            </w:r>
          </w:p>
        </w:tc>
        <w:tc>
          <w:tcPr>
            <w:tcW w:w="1928" w:type="pct"/>
            <w:vMerge w:val="continue"/>
            <w:tcBorders>
              <w:left w:val="nil"/>
              <w:bottom w:val="single" w:color="auto" w:sz="4" w:space="0"/>
              <w:right w:val="single" w:color="auto" w:sz="4" w:space="0"/>
            </w:tcBorders>
            <w:shd w:val="clear" w:color="auto" w:fill="auto"/>
            <w:vAlign w:val="center"/>
          </w:tcPr>
          <w:p>
            <w:pPr>
              <w:pStyle w:val="96"/>
              <w:rPr>
                <w:szCs w:val="24"/>
              </w:rPr>
            </w:pPr>
          </w:p>
        </w:tc>
      </w:tr>
    </w:tbl>
    <w:p>
      <w:pPr>
        <w:ind w:firstLine="640"/>
      </w:pPr>
      <w:r>
        <w:rPr>
          <w:rFonts w:hint="eastAsia"/>
        </w:rPr>
        <w:t>在乡村地区建设的物流仓储设施，其用地规划控制指标宜符合以下规定：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0"/>
        <w:gridCol w:w="1096"/>
        <w:gridCol w:w="1296"/>
        <w:gridCol w:w="1287"/>
        <w:gridCol w:w="1453"/>
        <w:gridCol w:w="1332"/>
        <w:gridCol w:w="11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7"/>
            <w:vAlign w:val="center"/>
          </w:tcPr>
          <w:p>
            <w:pPr>
              <w:pStyle w:val="98"/>
              <w:rPr>
                <w:lang w:bidi="ar"/>
              </w:rPr>
            </w:pPr>
            <w:r>
              <w:rPr>
                <w:rFonts w:hint="eastAsia"/>
                <w:lang w:bidi="ar"/>
              </w:rPr>
              <w:t>专栏</w:t>
            </w:r>
            <w:r>
              <w:rPr>
                <w:lang w:bidi="ar"/>
              </w:rPr>
              <w:t xml:space="preserve">16-19 </w:t>
            </w:r>
            <w:r>
              <w:rPr>
                <w:rFonts w:hint="eastAsia"/>
                <w:lang w:bidi="ar"/>
              </w:rPr>
              <w:t>物流仓储设施建设用地规划控制指标表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91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分级</w:t>
            </w:r>
          </w:p>
        </w:tc>
        <w:tc>
          <w:tcPr>
            <w:tcW w:w="110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用地规模（公顷）</w:t>
            </w:r>
          </w:p>
        </w:tc>
        <w:tc>
          <w:tcPr>
            <w:tcW w:w="9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日流通量（吨</w:t>
            </w:r>
            <w:r>
              <w:rPr>
                <w:rFonts w:ascii="仿宋_GB2312" w:hAnsi="仿宋" w:cs="仿宋"/>
                <w:sz w:val="24"/>
                <w:szCs w:val="24"/>
              </w:rPr>
              <w:t>/</w:t>
            </w:r>
            <w:r>
              <w:rPr>
                <w:rFonts w:hint="eastAsia" w:ascii="仿宋_GB2312" w:hAnsi="仿宋" w:cs="仿宋"/>
                <w:sz w:val="24"/>
                <w:szCs w:val="24"/>
              </w:rPr>
              <w:t>天）</w:t>
            </w:r>
          </w:p>
        </w:tc>
        <w:tc>
          <w:tcPr>
            <w:tcW w:w="130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单位用地指标（平方米</w:t>
            </w:r>
            <w:r>
              <w:rPr>
                <w:rFonts w:ascii="仿宋_GB2312" w:hAnsi="仿宋" w:cs="仿宋"/>
                <w:sz w:val="24"/>
                <w:szCs w:val="24"/>
              </w:rPr>
              <w:t>/</w:t>
            </w:r>
            <w:r>
              <w:rPr>
                <w:rFonts w:hint="eastAsia" w:ascii="仿宋_GB2312" w:hAnsi="仿宋" w:cs="仿宋"/>
                <w:sz w:val="24"/>
                <w:szCs w:val="24"/>
              </w:rPr>
              <w:t>吨）</w:t>
            </w:r>
          </w:p>
        </w:tc>
        <w:tc>
          <w:tcPr>
            <w:tcW w:w="148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134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c>
          <w:tcPr>
            <w:tcW w:w="117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91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中型</w:t>
            </w:r>
          </w:p>
        </w:tc>
        <w:tc>
          <w:tcPr>
            <w:tcW w:w="1108"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4-6</w:t>
            </w:r>
          </w:p>
        </w:tc>
        <w:tc>
          <w:tcPr>
            <w:tcW w:w="9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000-3000</w:t>
            </w:r>
          </w:p>
        </w:tc>
        <w:tc>
          <w:tcPr>
            <w:tcW w:w="1302"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28-35</w:t>
            </w:r>
          </w:p>
        </w:tc>
        <w:tc>
          <w:tcPr>
            <w:tcW w:w="148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w:t>
            </w:r>
          </w:p>
        </w:tc>
        <w:tc>
          <w:tcPr>
            <w:tcW w:w="134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12</w:t>
            </w:r>
          </w:p>
        </w:tc>
        <w:tc>
          <w:tcPr>
            <w:tcW w:w="117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91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中型</w:t>
            </w:r>
          </w:p>
        </w:tc>
        <w:tc>
          <w:tcPr>
            <w:tcW w:w="110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4</w:t>
            </w:r>
          </w:p>
        </w:tc>
        <w:tc>
          <w:tcPr>
            <w:tcW w:w="9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000</w:t>
            </w:r>
          </w:p>
        </w:tc>
        <w:tc>
          <w:tcPr>
            <w:tcW w:w="1302"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41-50</w:t>
            </w:r>
          </w:p>
        </w:tc>
        <w:tc>
          <w:tcPr>
            <w:tcW w:w="148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0.8</w:t>
            </w:r>
          </w:p>
        </w:tc>
        <w:tc>
          <w:tcPr>
            <w:tcW w:w="134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12</w:t>
            </w:r>
          </w:p>
        </w:tc>
        <w:tc>
          <w:tcPr>
            <w:tcW w:w="117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20</w:t>
            </w:r>
          </w:p>
        </w:tc>
      </w:tr>
    </w:tbl>
    <w:p>
      <w:pPr>
        <w:pStyle w:val="105"/>
      </w:pPr>
      <w:r>
        <w:rPr>
          <w:rFonts w:hint="eastAsia"/>
        </w:rPr>
        <w:t>注：</w:t>
      </w:r>
      <w:r>
        <w:t>1.如有特殊建筑要求的物流仓储设施可结合实际需求适当提高建筑高度，但建筑层数不宜超过6层、建筑高度不宜超过24米。</w:t>
      </w:r>
    </w:p>
    <w:p>
      <w:pPr>
        <w:pStyle w:val="105"/>
      </w:pPr>
      <w:r>
        <w:t>2.需要单独选址的易燃易爆类危险品仓储用地，建设用地规模参考相关行业标准，容积率不应</w:t>
      </w:r>
      <w:r>
        <w:rPr>
          <w:rFonts w:hint="eastAsia"/>
        </w:rPr>
        <w:t>小于</w:t>
      </w:r>
      <w:r>
        <w:t>0.5。</w:t>
      </w:r>
    </w:p>
    <w:p>
      <w:pPr>
        <w:pStyle w:val="105"/>
      </w:pPr>
      <w:r>
        <w:t>3.物流仓储建筑层高超过8米时，该层建筑面积加倍计算。</w:t>
      </w:r>
    </w:p>
    <w:p>
      <w:pPr>
        <w:ind w:firstLine="640"/>
      </w:pPr>
      <w:r>
        <w:rPr>
          <w:rFonts w:hint="eastAsia"/>
        </w:rPr>
        <w:t>在乡村地区建设的工业项目，其用地规划控制指标宜符合以下规定：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134"/>
        <w:gridCol w:w="2551"/>
        <w:gridCol w:w="31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4"/>
            <w:vAlign w:val="center"/>
          </w:tcPr>
          <w:p>
            <w:pPr>
              <w:pStyle w:val="98"/>
              <w:rPr>
                <w:lang w:bidi="ar"/>
              </w:rPr>
            </w:pPr>
            <w:r>
              <w:rPr>
                <w:rFonts w:hint="eastAsia"/>
                <w:lang w:bidi="ar"/>
              </w:rPr>
              <w:t>专栏</w:t>
            </w:r>
            <w:r>
              <w:rPr>
                <w:lang w:bidi="ar"/>
              </w:rPr>
              <w:t xml:space="preserve">16-20 </w:t>
            </w:r>
            <w:r>
              <w:rPr>
                <w:rFonts w:hint="eastAsia"/>
                <w:lang w:bidi="ar"/>
              </w:rPr>
              <w:t>工业设施建设用地规划控制指标表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类型</w:t>
            </w:r>
          </w:p>
        </w:tc>
        <w:tc>
          <w:tcPr>
            <w:tcW w:w="113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55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建筑系数（%）</w:t>
            </w:r>
          </w:p>
        </w:tc>
        <w:tc>
          <w:tcPr>
            <w:tcW w:w="319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工业用地</w:t>
            </w:r>
          </w:p>
        </w:tc>
        <w:tc>
          <w:tcPr>
            <w:tcW w:w="113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0.8</w:t>
            </w:r>
          </w:p>
        </w:tc>
        <w:tc>
          <w:tcPr>
            <w:tcW w:w="255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40</w:t>
            </w:r>
          </w:p>
        </w:tc>
        <w:tc>
          <w:tcPr>
            <w:tcW w:w="319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12</w:t>
            </w:r>
          </w:p>
        </w:tc>
      </w:tr>
    </w:tbl>
    <w:p>
      <w:pPr>
        <w:pStyle w:val="105"/>
      </w:pPr>
      <w:r>
        <w:rPr>
          <w:rFonts w:hint="eastAsia"/>
        </w:rPr>
        <w:t>注：如有特殊建设要求的工业项目可结合实际需求适当提高建筑高度，但建筑层数不宜超过</w:t>
      </w:r>
      <w:r>
        <w:t>6层、</w:t>
      </w:r>
      <w:r>
        <w:rPr>
          <w:rFonts w:hint="eastAsia"/>
        </w:rPr>
        <w:t>建筑高度不宜超过</w:t>
      </w:r>
      <w:r>
        <w:t>24米。</w:t>
      </w:r>
    </w:p>
    <w:p>
      <w:pPr>
        <w:ind w:firstLine="640"/>
      </w:pPr>
      <w:r>
        <w:rPr>
          <w:rFonts w:hint="eastAsia"/>
        </w:rPr>
        <w:t>对于远离村庄居民点的产业类项目，在符合国家相关规定且不影响周边相邻方相关权益的情况下，建筑限高可适当提高，最高不超过24（不包括）米。畜牧养殖类产业须符合环保有关政策规定。</w:t>
      </w:r>
    </w:p>
    <w:p>
      <w:pPr>
        <w:ind w:firstLine="640"/>
      </w:pPr>
      <w:r>
        <w:rPr>
          <w:rFonts w:hint="eastAsia"/>
        </w:rPr>
        <w:t>产业类项目建筑间距、建筑退界须满消防规范规定，不影响周边相邻权益的日照采光要求。</w:t>
      </w:r>
    </w:p>
    <w:p>
      <w:pPr>
        <w:ind w:firstLine="640"/>
      </w:pPr>
      <w:r>
        <w:rPr>
          <w:rFonts w:hint="eastAsia"/>
        </w:rPr>
        <w:t>鼓励产业空间用地实行复合利用。他产业用地在符合环保、安全条件下，用地性质可兼容。</w:t>
      </w:r>
    </w:p>
    <w:p>
      <w:pPr>
        <w:ind w:firstLine="640"/>
      </w:pPr>
      <w:r>
        <w:rPr>
          <w:rFonts w:hint="eastAsia"/>
        </w:rPr>
        <w:t>镇国土空间规划或村庄规划中的“预留机动指标”，可用于保障暂时无法确定位置的村民居住、农村公共公益设施以及零星公散的农（矿）产品初加工、乡村文旅设施、农村新产业新业态等一二三产业融合发展用地需求。机动指标不得超过本镇预留机动指标。</w:t>
      </w:r>
    </w:p>
    <w:p>
      <w:pPr>
        <w:ind w:firstLine="640"/>
      </w:pPr>
      <w:r>
        <w:rPr>
          <w:rFonts w:hint="eastAsia"/>
        </w:rPr>
        <w:t>村庄规划确定的“留白”用地，经村民委会员讨论、镇乡村规划委员会审议通过，报规划主管部门同意后，可按程序报建相应项目。</w:t>
      </w:r>
    </w:p>
    <w:p>
      <w:pPr>
        <w:ind w:firstLine="640"/>
      </w:pPr>
      <w:r>
        <w:rPr>
          <w:rFonts w:hint="eastAsia"/>
        </w:rPr>
        <w:t>使用预留机动指标或留白用地的，除符合国土产业相关政策外，经县规划委员会审议。</w:t>
      </w:r>
    </w:p>
    <w:p>
      <w:pPr>
        <w:ind w:firstLine="640"/>
      </w:pPr>
      <w:r>
        <w:rPr>
          <w:rFonts w:hint="eastAsia"/>
        </w:rPr>
        <w:t>在产业类项目实施过程中，在不突破镇国土空间规划或村庄规划强制性指标情况下，为实现更好管控，可独立编制地块管控图则，报县规划委员会审议同意后实施。</w:t>
      </w:r>
    </w:p>
    <w:p>
      <w:pPr>
        <w:ind w:firstLine="640"/>
      </w:pPr>
      <w:r>
        <w:rPr>
          <w:rFonts w:hint="eastAsia"/>
        </w:rPr>
        <w:t>使用按程序使用“留白”或“预留机动指标”的，待用地手续批准后，更新国土空间“一张图”。</w:t>
      </w:r>
    </w:p>
    <w:p>
      <w:pPr>
        <w:pStyle w:val="4"/>
        <w:spacing w:before="195" w:after="195"/>
      </w:pPr>
      <w:r>
        <w:t>防灾减灾管控</w:t>
      </w:r>
    </w:p>
    <w:p>
      <w:pPr>
        <w:ind w:firstLine="640"/>
      </w:pPr>
      <w:r>
        <w:t>加强村庄消防设施建设。根据村庄规模、区域条件、经济发展状况等因素设置消防点。消防点应满足如下要求：</w:t>
      </w:r>
      <w:r>
        <w:rPr>
          <w:rFonts w:hint="eastAsia"/>
        </w:rPr>
        <w:t>有固定的地点和房屋建筑，并有明显标识。配备消防车、手抬机动泵、水枪、水带、灭火器、破拆工具等全部或部分消防设备。设置火警电话和消防值班人员。有专职、义务或志愿消防队员。</w:t>
      </w:r>
    </w:p>
    <w:p>
      <w:pPr>
        <w:ind w:firstLine="640"/>
      </w:pPr>
      <w:r>
        <w:t>村庄应配备消防水源、消防设备。消防水源可结合村庄实际环境条件，充分利用给水管网、水池、坑塘天然水源和消防水池等作为消防水源。充分利用满足一定灭火要求的农用车、洒水车、灌溉机动泵等农用设施作为消防装备的补充。</w:t>
      </w:r>
    </w:p>
    <w:p>
      <w:pPr>
        <w:ind w:firstLine="640"/>
      </w:pPr>
      <w:r>
        <w:t>各行政村应建立相应的消防安全组织，确定消防安全人员，制定防火安全制度，进行消防安全检查，开展消防安全教育，落实消防安全责任，配备必要的消防力量和消防器材装备。</w:t>
      </w:r>
    </w:p>
    <w:p>
      <w:pPr>
        <w:ind w:firstLine="640"/>
      </w:pPr>
      <w:r>
        <w:t>村庄范围内的建筑一般按照7度抗震烈度设防；供水供电等生命线工程按照8度抗震烈度设防，确保震时供水、供电、通讯、医务室等生命线工程设施的有效供给。</w:t>
      </w:r>
    </w:p>
    <w:p>
      <w:pPr>
        <w:ind w:firstLine="640"/>
      </w:pPr>
      <w:r>
        <w:t>村庄防洪及排涝标准按10年一遇设防。</w:t>
      </w:r>
    </w:p>
    <w:p>
      <w:pPr>
        <w:ind w:firstLine="640"/>
      </w:pPr>
      <w:r>
        <w:t>农村建设项目不得在地质灾害危险区、洪涝灾害频发区、河道管理范围内、地下采空区和地展断裂带等危险区域建设，应当避让蓄滞洪区等低洼地区。</w:t>
      </w:r>
    </w:p>
    <w:p>
      <w:pPr>
        <w:pStyle w:val="4"/>
        <w:spacing w:before="195" w:after="195"/>
      </w:pPr>
      <w:r>
        <w:t>环境综合整治管控</w:t>
      </w:r>
    </w:p>
    <w:p>
      <w:pPr>
        <w:ind w:firstLine="640"/>
      </w:pPr>
      <w:r>
        <w:t>加大村庄交通、供水、绿化、公共照明、医疗、垃圾处理、厕所、污水处理等基础设施和公共服务设施建设与整治，持续改善农村人居环境。</w:t>
      </w:r>
    </w:p>
    <w:p>
      <w:pPr>
        <w:ind w:firstLine="640"/>
      </w:pPr>
      <w:r>
        <w:t>围绕村庄道路、建筑风貌、村庄院落、坑塘水面、残垣断壁、环境卫生等重点，开展村庄环境综合整治，构建干净、整洁、有序的乡村空间，提升村庄整体品位。</w:t>
      </w:r>
    </w:p>
    <w:p>
      <w:pPr>
        <w:ind w:firstLine="640"/>
      </w:pPr>
      <w:r>
        <w:t>遵循村庄现有道路网格局，尊重原有道路肌理，避免大拆大建，对村庄道路进行改造、整治和提升。对破损的路面进行修整，对未硬化道路进行硬化，对未亮化的道路进行亮化，对空中凌乱线路进行整治整合提升，敷设各类管线，同步建设燃气、给、排水设施，营造良好的村庄交通环境，方便村民生活与出行。</w:t>
      </w:r>
    </w:p>
    <w:p>
      <w:pPr>
        <w:ind w:firstLine="640"/>
      </w:pPr>
      <w:r>
        <w:t>持续开展农村4G网络优化，加快推进农村5G网络建设，加强农村广电和移动基站建设与维护，提升农村网络覆盖质量，打造数字乡村、智慧乡村。</w:t>
      </w:r>
    </w:p>
    <w:p>
      <w:pPr>
        <w:ind w:firstLine="640"/>
      </w:pPr>
      <w:r>
        <w:t>重点清理侵街占道、私搭乱建等违章建筑和残垣断壁，街巷两侧禁止随意堆放物品，柴草、杂物、建筑材料等。有效利用村内空闲地、边角地等闲置建设用地，开展水旁、路旁、宅旁、村旁绿化，沿村庄主要道路种植乔木、灌木、地被等乡土植物，对重要节点进行整治绿化，建设小微游园、小微广场，提升村庄“颜值”。</w:t>
      </w:r>
    </w:p>
    <w:p>
      <w:pPr>
        <w:ind w:firstLine="640"/>
      </w:pPr>
      <w:r>
        <w:t>加大农村环卫设施建设，每村70-100米规划设置一个垃圾筒，集中设置一个垃圾收集点，建立一支专业环卫保洁队全，实现农村垃圾“村收、镇运、</w:t>
      </w:r>
      <w:r>
        <w:rPr>
          <w:rFonts w:hint="eastAsia"/>
        </w:rPr>
        <w:t>县处理</w:t>
      </w:r>
      <w:r>
        <w:t>”。</w:t>
      </w:r>
    </w:p>
    <w:p>
      <w:pPr>
        <w:ind w:firstLine="640"/>
      </w:pPr>
      <w:r>
        <w:t>加快农村污水管网建设，因村制宜，整治废旧坑塘、河道、黑臭水体。推动生活污水治理、厕所粪污与绿色农业发展有机结合，提升农村治污水平。</w:t>
      </w:r>
    </w:p>
    <w:p>
      <w:pPr>
        <w:ind w:firstLine="640"/>
      </w:pPr>
      <w:r>
        <w:t>农村生活污水不得直接外排，宜经过化粪池或沼气池等污水处理设施处理达标后排放。</w:t>
      </w:r>
    </w:p>
    <w:p>
      <w:pPr>
        <w:ind w:firstLine="640"/>
      </w:pPr>
      <w:r>
        <w:t>围绕“去危房、整旧房、治违房、提风貌”的目的，重点开展房前屋后整治提升。对与村庄整体风貌不完全一致的建筑外观加以整修；对影响环境的危旧房和乱搭乱建的附房进行整治和拆除，消除安全隐患，提升村容村貌。</w:t>
      </w:r>
    </w:p>
    <w:bookmarkEnd w:id="2"/>
    <w:bookmarkEnd w:id="3"/>
    <w:p>
      <w:pPr>
        <w:spacing w:before="65" w:line="240" w:lineRule="auto"/>
        <w:ind w:firstLine="0" w:firstLineChars="0"/>
        <w:rPr>
          <w:rFonts w:hint="default"/>
          <w:lang w:val="en" w:bidi="ar"/>
        </w:rPr>
      </w:pPr>
      <w:r>
        <w:rPr>
          <w:rFonts w:hint="default"/>
          <w:lang w:val="en" w:bidi="ar"/>
        </w:rPr>
        <w:drawing>
          <wp:inline distT="0" distB="0" distL="114300" distR="114300">
            <wp:extent cx="5273040" cy="7451725"/>
            <wp:effectExtent l="0" t="0" r="3810" b="15875"/>
            <wp:docPr id="6" name="图片 6" descr="01-夏馆镇-01-镇域国土空间用地现状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01-夏馆镇-01-镇域国土空间用地现状图"/>
                    <pic:cNvPicPr>
                      <a:picLocks noChangeAspect="true"/>
                    </pic:cNvPicPr>
                  </pic:nvPicPr>
                  <pic:blipFill>
                    <a:blip r:embed="rId14"/>
                    <a:stretch>
                      <a:fillRect/>
                    </a:stretch>
                  </pic:blipFill>
                  <pic:spPr>
                    <a:xfrm>
                      <a:off x="0" y="0"/>
                      <a:ext cx="5273040" cy="7451725"/>
                    </a:xfrm>
                    <a:prstGeom prst="rect">
                      <a:avLst/>
                    </a:prstGeom>
                  </pic:spPr>
                </pic:pic>
              </a:graphicData>
            </a:graphic>
          </wp:inline>
        </w:drawing>
      </w:r>
      <w:r>
        <w:rPr>
          <w:rFonts w:hint="default"/>
          <w:lang w:val="en" w:bidi="ar"/>
        </w:rPr>
        <w:drawing>
          <wp:inline distT="0" distB="0" distL="114300" distR="114300">
            <wp:extent cx="5247640" cy="7415530"/>
            <wp:effectExtent l="0" t="0" r="10160" b="13970"/>
            <wp:docPr id="5" name="图片 5" descr="01-夏馆镇-02-镇域国土空间总体格局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descr="01-夏馆镇-02-镇域国土空间总体格局规划图"/>
                    <pic:cNvPicPr>
                      <a:picLocks noChangeAspect="true"/>
                    </pic:cNvPicPr>
                  </pic:nvPicPr>
                  <pic:blipFill>
                    <a:blip r:embed="rId15"/>
                    <a:stretch>
                      <a:fillRect/>
                    </a:stretch>
                  </pic:blipFill>
                  <pic:spPr>
                    <a:xfrm>
                      <a:off x="0" y="0"/>
                      <a:ext cx="5247640" cy="7415530"/>
                    </a:xfrm>
                    <a:prstGeom prst="rect">
                      <a:avLst/>
                    </a:prstGeom>
                  </pic:spPr>
                </pic:pic>
              </a:graphicData>
            </a:graphic>
          </wp:inline>
        </w:drawing>
      </w:r>
      <w:r>
        <w:rPr>
          <w:rFonts w:hint="default"/>
          <w:lang w:val="en" w:bidi="ar"/>
        </w:rPr>
        <w:drawing>
          <wp:inline distT="0" distB="0" distL="114300" distR="114300">
            <wp:extent cx="5273040" cy="7451725"/>
            <wp:effectExtent l="0" t="0" r="3810" b="15875"/>
            <wp:docPr id="4" name="图片 4" descr="01-夏馆镇-03-镇域国土空间控制线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descr="01-夏馆镇-03-镇域国土空间控制线规划图"/>
                    <pic:cNvPicPr>
                      <a:picLocks noChangeAspect="true"/>
                    </pic:cNvPicPr>
                  </pic:nvPicPr>
                  <pic:blipFill>
                    <a:blip r:embed="rId16"/>
                    <a:stretch>
                      <a:fillRect/>
                    </a:stretch>
                  </pic:blipFill>
                  <pic:spPr>
                    <a:xfrm>
                      <a:off x="0" y="0"/>
                      <a:ext cx="5273040" cy="7451725"/>
                    </a:xfrm>
                    <a:prstGeom prst="rect">
                      <a:avLst/>
                    </a:prstGeom>
                  </pic:spPr>
                </pic:pic>
              </a:graphicData>
            </a:graphic>
          </wp:inline>
        </w:drawing>
      </w:r>
      <w:r>
        <w:rPr>
          <w:rFonts w:hint="default"/>
          <w:lang w:val="en" w:bidi="ar"/>
        </w:rPr>
        <w:drawing>
          <wp:inline distT="0" distB="0" distL="114300" distR="114300">
            <wp:extent cx="5273040" cy="7451725"/>
            <wp:effectExtent l="0" t="0" r="3810" b="15875"/>
            <wp:docPr id="3" name="图片 3" descr="01-夏馆镇-04-镇域村庄布点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descr="01-夏馆镇-04-镇域村庄布点规划图"/>
                    <pic:cNvPicPr>
                      <a:picLocks noChangeAspect="true"/>
                    </pic:cNvPicPr>
                  </pic:nvPicPr>
                  <pic:blipFill>
                    <a:blip r:embed="rId17"/>
                    <a:stretch>
                      <a:fillRect/>
                    </a:stretch>
                  </pic:blipFill>
                  <pic:spPr>
                    <a:xfrm>
                      <a:off x="0" y="0"/>
                      <a:ext cx="5273040" cy="7451725"/>
                    </a:xfrm>
                    <a:prstGeom prst="rect">
                      <a:avLst/>
                    </a:prstGeom>
                  </pic:spPr>
                </pic:pic>
              </a:graphicData>
            </a:graphic>
          </wp:inline>
        </w:drawing>
      </w:r>
      <w:r>
        <w:rPr>
          <w:rFonts w:hint="default"/>
          <w:lang w:val="en" w:bidi="ar"/>
        </w:rPr>
        <w:drawing>
          <wp:inline distT="0" distB="0" distL="114300" distR="114300">
            <wp:extent cx="5273040" cy="7451725"/>
            <wp:effectExtent l="0" t="0" r="3810" b="15875"/>
            <wp:docPr id="2" name="图片 2" descr="01-夏馆镇-05-镇域综合交通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descr="01-夏馆镇-05-镇域综合交通规划图"/>
                    <pic:cNvPicPr>
                      <a:picLocks noChangeAspect="true"/>
                    </pic:cNvPicPr>
                  </pic:nvPicPr>
                  <pic:blipFill>
                    <a:blip r:embed="rId18"/>
                    <a:stretch>
                      <a:fillRect/>
                    </a:stretch>
                  </pic:blipFill>
                  <pic:spPr>
                    <a:xfrm>
                      <a:off x="0" y="0"/>
                      <a:ext cx="5273040" cy="7451725"/>
                    </a:xfrm>
                    <a:prstGeom prst="rect">
                      <a:avLst/>
                    </a:prstGeom>
                  </pic:spPr>
                </pic:pic>
              </a:graphicData>
            </a:graphic>
          </wp:inline>
        </w:drawing>
      </w:r>
      <w:bookmarkStart w:id="151" w:name="_GoBack"/>
      <w:r>
        <w:rPr>
          <w:rFonts w:hint="default"/>
          <w:lang w:val="en" w:bidi="ar"/>
        </w:rPr>
        <w:drawing>
          <wp:inline distT="0" distB="0" distL="114300" distR="114300">
            <wp:extent cx="5273040" cy="7451725"/>
            <wp:effectExtent l="0" t="0" r="3810" b="15875"/>
            <wp:docPr id="1" name="图片 1" descr="01-夏馆镇-06-镇区国土空间用地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01-夏馆镇-06-镇区国土空间用地规划图"/>
                    <pic:cNvPicPr>
                      <a:picLocks noChangeAspect="true"/>
                    </pic:cNvPicPr>
                  </pic:nvPicPr>
                  <pic:blipFill>
                    <a:blip r:embed="rId19"/>
                    <a:stretch>
                      <a:fillRect/>
                    </a:stretch>
                  </pic:blipFill>
                  <pic:spPr>
                    <a:xfrm>
                      <a:off x="0" y="0"/>
                      <a:ext cx="5273040" cy="7451725"/>
                    </a:xfrm>
                    <a:prstGeom prst="rect">
                      <a:avLst/>
                    </a:prstGeom>
                  </pic:spPr>
                </pic:pic>
              </a:graphicData>
            </a:graphic>
          </wp:inline>
        </w:drawing>
      </w:r>
      <w:bookmarkEnd w:id="151"/>
    </w:p>
    <w:sectPr>
      <w:headerReference r:id="rId11" w:type="default"/>
      <w:footerReference r:id="rId12" w:type="default"/>
      <w:pgSz w:w="11907" w:h="16839"/>
      <w:pgMar w:top="1440" w:right="1800" w:bottom="1440" w:left="1800" w:header="851" w:footer="680" w:gutter="0"/>
      <w:pgNumType w:start="1"/>
      <w:cols w:space="113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font>
  <w:font w:name="方正小标宋简体">
    <w:panose1 w:val="02000000000000000000"/>
    <w:charset w:val="86"/>
    <w:family w:val="auto"/>
    <w:pitch w:val="default"/>
    <w:sig w:usb0="A00002BF" w:usb1="184F6CFA" w:usb2="00000012" w:usb3="00000000" w:csb0="00040001" w:csb1="00000000"/>
  </w:font>
  <w:font w:name="Cambria">
    <w:altName w:val="FreeSerif"/>
    <w:panose1 w:val="02040503050406030204"/>
    <w:charset w:val="00"/>
    <w:family w:val="roman"/>
    <w:pitch w:val="default"/>
    <w:sig w:usb0="00000000" w:usb1="00000000" w:usb2="00000000" w:usb3="00000000" w:csb0="0000019F" w:csb1="00000000"/>
  </w:font>
  <w:font w:name="楷体">
    <w:panose1 w:val="02010609060101010101"/>
    <w:charset w:val="86"/>
    <w:family w:val="modern"/>
    <w:pitch w:val="default"/>
    <w:sig w:usb0="800002BF" w:usb1="38CF7CFA" w:usb2="00000016" w:usb3="00000000" w:csb0="00040001" w:csb1="00000000"/>
  </w:font>
  <w:font w:name="等线">
    <w:altName w:val="华文仿宋"/>
    <w:panose1 w:val="02010600030101010101"/>
    <w:charset w:val="86"/>
    <w:family w:val="auto"/>
    <w:pitch w:val="default"/>
    <w:sig w:usb0="00000000" w:usb1="00000000" w:usb2="00000016" w:usb3="00000000" w:csb0="0004000F" w:csb1="00000000"/>
  </w:font>
  <w:font w:name="等线 Light">
    <w:altName w:val="汉仪仿宋S"/>
    <w:panose1 w:val="00000000000000000000"/>
    <w:charset w:val="86"/>
    <w:family w:val="auto"/>
    <w:pitch w:val="default"/>
    <w:sig w:usb0="00000000" w:usb1="00000000" w:usb2="00000016" w:usb3="00000000" w:csb0="0004000F" w:csb1="00000000"/>
  </w:font>
  <w:font w:name="楷体_GB2312">
    <w:altName w:val="楷体"/>
    <w:panose1 w:val="00000000000000000000"/>
    <w:charset w:val="86"/>
    <w:family w:val="modern"/>
    <w:pitch w:val="default"/>
    <w:sig w:usb0="00000000" w:usb1="00000000" w:usb2="00000010" w:usb3="00000000" w:csb0="00040000" w:csb1="00000000"/>
  </w:font>
  <w:font w:name="微软雅黑">
    <w:altName w:val="黑体"/>
    <w:panose1 w:val="020B0503020204020204"/>
    <w:charset w:val="86"/>
    <w:family w:val="swiss"/>
    <w:pitch w:val="default"/>
    <w:sig w:usb0="00000000" w:usb1="00000000" w:usb2="00000016" w:usb3="00000000" w:csb0="0004001F" w:csb1="00000000"/>
  </w:font>
  <w:font w:name="仿宋">
    <w:panose1 w:val="02010609060101010101"/>
    <w:charset w:val="86"/>
    <w:family w:val="modern"/>
    <w:pitch w:val="default"/>
    <w:sig w:usb0="800002BF" w:usb1="38CF7CFA" w:usb2="00000016" w:usb3="00000000" w:csb0="00040001" w:csb1="00000000"/>
  </w:font>
  <w:font w:name="Arial">
    <w:altName w:val="Nimbus Roman No9 L"/>
    <w:panose1 w:val="020B0604020202020204"/>
    <w:charset w:val="00"/>
    <w:family w:val="swiss"/>
    <w:pitch w:val="default"/>
    <w:sig w:usb0="00000000" w:usb1="00000000" w:usb2="00000009" w:usb3="00000000" w:csb0="000001FF" w:csb1="00000000"/>
  </w:font>
  <w:font w:name="Arial Unicode MS">
    <w:altName w:val="Nimbus Roman No9 L"/>
    <w:panose1 w:val="020B0604020202020204"/>
    <w:charset w:val="86"/>
    <w:family w:val="swiss"/>
    <w:pitch w:val="default"/>
    <w:sig w:usb0="00000000" w:usb1="00000000" w:usb2="0000003F" w:usb3="00000000" w:csb0="003F01FF" w:csb1="00000000"/>
  </w:font>
  <w:font w:name="方正书宋_GBK">
    <w:panose1 w:val="02000000000000000000"/>
    <w:charset w:val="86"/>
    <w:family w:val="auto"/>
    <w:pitch w:val="default"/>
    <w:sig w:usb0="00000001" w:usb1="08000000" w:usb2="00000000" w:usb3="00000000" w:csb0="00040000" w:csb1="00000000"/>
  </w:font>
  <w:font w:name="等线">
    <w:altName w:val="汉仪仿宋S"/>
    <w:panose1 w:val="00000000000000000000"/>
    <w:charset w:val="00"/>
    <w:family w:val="auto"/>
    <w:pitch w:val="default"/>
    <w:sig w:usb0="00000000" w:usb1="00000000" w:usb2="00000000" w:usb3="00000000" w:csb0="00000000" w:csb1="00000000"/>
  </w:font>
  <w:font w:name="汉仪仿宋S">
    <w:panose1 w:val="00020600040101000101"/>
    <w:charset w:val="86"/>
    <w:family w:val="auto"/>
    <w:pitch w:val="default"/>
    <w:sig w:usb0="A00002BF" w:usb1="38CF7CFA" w:usb2="00000016" w:usb3="00000000" w:csb0="0004009F" w:csb1="00000000"/>
  </w:font>
  <w:font w:name="DejaVu Sans">
    <w:panose1 w:val="020B0603030804020204"/>
    <w:charset w:val="00"/>
    <w:family w:val="auto"/>
    <w:pitch w:val="default"/>
    <w:sig w:usb0="E7006EFF" w:usb1="D200FDFF" w:usb2="0A246029" w:usb3="0400200C" w:csb0="600001FF" w:csb1="DFFF0000"/>
  </w:font>
  <w:font w:name="Liberation Serif">
    <w:panose1 w:val="02020603050405020304"/>
    <w:charset w:val="00"/>
    <w:family w:val="auto"/>
    <w:pitch w:val="default"/>
    <w:sig w:usb0="A00002AF" w:usb1="500078FB" w:usb2="00000000" w:usb3="00000000" w:csb0="6000009F" w:csb1="DFD70000"/>
  </w:font>
  <w:font w:name="FreeSerif">
    <w:panose1 w:val="02020603050405020304"/>
    <w:charset w:val="00"/>
    <w:family w:val="auto"/>
    <w:pitch w:val="default"/>
    <w:sig w:usb0="E59FAFFF" w:usb1="C200FDFF" w:usb2="43501B29" w:usb3="04000043" w:csb0="600101FF" w:csb1="FFFF0000"/>
  </w:font>
  <w:font w:name="Nimbus Roman No9 L">
    <w:panose1 w:val="00000000000000000000"/>
    <w:charset w:val="00"/>
    <w:family w:val="auto"/>
    <w:pitch w:val="default"/>
    <w:sig w:usb0="00000000" w:usb1="00000000" w:usb2="00000000" w:usb3="00000000" w:csb0="00000000" w:csb1="00000000"/>
  </w:font>
  <w:font w:name="方正宋体S-超大字符集">
    <w:panose1 w:val="02000000000000000000"/>
    <w:charset w:val="86"/>
    <w:family w:val="auto"/>
    <w:pitch w:val="default"/>
    <w:sig w:usb0="00000001" w:usb1="08000000" w:usb2="00000000" w:usb3="00000000" w:csb0="00040000" w:csb1="00000000"/>
  </w:font>
  <w:font w:name="华文仿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line="240" w:lineRule="auto"/>
      <w:ind w:firstLine="0" w:firstLineChars="0"/>
      <w:jc w:val="center"/>
    </w:pPr>
  </w:p>
  <w:p>
    <w:pPr>
      <w:pStyle w:val="20"/>
      <w:spacing w:before="48" w:after="12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28189101"/>
    </w:sdtPr>
    <w:sdtContent>
      <w:p>
        <w:pPr>
          <w:pStyle w:val="20"/>
          <w:spacing w:line="240" w:lineRule="auto"/>
          <w:ind w:firstLine="0" w:firstLineChars="0"/>
          <w:jc w:val="center"/>
        </w:pPr>
        <w:r>
          <w:rPr>
            <w:rFonts w:ascii="宋体" w:hAnsi="宋体" w:eastAsia="宋体"/>
          </w:rPr>
          <w:fldChar w:fldCharType="begin"/>
        </w:r>
        <w:r>
          <w:rPr>
            <w:rFonts w:ascii="宋体" w:hAnsi="宋体" w:eastAsia="宋体"/>
          </w:rPr>
          <w:instrText xml:space="preserve">PAGE   \* MERGEFORMAT</w:instrText>
        </w:r>
        <w:r>
          <w:rPr>
            <w:rFonts w:ascii="宋体" w:hAnsi="宋体" w:eastAsia="宋体"/>
          </w:rPr>
          <w:fldChar w:fldCharType="separate"/>
        </w:r>
        <w:r>
          <w:rPr>
            <w:rFonts w:ascii="宋体" w:hAnsi="宋体" w:eastAsia="宋体"/>
          </w:rPr>
          <w:t>7</w:t>
        </w:r>
        <w:r>
          <w:rPr>
            <w:rFonts w:ascii="宋体" w:hAnsi="宋体" w:eastAsia="宋体"/>
          </w:rPr>
          <w:fldChar w:fldCharType="end"/>
        </w:r>
      </w:p>
    </w:sdtContent>
  </w:sdt>
  <w:p>
    <w:pPr>
      <w:pStyle w:val="20"/>
      <w:spacing w:before="48" w:after="120"/>
      <w:ind w:firstLineChars="11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640"/>
      </w:pPr>
      <w:r>
        <w:separator/>
      </w:r>
    </w:p>
  </w:footnote>
  <w:footnote w:type="continuationSeparator" w:id="1">
    <w:p>
      <w:pPr>
        <w:spacing w:line="240" w:lineRule="auto"/>
        <w:ind w:firstLine="6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spacing w:before="120" w:after="1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spacing w:before="120" w:after="1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8EF3348"/>
    <w:multiLevelType w:val="multilevel"/>
    <w:tmpl w:val="78EF3348"/>
    <w:lvl w:ilvl="0" w:tentative="0">
      <w:start w:val="1"/>
      <w:numFmt w:val="chineseCountingThousand"/>
      <w:pStyle w:val="2"/>
      <w:suff w:val="space"/>
      <w:lvlText w:val="第%1章 "/>
      <w:lvlJc w:val="left"/>
      <w:pPr>
        <w:ind w:left="1135" w:firstLine="0"/>
      </w:pPr>
    </w:lvl>
    <w:lvl w:ilvl="1" w:tentative="0">
      <w:start w:val="1"/>
      <w:numFmt w:val="chineseCountingThousand"/>
      <w:pStyle w:val="3"/>
      <w:suff w:val="space"/>
      <w:lvlText w:val="第%2节 "/>
      <w:lvlJc w:val="left"/>
      <w:pPr>
        <w:ind w:left="1702" w:firstLine="0"/>
      </w:pPr>
    </w:lvl>
    <w:lvl w:ilvl="2" w:tentative="0">
      <w:start w:val="1"/>
      <w:numFmt w:val="decimal"/>
      <w:lvlRestart w:val="0"/>
      <w:pStyle w:val="4"/>
      <w:isLgl/>
      <w:suff w:val="space"/>
      <w:lvlText w:val="第%3条 "/>
      <w:lvlJc w:val="left"/>
      <w:pPr>
        <w:ind w:left="568" w:firstLine="0"/>
      </w:pPr>
    </w:lvl>
    <w:lvl w:ilvl="3" w:tentative="0">
      <w:start w:val="1"/>
      <w:numFmt w:val="decimal"/>
      <w:pStyle w:val="5"/>
      <w:isLgl/>
      <w:suff w:val="nothing"/>
      <w:lvlText w:val="%4."/>
      <w:lvlJc w:val="left"/>
      <w:pPr>
        <w:ind w:left="-141" w:firstLine="425"/>
      </w:pPr>
    </w:lvl>
    <w:lvl w:ilvl="4" w:tentative="0">
      <w:start w:val="1"/>
      <w:numFmt w:val="decimal"/>
      <w:pStyle w:val="6"/>
      <w:isLgl/>
      <w:suff w:val="nothing"/>
      <w:lvlText w:val="（%5）"/>
      <w:lvlJc w:val="left"/>
      <w:pPr>
        <w:ind w:left="0" w:firstLine="340"/>
      </w:pPr>
    </w:lvl>
    <w:lvl w:ilvl="5" w:tentative="0">
      <w:start w:val="1"/>
      <w:numFmt w:val="decimal"/>
      <w:lvlRestart w:val="1"/>
      <w:isLgl/>
      <w:suff w:val="nothing"/>
      <w:lvlText w:val="附表%6："/>
      <w:lvlJc w:val="left"/>
      <w:pPr>
        <w:ind w:left="0" w:firstLine="0"/>
      </w:pPr>
    </w:lvl>
    <w:lvl w:ilvl="6" w:tentative="0">
      <w:start w:val="1"/>
      <w:numFmt w:val="decimal"/>
      <w:lvlRestart w:val="4"/>
      <w:isLgl/>
      <w:suff w:val="nothing"/>
      <w:lvlText w:val="（%7）"/>
      <w:lvlJc w:val="left"/>
      <w:pPr>
        <w:ind w:left="0" w:firstLine="340"/>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true"/>
  <w:bordersDoNotSurroundFooter w:val="true"/>
  <w:hideSpellingErrors/>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ViOWEyNjAzNzYyNzgyMzM5MmY0MTE1MzYzYmY1MDUifQ=="/>
  </w:docVars>
  <w:rsids>
    <w:rsidRoot w:val="00A67F34"/>
    <w:rsid w:val="00000C06"/>
    <w:rsid w:val="00001621"/>
    <w:rsid w:val="00003A1A"/>
    <w:rsid w:val="00004538"/>
    <w:rsid w:val="000045B8"/>
    <w:rsid w:val="000046C4"/>
    <w:rsid w:val="00005598"/>
    <w:rsid w:val="00007CD2"/>
    <w:rsid w:val="00014FFC"/>
    <w:rsid w:val="00015277"/>
    <w:rsid w:val="00015C2E"/>
    <w:rsid w:val="0001672B"/>
    <w:rsid w:val="000173D5"/>
    <w:rsid w:val="000228A2"/>
    <w:rsid w:val="00022C14"/>
    <w:rsid w:val="00023887"/>
    <w:rsid w:val="00024593"/>
    <w:rsid w:val="00024C74"/>
    <w:rsid w:val="00025921"/>
    <w:rsid w:val="00025FB7"/>
    <w:rsid w:val="000263B1"/>
    <w:rsid w:val="00026494"/>
    <w:rsid w:val="00026ED4"/>
    <w:rsid w:val="00027C74"/>
    <w:rsid w:val="00027CDC"/>
    <w:rsid w:val="000300ED"/>
    <w:rsid w:val="000312F7"/>
    <w:rsid w:val="00033FEA"/>
    <w:rsid w:val="0003547A"/>
    <w:rsid w:val="0003614B"/>
    <w:rsid w:val="000401C8"/>
    <w:rsid w:val="00042AF6"/>
    <w:rsid w:val="00042E60"/>
    <w:rsid w:val="00043914"/>
    <w:rsid w:val="00043D07"/>
    <w:rsid w:val="00044269"/>
    <w:rsid w:val="00044A6C"/>
    <w:rsid w:val="00044E71"/>
    <w:rsid w:val="00046257"/>
    <w:rsid w:val="00046BBF"/>
    <w:rsid w:val="00046E46"/>
    <w:rsid w:val="0004772B"/>
    <w:rsid w:val="0005003D"/>
    <w:rsid w:val="00051283"/>
    <w:rsid w:val="0005170E"/>
    <w:rsid w:val="000522AA"/>
    <w:rsid w:val="00053B04"/>
    <w:rsid w:val="00056EF1"/>
    <w:rsid w:val="0005723A"/>
    <w:rsid w:val="0005724D"/>
    <w:rsid w:val="00062C5F"/>
    <w:rsid w:val="00063F69"/>
    <w:rsid w:val="000649D6"/>
    <w:rsid w:val="00065C66"/>
    <w:rsid w:val="0006602B"/>
    <w:rsid w:val="00066343"/>
    <w:rsid w:val="000672D0"/>
    <w:rsid w:val="00067F9B"/>
    <w:rsid w:val="000708D8"/>
    <w:rsid w:val="0007111B"/>
    <w:rsid w:val="00071B6F"/>
    <w:rsid w:val="00072F6E"/>
    <w:rsid w:val="00073CFB"/>
    <w:rsid w:val="000743DC"/>
    <w:rsid w:val="000744A6"/>
    <w:rsid w:val="0007497D"/>
    <w:rsid w:val="00074C23"/>
    <w:rsid w:val="00075670"/>
    <w:rsid w:val="00075AC8"/>
    <w:rsid w:val="00075E93"/>
    <w:rsid w:val="00076004"/>
    <w:rsid w:val="00080705"/>
    <w:rsid w:val="00080CA3"/>
    <w:rsid w:val="00080F04"/>
    <w:rsid w:val="00082E8A"/>
    <w:rsid w:val="00083B0D"/>
    <w:rsid w:val="00085C91"/>
    <w:rsid w:val="00085E68"/>
    <w:rsid w:val="00085F2C"/>
    <w:rsid w:val="000868E7"/>
    <w:rsid w:val="00087434"/>
    <w:rsid w:val="00087F2A"/>
    <w:rsid w:val="000905F0"/>
    <w:rsid w:val="00091ADE"/>
    <w:rsid w:val="000921DD"/>
    <w:rsid w:val="000945D7"/>
    <w:rsid w:val="00094975"/>
    <w:rsid w:val="000951DD"/>
    <w:rsid w:val="00095B0E"/>
    <w:rsid w:val="00097133"/>
    <w:rsid w:val="00097FB2"/>
    <w:rsid w:val="000A2C0B"/>
    <w:rsid w:val="000A3B02"/>
    <w:rsid w:val="000A4529"/>
    <w:rsid w:val="000A5030"/>
    <w:rsid w:val="000A50E0"/>
    <w:rsid w:val="000A52E7"/>
    <w:rsid w:val="000A534F"/>
    <w:rsid w:val="000A5430"/>
    <w:rsid w:val="000A6201"/>
    <w:rsid w:val="000A6E7D"/>
    <w:rsid w:val="000A74E3"/>
    <w:rsid w:val="000B1B6C"/>
    <w:rsid w:val="000B257F"/>
    <w:rsid w:val="000B2770"/>
    <w:rsid w:val="000B27FF"/>
    <w:rsid w:val="000B3238"/>
    <w:rsid w:val="000B46A4"/>
    <w:rsid w:val="000B53B7"/>
    <w:rsid w:val="000B591B"/>
    <w:rsid w:val="000B5C66"/>
    <w:rsid w:val="000B64A5"/>
    <w:rsid w:val="000B7014"/>
    <w:rsid w:val="000B72AE"/>
    <w:rsid w:val="000C0616"/>
    <w:rsid w:val="000C0C7A"/>
    <w:rsid w:val="000C2A41"/>
    <w:rsid w:val="000C3573"/>
    <w:rsid w:val="000C3D14"/>
    <w:rsid w:val="000C5282"/>
    <w:rsid w:val="000C559D"/>
    <w:rsid w:val="000C5B95"/>
    <w:rsid w:val="000C6324"/>
    <w:rsid w:val="000C78E4"/>
    <w:rsid w:val="000C7DE1"/>
    <w:rsid w:val="000D00FC"/>
    <w:rsid w:val="000D046C"/>
    <w:rsid w:val="000D336A"/>
    <w:rsid w:val="000D34BC"/>
    <w:rsid w:val="000D4DBE"/>
    <w:rsid w:val="000D53BD"/>
    <w:rsid w:val="000D5D58"/>
    <w:rsid w:val="000D6692"/>
    <w:rsid w:val="000E0444"/>
    <w:rsid w:val="000E0F8D"/>
    <w:rsid w:val="000E1E0F"/>
    <w:rsid w:val="000E2A07"/>
    <w:rsid w:val="000E2A20"/>
    <w:rsid w:val="000E324F"/>
    <w:rsid w:val="000E35FD"/>
    <w:rsid w:val="000E410B"/>
    <w:rsid w:val="000E498F"/>
    <w:rsid w:val="000E5601"/>
    <w:rsid w:val="000E5D6D"/>
    <w:rsid w:val="000E6D24"/>
    <w:rsid w:val="000E7FEF"/>
    <w:rsid w:val="000F011D"/>
    <w:rsid w:val="000F04B5"/>
    <w:rsid w:val="000F0809"/>
    <w:rsid w:val="000F1ED6"/>
    <w:rsid w:val="000F2221"/>
    <w:rsid w:val="000F2547"/>
    <w:rsid w:val="000F2B37"/>
    <w:rsid w:val="000F2E81"/>
    <w:rsid w:val="000F302E"/>
    <w:rsid w:val="000F3B1E"/>
    <w:rsid w:val="000F5DA8"/>
    <w:rsid w:val="000F659E"/>
    <w:rsid w:val="000F6939"/>
    <w:rsid w:val="000F6CCC"/>
    <w:rsid w:val="000F7E30"/>
    <w:rsid w:val="001004B9"/>
    <w:rsid w:val="00100A59"/>
    <w:rsid w:val="001012F9"/>
    <w:rsid w:val="00101788"/>
    <w:rsid w:val="001022DD"/>
    <w:rsid w:val="00102D32"/>
    <w:rsid w:val="00103A77"/>
    <w:rsid w:val="00104C7B"/>
    <w:rsid w:val="00105261"/>
    <w:rsid w:val="001053A7"/>
    <w:rsid w:val="00105DBB"/>
    <w:rsid w:val="001067CF"/>
    <w:rsid w:val="00106AE3"/>
    <w:rsid w:val="00107FC3"/>
    <w:rsid w:val="00110059"/>
    <w:rsid w:val="001105F1"/>
    <w:rsid w:val="00110ED6"/>
    <w:rsid w:val="00111100"/>
    <w:rsid w:val="001129D8"/>
    <w:rsid w:val="00113B52"/>
    <w:rsid w:val="00113C92"/>
    <w:rsid w:val="00114E92"/>
    <w:rsid w:val="00116D01"/>
    <w:rsid w:val="00120488"/>
    <w:rsid w:val="001204CF"/>
    <w:rsid w:val="00120A43"/>
    <w:rsid w:val="001212B2"/>
    <w:rsid w:val="0012136A"/>
    <w:rsid w:val="001216CE"/>
    <w:rsid w:val="00121CDA"/>
    <w:rsid w:val="00122DC8"/>
    <w:rsid w:val="00125070"/>
    <w:rsid w:val="00125577"/>
    <w:rsid w:val="001255B3"/>
    <w:rsid w:val="001265A8"/>
    <w:rsid w:val="0012676D"/>
    <w:rsid w:val="00127388"/>
    <w:rsid w:val="001276D2"/>
    <w:rsid w:val="00130C20"/>
    <w:rsid w:val="00130F68"/>
    <w:rsid w:val="001317CE"/>
    <w:rsid w:val="0013180C"/>
    <w:rsid w:val="00131983"/>
    <w:rsid w:val="00131CE1"/>
    <w:rsid w:val="0013381F"/>
    <w:rsid w:val="00134387"/>
    <w:rsid w:val="00136B98"/>
    <w:rsid w:val="001371F4"/>
    <w:rsid w:val="00140D28"/>
    <w:rsid w:val="00141074"/>
    <w:rsid w:val="001419C1"/>
    <w:rsid w:val="00142730"/>
    <w:rsid w:val="00143B0C"/>
    <w:rsid w:val="00143E65"/>
    <w:rsid w:val="0014413C"/>
    <w:rsid w:val="00144466"/>
    <w:rsid w:val="001451AB"/>
    <w:rsid w:val="001469C5"/>
    <w:rsid w:val="00147AEC"/>
    <w:rsid w:val="00150074"/>
    <w:rsid w:val="00150232"/>
    <w:rsid w:val="00152322"/>
    <w:rsid w:val="00152930"/>
    <w:rsid w:val="001548F2"/>
    <w:rsid w:val="00155F4C"/>
    <w:rsid w:val="00156172"/>
    <w:rsid w:val="00156A88"/>
    <w:rsid w:val="0015738E"/>
    <w:rsid w:val="00157548"/>
    <w:rsid w:val="0016018D"/>
    <w:rsid w:val="0016071B"/>
    <w:rsid w:val="00160A7E"/>
    <w:rsid w:val="001617AD"/>
    <w:rsid w:val="00161CCC"/>
    <w:rsid w:val="001674E7"/>
    <w:rsid w:val="00167698"/>
    <w:rsid w:val="00170A73"/>
    <w:rsid w:val="00170F66"/>
    <w:rsid w:val="0017172C"/>
    <w:rsid w:val="00172637"/>
    <w:rsid w:val="001737F0"/>
    <w:rsid w:val="00173B83"/>
    <w:rsid w:val="001756E1"/>
    <w:rsid w:val="001807AA"/>
    <w:rsid w:val="00181721"/>
    <w:rsid w:val="001818EE"/>
    <w:rsid w:val="001830A0"/>
    <w:rsid w:val="00183912"/>
    <w:rsid w:val="0018447A"/>
    <w:rsid w:val="00185303"/>
    <w:rsid w:val="001870AF"/>
    <w:rsid w:val="001872D8"/>
    <w:rsid w:val="00187C7C"/>
    <w:rsid w:val="00191C19"/>
    <w:rsid w:val="0019232D"/>
    <w:rsid w:val="001935F5"/>
    <w:rsid w:val="001937E5"/>
    <w:rsid w:val="00194C1F"/>
    <w:rsid w:val="00194D15"/>
    <w:rsid w:val="00195311"/>
    <w:rsid w:val="00196C51"/>
    <w:rsid w:val="00197EB3"/>
    <w:rsid w:val="001A0300"/>
    <w:rsid w:val="001A074B"/>
    <w:rsid w:val="001A1369"/>
    <w:rsid w:val="001A1B39"/>
    <w:rsid w:val="001A1F69"/>
    <w:rsid w:val="001A4ECF"/>
    <w:rsid w:val="001A5251"/>
    <w:rsid w:val="001A5315"/>
    <w:rsid w:val="001B01F9"/>
    <w:rsid w:val="001B0309"/>
    <w:rsid w:val="001B1BF6"/>
    <w:rsid w:val="001B337A"/>
    <w:rsid w:val="001B5251"/>
    <w:rsid w:val="001B6117"/>
    <w:rsid w:val="001B621A"/>
    <w:rsid w:val="001B73C7"/>
    <w:rsid w:val="001C0BB2"/>
    <w:rsid w:val="001C0F1D"/>
    <w:rsid w:val="001C1416"/>
    <w:rsid w:val="001C1AAB"/>
    <w:rsid w:val="001C216E"/>
    <w:rsid w:val="001C28BC"/>
    <w:rsid w:val="001C4927"/>
    <w:rsid w:val="001C68A6"/>
    <w:rsid w:val="001C7E81"/>
    <w:rsid w:val="001D0529"/>
    <w:rsid w:val="001D0D58"/>
    <w:rsid w:val="001D208F"/>
    <w:rsid w:val="001D3525"/>
    <w:rsid w:val="001D35C4"/>
    <w:rsid w:val="001D385D"/>
    <w:rsid w:val="001D4B6D"/>
    <w:rsid w:val="001D5261"/>
    <w:rsid w:val="001D6832"/>
    <w:rsid w:val="001D7F34"/>
    <w:rsid w:val="001E14DD"/>
    <w:rsid w:val="001E186A"/>
    <w:rsid w:val="001E3503"/>
    <w:rsid w:val="001E359F"/>
    <w:rsid w:val="001E3A75"/>
    <w:rsid w:val="001E436F"/>
    <w:rsid w:val="001E44D5"/>
    <w:rsid w:val="001E54F2"/>
    <w:rsid w:val="001E71D9"/>
    <w:rsid w:val="001E7955"/>
    <w:rsid w:val="001E7D07"/>
    <w:rsid w:val="001F03E4"/>
    <w:rsid w:val="001F0DB9"/>
    <w:rsid w:val="001F111E"/>
    <w:rsid w:val="001F189C"/>
    <w:rsid w:val="001F2214"/>
    <w:rsid w:val="001F2E42"/>
    <w:rsid w:val="001F5C6A"/>
    <w:rsid w:val="001F5D26"/>
    <w:rsid w:val="001F614A"/>
    <w:rsid w:val="001F749F"/>
    <w:rsid w:val="001F7A86"/>
    <w:rsid w:val="00200FBD"/>
    <w:rsid w:val="00201631"/>
    <w:rsid w:val="00201F70"/>
    <w:rsid w:val="002023C0"/>
    <w:rsid w:val="0020243D"/>
    <w:rsid w:val="00202D2C"/>
    <w:rsid w:val="002040CD"/>
    <w:rsid w:val="00204C4D"/>
    <w:rsid w:val="00206376"/>
    <w:rsid w:val="0020668E"/>
    <w:rsid w:val="002078F2"/>
    <w:rsid w:val="00210701"/>
    <w:rsid w:val="00210B2B"/>
    <w:rsid w:val="0021225F"/>
    <w:rsid w:val="00212ECA"/>
    <w:rsid w:val="0021329A"/>
    <w:rsid w:val="00213AA9"/>
    <w:rsid w:val="002143B3"/>
    <w:rsid w:val="00215079"/>
    <w:rsid w:val="002153F1"/>
    <w:rsid w:val="00215A9A"/>
    <w:rsid w:val="00215F98"/>
    <w:rsid w:val="002174F4"/>
    <w:rsid w:val="0022036E"/>
    <w:rsid w:val="002208D0"/>
    <w:rsid w:val="0022120E"/>
    <w:rsid w:val="00221961"/>
    <w:rsid w:val="00221BC5"/>
    <w:rsid w:val="00221E4E"/>
    <w:rsid w:val="00224EF3"/>
    <w:rsid w:val="0022590C"/>
    <w:rsid w:val="00225B9A"/>
    <w:rsid w:val="00226AA9"/>
    <w:rsid w:val="00226B3C"/>
    <w:rsid w:val="00226B4A"/>
    <w:rsid w:val="00227032"/>
    <w:rsid w:val="0022722C"/>
    <w:rsid w:val="0022746F"/>
    <w:rsid w:val="00227754"/>
    <w:rsid w:val="00227F15"/>
    <w:rsid w:val="002318CC"/>
    <w:rsid w:val="0023322C"/>
    <w:rsid w:val="00234BF6"/>
    <w:rsid w:val="002357AA"/>
    <w:rsid w:val="00235B3B"/>
    <w:rsid w:val="00235EFC"/>
    <w:rsid w:val="00237CD9"/>
    <w:rsid w:val="0024154E"/>
    <w:rsid w:val="00241DCC"/>
    <w:rsid w:val="00242391"/>
    <w:rsid w:val="002466B6"/>
    <w:rsid w:val="002519E5"/>
    <w:rsid w:val="002522BE"/>
    <w:rsid w:val="0025290E"/>
    <w:rsid w:val="00253CAE"/>
    <w:rsid w:val="0025432E"/>
    <w:rsid w:val="00256485"/>
    <w:rsid w:val="00260EA9"/>
    <w:rsid w:val="00261A81"/>
    <w:rsid w:val="0026390F"/>
    <w:rsid w:val="00263D89"/>
    <w:rsid w:val="002649E9"/>
    <w:rsid w:val="00266A10"/>
    <w:rsid w:val="0026767C"/>
    <w:rsid w:val="00267805"/>
    <w:rsid w:val="00271E06"/>
    <w:rsid w:val="002730E2"/>
    <w:rsid w:val="0027483B"/>
    <w:rsid w:val="00274AB8"/>
    <w:rsid w:val="00275466"/>
    <w:rsid w:val="00280279"/>
    <w:rsid w:val="002809B3"/>
    <w:rsid w:val="00280A41"/>
    <w:rsid w:val="00282556"/>
    <w:rsid w:val="00282A78"/>
    <w:rsid w:val="00285171"/>
    <w:rsid w:val="002858A9"/>
    <w:rsid w:val="00287750"/>
    <w:rsid w:val="002909DB"/>
    <w:rsid w:val="002925AE"/>
    <w:rsid w:val="002927A2"/>
    <w:rsid w:val="00293283"/>
    <w:rsid w:val="00293304"/>
    <w:rsid w:val="0029353D"/>
    <w:rsid w:val="0029563F"/>
    <w:rsid w:val="0029594D"/>
    <w:rsid w:val="00295CF8"/>
    <w:rsid w:val="00296C9A"/>
    <w:rsid w:val="00296F9B"/>
    <w:rsid w:val="002971CF"/>
    <w:rsid w:val="00297F42"/>
    <w:rsid w:val="002A0B80"/>
    <w:rsid w:val="002A0C66"/>
    <w:rsid w:val="002A0F24"/>
    <w:rsid w:val="002A1DB3"/>
    <w:rsid w:val="002A34BA"/>
    <w:rsid w:val="002A7C4B"/>
    <w:rsid w:val="002B077C"/>
    <w:rsid w:val="002B0B71"/>
    <w:rsid w:val="002B1F62"/>
    <w:rsid w:val="002B2015"/>
    <w:rsid w:val="002B3BBA"/>
    <w:rsid w:val="002B44B7"/>
    <w:rsid w:val="002B50D5"/>
    <w:rsid w:val="002B5A99"/>
    <w:rsid w:val="002B5C8C"/>
    <w:rsid w:val="002B5FF8"/>
    <w:rsid w:val="002B6573"/>
    <w:rsid w:val="002B6DBA"/>
    <w:rsid w:val="002B6EE2"/>
    <w:rsid w:val="002B6F86"/>
    <w:rsid w:val="002B7AA6"/>
    <w:rsid w:val="002B7E47"/>
    <w:rsid w:val="002C11EE"/>
    <w:rsid w:val="002C2A13"/>
    <w:rsid w:val="002C2E92"/>
    <w:rsid w:val="002C3825"/>
    <w:rsid w:val="002C398A"/>
    <w:rsid w:val="002C3FB6"/>
    <w:rsid w:val="002C42F2"/>
    <w:rsid w:val="002C46E9"/>
    <w:rsid w:val="002C51F4"/>
    <w:rsid w:val="002C5A44"/>
    <w:rsid w:val="002C6201"/>
    <w:rsid w:val="002C6673"/>
    <w:rsid w:val="002C719A"/>
    <w:rsid w:val="002C786B"/>
    <w:rsid w:val="002C7CBE"/>
    <w:rsid w:val="002D05EF"/>
    <w:rsid w:val="002D157C"/>
    <w:rsid w:val="002D1C3F"/>
    <w:rsid w:val="002D36AE"/>
    <w:rsid w:val="002D3839"/>
    <w:rsid w:val="002D3FFB"/>
    <w:rsid w:val="002D5611"/>
    <w:rsid w:val="002D6047"/>
    <w:rsid w:val="002D6E59"/>
    <w:rsid w:val="002D7CD8"/>
    <w:rsid w:val="002D7FB1"/>
    <w:rsid w:val="002E0B3B"/>
    <w:rsid w:val="002E0F64"/>
    <w:rsid w:val="002E109B"/>
    <w:rsid w:val="002E2692"/>
    <w:rsid w:val="002E3241"/>
    <w:rsid w:val="002E3399"/>
    <w:rsid w:val="002E38BB"/>
    <w:rsid w:val="002E612C"/>
    <w:rsid w:val="002E649B"/>
    <w:rsid w:val="002E6677"/>
    <w:rsid w:val="002E7314"/>
    <w:rsid w:val="002E7F35"/>
    <w:rsid w:val="002F1618"/>
    <w:rsid w:val="002F1D37"/>
    <w:rsid w:val="002F2715"/>
    <w:rsid w:val="002F36E8"/>
    <w:rsid w:val="002F529A"/>
    <w:rsid w:val="002F5BB5"/>
    <w:rsid w:val="002F6661"/>
    <w:rsid w:val="002F6D93"/>
    <w:rsid w:val="002F7EE7"/>
    <w:rsid w:val="0030002A"/>
    <w:rsid w:val="003008FB"/>
    <w:rsid w:val="00300F45"/>
    <w:rsid w:val="003014F3"/>
    <w:rsid w:val="00301643"/>
    <w:rsid w:val="00301649"/>
    <w:rsid w:val="0030170C"/>
    <w:rsid w:val="00301A91"/>
    <w:rsid w:val="00301B81"/>
    <w:rsid w:val="0030248B"/>
    <w:rsid w:val="003045A0"/>
    <w:rsid w:val="00305B38"/>
    <w:rsid w:val="00306DA5"/>
    <w:rsid w:val="003074D3"/>
    <w:rsid w:val="003104F2"/>
    <w:rsid w:val="00311CA9"/>
    <w:rsid w:val="0031292D"/>
    <w:rsid w:val="0031367A"/>
    <w:rsid w:val="003137CF"/>
    <w:rsid w:val="00313A14"/>
    <w:rsid w:val="00313AE2"/>
    <w:rsid w:val="00313B2E"/>
    <w:rsid w:val="003146D1"/>
    <w:rsid w:val="0031528B"/>
    <w:rsid w:val="0031556D"/>
    <w:rsid w:val="00315DB0"/>
    <w:rsid w:val="0031620E"/>
    <w:rsid w:val="003172BE"/>
    <w:rsid w:val="00320E3F"/>
    <w:rsid w:val="00322AAC"/>
    <w:rsid w:val="00322C47"/>
    <w:rsid w:val="00322E71"/>
    <w:rsid w:val="003230B5"/>
    <w:rsid w:val="00323FE4"/>
    <w:rsid w:val="003240BE"/>
    <w:rsid w:val="003243A5"/>
    <w:rsid w:val="00324F0C"/>
    <w:rsid w:val="003257DB"/>
    <w:rsid w:val="00325EDE"/>
    <w:rsid w:val="00326DBA"/>
    <w:rsid w:val="0033096C"/>
    <w:rsid w:val="00330AEE"/>
    <w:rsid w:val="00331549"/>
    <w:rsid w:val="00331604"/>
    <w:rsid w:val="00333450"/>
    <w:rsid w:val="003335ED"/>
    <w:rsid w:val="00333E51"/>
    <w:rsid w:val="00333EC9"/>
    <w:rsid w:val="00334478"/>
    <w:rsid w:val="003344E5"/>
    <w:rsid w:val="00341862"/>
    <w:rsid w:val="0034203C"/>
    <w:rsid w:val="00342ED0"/>
    <w:rsid w:val="00343111"/>
    <w:rsid w:val="003446F2"/>
    <w:rsid w:val="00344BB4"/>
    <w:rsid w:val="003457C2"/>
    <w:rsid w:val="00345BAA"/>
    <w:rsid w:val="00346168"/>
    <w:rsid w:val="003479E8"/>
    <w:rsid w:val="00347BFE"/>
    <w:rsid w:val="003533FF"/>
    <w:rsid w:val="00353EB6"/>
    <w:rsid w:val="0035508E"/>
    <w:rsid w:val="0035539C"/>
    <w:rsid w:val="00355BA4"/>
    <w:rsid w:val="00355DE7"/>
    <w:rsid w:val="003605D5"/>
    <w:rsid w:val="0036078C"/>
    <w:rsid w:val="00361606"/>
    <w:rsid w:val="0036180A"/>
    <w:rsid w:val="00361890"/>
    <w:rsid w:val="00361EC8"/>
    <w:rsid w:val="00363503"/>
    <w:rsid w:val="00364050"/>
    <w:rsid w:val="0036413A"/>
    <w:rsid w:val="0036493E"/>
    <w:rsid w:val="00364EA4"/>
    <w:rsid w:val="003650A7"/>
    <w:rsid w:val="00365625"/>
    <w:rsid w:val="00370B52"/>
    <w:rsid w:val="003715FA"/>
    <w:rsid w:val="00371710"/>
    <w:rsid w:val="00371F8A"/>
    <w:rsid w:val="00372354"/>
    <w:rsid w:val="003723B0"/>
    <w:rsid w:val="00372E59"/>
    <w:rsid w:val="00373691"/>
    <w:rsid w:val="00373AFF"/>
    <w:rsid w:val="00373D30"/>
    <w:rsid w:val="00375CB6"/>
    <w:rsid w:val="003777F2"/>
    <w:rsid w:val="003819CB"/>
    <w:rsid w:val="00381A96"/>
    <w:rsid w:val="00383792"/>
    <w:rsid w:val="00383ED6"/>
    <w:rsid w:val="00385823"/>
    <w:rsid w:val="0038737D"/>
    <w:rsid w:val="00390487"/>
    <w:rsid w:val="00391FC5"/>
    <w:rsid w:val="003928A6"/>
    <w:rsid w:val="00392949"/>
    <w:rsid w:val="00393988"/>
    <w:rsid w:val="00393D8A"/>
    <w:rsid w:val="00394A69"/>
    <w:rsid w:val="00394CC7"/>
    <w:rsid w:val="003950B7"/>
    <w:rsid w:val="00395BA6"/>
    <w:rsid w:val="00396205"/>
    <w:rsid w:val="0039649B"/>
    <w:rsid w:val="0039775C"/>
    <w:rsid w:val="003978C3"/>
    <w:rsid w:val="00397B19"/>
    <w:rsid w:val="00397E6B"/>
    <w:rsid w:val="00397F96"/>
    <w:rsid w:val="003A04CD"/>
    <w:rsid w:val="003A059D"/>
    <w:rsid w:val="003A07B0"/>
    <w:rsid w:val="003A114F"/>
    <w:rsid w:val="003A299B"/>
    <w:rsid w:val="003A39DD"/>
    <w:rsid w:val="003A535B"/>
    <w:rsid w:val="003A5419"/>
    <w:rsid w:val="003A596E"/>
    <w:rsid w:val="003B0168"/>
    <w:rsid w:val="003B04E8"/>
    <w:rsid w:val="003B079D"/>
    <w:rsid w:val="003B0873"/>
    <w:rsid w:val="003B0E02"/>
    <w:rsid w:val="003B2BD1"/>
    <w:rsid w:val="003B2DED"/>
    <w:rsid w:val="003B52B9"/>
    <w:rsid w:val="003B5635"/>
    <w:rsid w:val="003B60A1"/>
    <w:rsid w:val="003B6113"/>
    <w:rsid w:val="003B64C7"/>
    <w:rsid w:val="003B6FE0"/>
    <w:rsid w:val="003B7790"/>
    <w:rsid w:val="003B78BD"/>
    <w:rsid w:val="003C0206"/>
    <w:rsid w:val="003C1846"/>
    <w:rsid w:val="003C1D78"/>
    <w:rsid w:val="003C2CDB"/>
    <w:rsid w:val="003C38B5"/>
    <w:rsid w:val="003C3E17"/>
    <w:rsid w:val="003C3E5B"/>
    <w:rsid w:val="003C545E"/>
    <w:rsid w:val="003C54EF"/>
    <w:rsid w:val="003C55CE"/>
    <w:rsid w:val="003C5616"/>
    <w:rsid w:val="003C6394"/>
    <w:rsid w:val="003C6B26"/>
    <w:rsid w:val="003C72FC"/>
    <w:rsid w:val="003C7A10"/>
    <w:rsid w:val="003D00C7"/>
    <w:rsid w:val="003D058C"/>
    <w:rsid w:val="003D0AD5"/>
    <w:rsid w:val="003D157E"/>
    <w:rsid w:val="003D2089"/>
    <w:rsid w:val="003D256E"/>
    <w:rsid w:val="003D35DA"/>
    <w:rsid w:val="003D3613"/>
    <w:rsid w:val="003D3EE8"/>
    <w:rsid w:val="003D4863"/>
    <w:rsid w:val="003D4BF0"/>
    <w:rsid w:val="003D6C0D"/>
    <w:rsid w:val="003D7D09"/>
    <w:rsid w:val="003D7F97"/>
    <w:rsid w:val="003E1257"/>
    <w:rsid w:val="003E1A59"/>
    <w:rsid w:val="003E261A"/>
    <w:rsid w:val="003E2CD9"/>
    <w:rsid w:val="003E31CE"/>
    <w:rsid w:val="003E3A2B"/>
    <w:rsid w:val="003E4235"/>
    <w:rsid w:val="003E46EF"/>
    <w:rsid w:val="003E51C3"/>
    <w:rsid w:val="003E5E33"/>
    <w:rsid w:val="003E61FC"/>
    <w:rsid w:val="003F00D2"/>
    <w:rsid w:val="003F0397"/>
    <w:rsid w:val="003F0869"/>
    <w:rsid w:val="003F177F"/>
    <w:rsid w:val="003F22B0"/>
    <w:rsid w:val="003F23F0"/>
    <w:rsid w:val="003F24C5"/>
    <w:rsid w:val="003F2713"/>
    <w:rsid w:val="003F2FCF"/>
    <w:rsid w:val="003F30F5"/>
    <w:rsid w:val="003F329A"/>
    <w:rsid w:val="003F353C"/>
    <w:rsid w:val="003F3815"/>
    <w:rsid w:val="003F3CDE"/>
    <w:rsid w:val="003F5AFF"/>
    <w:rsid w:val="003F67FF"/>
    <w:rsid w:val="003F6B11"/>
    <w:rsid w:val="003F705A"/>
    <w:rsid w:val="003F7648"/>
    <w:rsid w:val="00400878"/>
    <w:rsid w:val="00401497"/>
    <w:rsid w:val="00402217"/>
    <w:rsid w:val="00402944"/>
    <w:rsid w:val="00402A62"/>
    <w:rsid w:val="00403BB6"/>
    <w:rsid w:val="004052DE"/>
    <w:rsid w:val="0040535C"/>
    <w:rsid w:val="00405CE5"/>
    <w:rsid w:val="00405DEB"/>
    <w:rsid w:val="00406085"/>
    <w:rsid w:val="00406E3A"/>
    <w:rsid w:val="00410E74"/>
    <w:rsid w:val="00411589"/>
    <w:rsid w:val="00411D37"/>
    <w:rsid w:val="00411DDD"/>
    <w:rsid w:val="00413292"/>
    <w:rsid w:val="00413E45"/>
    <w:rsid w:val="0041436E"/>
    <w:rsid w:val="0041582C"/>
    <w:rsid w:val="0041650A"/>
    <w:rsid w:val="00416D1D"/>
    <w:rsid w:val="00417A28"/>
    <w:rsid w:val="00421E2B"/>
    <w:rsid w:val="00422025"/>
    <w:rsid w:val="0042204D"/>
    <w:rsid w:val="0042350B"/>
    <w:rsid w:val="004239C3"/>
    <w:rsid w:val="00424578"/>
    <w:rsid w:val="00424DE1"/>
    <w:rsid w:val="0042608D"/>
    <w:rsid w:val="00427916"/>
    <w:rsid w:val="00427EE6"/>
    <w:rsid w:val="004303B5"/>
    <w:rsid w:val="00431F22"/>
    <w:rsid w:val="00433217"/>
    <w:rsid w:val="004353C1"/>
    <w:rsid w:val="00436D72"/>
    <w:rsid w:val="00437936"/>
    <w:rsid w:val="004406DF"/>
    <w:rsid w:val="0044075D"/>
    <w:rsid w:val="004428C6"/>
    <w:rsid w:val="004429D3"/>
    <w:rsid w:val="004429FC"/>
    <w:rsid w:val="00442CAA"/>
    <w:rsid w:val="00443C3A"/>
    <w:rsid w:val="00444C58"/>
    <w:rsid w:val="00445125"/>
    <w:rsid w:val="00446B13"/>
    <w:rsid w:val="00450F69"/>
    <w:rsid w:val="00451163"/>
    <w:rsid w:val="0045316E"/>
    <w:rsid w:val="00453CB9"/>
    <w:rsid w:val="00453D17"/>
    <w:rsid w:val="00454BB3"/>
    <w:rsid w:val="00455B41"/>
    <w:rsid w:val="00455B7B"/>
    <w:rsid w:val="00457530"/>
    <w:rsid w:val="00457668"/>
    <w:rsid w:val="004576AC"/>
    <w:rsid w:val="00460E75"/>
    <w:rsid w:val="00461586"/>
    <w:rsid w:val="00463148"/>
    <w:rsid w:val="00463153"/>
    <w:rsid w:val="00463983"/>
    <w:rsid w:val="00463D68"/>
    <w:rsid w:val="004640C5"/>
    <w:rsid w:val="00465924"/>
    <w:rsid w:val="00466189"/>
    <w:rsid w:val="00466F2F"/>
    <w:rsid w:val="00467D06"/>
    <w:rsid w:val="00472422"/>
    <w:rsid w:val="004729FE"/>
    <w:rsid w:val="00473711"/>
    <w:rsid w:val="00474027"/>
    <w:rsid w:val="00474445"/>
    <w:rsid w:val="00474F0B"/>
    <w:rsid w:val="004752DD"/>
    <w:rsid w:val="00475B27"/>
    <w:rsid w:val="00476A7E"/>
    <w:rsid w:val="00476D75"/>
    <w:rsid w:val="00476F5B"/>
    <w:rsid w:val="00477649"/>
    <w:rsid w:val="00480090"/>
    <w:rsid w:val="004811C8"/>
    <w:rsid w:val="00481207"/>
    <w:rsid w:val="0048136F"/>
    <w:rsid w:val="00481B2F"/>
    <w:rsid w:val="00482721"/>
    <w:rsid w:val="00482BB8"/>
    <w:rsid w:val="00484529"/>
    <w:rsid w:val="00484C57"/>
    <w:rsid w:val="00485AFD"/>
    <w:rsid w:val="004863C5"/>
    <w:rsid w:val="00491D05"/>
    <w:rsid w:val="0049319B"/>
    <w:rsid w:val="0049478D"/>
    <w:rsid w:val="00495008"/>
    <w:rsid w:val="0049507C"/>
    <w:rsid w:val="004971C9"/>
    <w:rsid w:val="004974D0"/>
    <w:rsid w:val="004A111B"/>
    <w:rsid w:val="004A1477"/>
    <w:rsid w:val="004A2F7B"/>
    <w:rsid w:val="004A3B63"/>
    <w:rsid w:val="004A4DDE"/>
    <w:rsid w:val="004A4EFE"/>
    <w:rsid w:val="004A5FC1"/>
    <w:rsid w:val="004A6049"/>
    <w:rsid w:val="004A7ED5"/>
    <w:rsid w:val="004B45EC"/>
    <w:rsid w:val="004B5146"/>
    <w:rsid w:val="004B57D8"/>
    <w:rsid w:val="004B6008"/>
    <w:rsid w:val="004B7133"/>
    <w:rsid w:val="004B7991"/>
    <w:rsid w:val="004B7FA1"/>
    <w:rsid w:val="004C0079"/>
    <w:rsid w:val="004C0375"/>
    <w:rsid w:val="004C0463"/>
    <w:rsid w:val="004C1211"/>
    <w:rsid w:val="004C18D6"/>
    <w:rsid w:val="004C21DE"/>
    <w:rsid w:val="004C227D"/>
    <w:rsid w:val="004C3DE3"/>
    <w:rsid w:val="004C46AF"/>
    <w:rsid w:val="004C4A5C"/>
    <w:rsid w:val="004C4C19"/>
    <w:rsid w:val="004C4DE6"/>
    <w:rsid w:val="004C58B8"/>
    <w:rsid w:val="004C5A67"/>
    <w:rsid w:val="004C5DD9"/>
    <w:rsid w:val="004C5F88"/>
    <w:rsid w:val="004C7888"/>
    <w:rsid w:val="004C7967"/>
    <w:rsid w:val="004C7F19"/>
    <w:rsid w:val="004D0140"/>
    <w:rsid w:val="004D11F1"/>
    <w:rsid w:val="004D347D"/>
    <w:rsid w:val="004D3BF9"/>
    <w:rsid w:val="004D4A9D"/>
    <w:rsid w:val="004D509D"/>
    <w:rsid w:val="004D61AC"/>
    <w:rsid w:val="004D6376"/>
    <w:rsid w:val="004D78C7"/>
    <w:rsid w:val="004E1BA7"/>
    <w:rsid w:val="004E25C8"/>
    <w:rsid w:val="004E2B64"/>
    <w:rsid w:val="004E302D"/>
    <w:rsid w:val="004E3B23"/>
    <w:rsid w:val="004E3C56"/>
    <w:rsid w:val="004E41D6"/>
    <w:rsid w:val="004E4AB2"/>
    <w:rsid w:val="004E54C8"/>
    <w:rsid w:val="004E72BD"/>
    <w:rsid w:val="004F1E54"/>
    <w:rsid w:val="004F2393"/>
    <w:rsid w:val="004F3B6F"/>
    <w:rsid w:val="004F3E94"/>
    <w:rsid w:val="004F62AF"/>
    <w:rsid w:val="004F6E8B"/>
    <w:rsid w:val="004F6F2D"/>
    <w:rsid w:val="004F75C3"/>
    <w:rsid w:val="004F7E67"/>
    <w:rsid w:val="0050023A"/>
    <w:rsid w:val="0050097C"/>
    <w:rsid w:val="00502176"/>
    <w:rsid w:val="00502391"/>
    <w:rsid w:val="00502C56"/>
    <w:rsid w:val="005034A0"/>
    <w:rsid w:val="00503AFF"/>
    <w:rsid w:val="00503D38"/>
    <w:rsid w:val="00504503"/>
    <w:rsid w:val="0050508B"/>
    <w:rsid w:val="005050FF"/>
    <w:rsid w:val="005058C3"/>
    <w:rsid w:val="00507218"/>
    <w:rsid w:val="0051006C"/>
    <w:rsid w:val="00510C53"/>
    <w:rsid w:val="00511B6B"/>
    <w:rsid w:val="00512741"/>
    <w:rsid w:val="0051403E"/>
    <w:rsid w:val="005147BF"/>
    <w:rsid w:val="00514B22"/>
    <w:rsid w:val="00515618"/>
    <w:rsid w:val="00515724"/>
    <w:rsid w:val="005167F9"/>
    <w:rsid w:val="00516E9C"/>
    <w:rsid w:val="005172CD"/>
    <w:rsid w:val="0051741E"/>
    <w:rsid w:val="0051775A"/>
    <w:rsid w:val="005201CF"/>
    <w:rsid w:val="00520600"/>
    <w:rsid w:val="005209A4"/>
    <w:rsid w:val="005213BD"/>
    <w:rsid w:val="00522D82"/>
    <w:rsid w:val="00522F8F"/>
    <w:rsid w:val="005241C8"/>
    <w:rsid w:val="00524E04"/>
    <w:rsid w:val="00524F14"/>
    <w:rsid w:val="005255D1"/>
    <w:rsid w:val="00526A0E"/>
    <w:rsid w:val="005277D0"/>
    <w:rsid w:val="0053248E"/>
    <w:rsid w:val="00532606"/>
    <w:rsid w:val="00533BB0"/>
    <w:rsid w:val="005343C2"/>
    <w:rsid w:val="00534E60"/>
    <w:rsid w:val="00535191"/>
    <w:rsid w:val="005371A1"/>
    <w:rsid w:val="0053757A"/>
    <w:rsid w:val="0053770A"/>
    <w:rsid w:val="00540777"/>
    <w:rsid w:val="0054297E"/>
    <w:rsid w:val="005431B1"/>
    <w:rsid w:val="005449E1"/>
    <w:rsid w:val="005453F7"/>
    <w:rsid w:val="0054578E"/>
    <w:rsid w:val="00545917"/>
    <w:rsid w:val="00545A81"/>
    <w:rsid w:val="00546130"/>
    <w:rsid w:val="005464CF"/>
    <w:rsid w:val="005464DD"/>
    <w:rsid w:val="005466F6"/>
    <w:rsid w:val="00546A5E"/>
    <w:rsid w:val="00550039"/>
    <w:rsid w:val="00552D05"/>
    <w:rsid w:val="00552E13"/>
    <w:rsid w:val="00553081"/>
    <w:rsid w:val="00553C22"/>
    <w:rsid w:val="0055431A"/>
    <w:rsid w:val="00554715"/>
    <w:rsid w:val="00554D99"/>
    <w:rsid w:val="005550EF"/>
    <w:rsid w:val="00555582"/>
    <w:rsid w:val="005557D4"/>
    <w:rsid w:val="00557720"/>
    <w:rsid w:val="005578BF"/>
    <w:rsid w:val="00560AC0"/>
    <w:rsid w:val="0056261F"/>
    <w:rsid w:val="0056297F"/>
    <w:rsid w:val="0056325C"/>
    <w:rsid w:val="00564BFA"/>
    <w:rsid w:val="005709D7"/>
    <w:rsid w:val="005716D5"/>
    <w:rsid w:val="00571B3A"/>
    <w:rsid w:val="00573B30"/>
    <w:rsid w:val="00575112"/>
    <w:rsid w:val="00575472"/>
    <w:rsid w:val="005764F4"/>
    <w:rsid w:val="00576EA4"/>
    <w:rsid w:val="00576EBA"/>
    <w:rsid w:val="00576F28"/>
    <w:rsid w:val="00577799"/>
    <w:rsid w:val="005777D0"/>
    <w:rsid w:val="0057792C"/>
    <w:rsid w:val="00580229"/>
    <w:rsid w:val="00581158"/>
    <w:rsid w:val="005814FF"/>
    <w:rsid w:val="005836E2"/>
    <w:rsid w:val="00584180"/>
    <w:rsid w:val="005848EE"/>
    <w:rsid w:val="00584C64"/>
    <w:rsid w:val="00584CBA"/>
    <w:rsid w:val="005859E8"/>
    <w:rsid w:val="00585ACC"/>
    <w:rsid w:val="00586505"/>
    <w:rsid w:val="0058655C"/>
    <w:rsid w:val="005876B0"/>
    <w:rsid w:val="00587C23"/>
    <w:rsid w:val="00591E7A"/>
    <w:rsid w:val="00592701"/>
    <w:rsid w:val="00592F21"/>
    <w:rsid w:val="00595212"/>
    <w:rsid w:val="00595DED"/>
    <w:rsid w:val="00597DD2"/>
    <w:rsid w:val="005A0136"/>
    <w:rsid w:val="005A0A61"/>
    <w:rsid w:val="005A1658"/>
    <w:rsid w:val="005A197F"/>
    <w:rsid w:val="005A2FE7"/>
    <w:rsid w:val="005A4A80"/>
    <w:rsid w:val="005A5224"/>
    <w:rsid w:val="005A64CA"/>
    <w:rsid w:val="005A65C2"/>
    <w:rsid w:val="005A6626"/>
    <w:rsid w:val="005A6C71"/>
    <w:rsid w:val="005A7665"/>
    <w:rsid w:val="005B10BC"/>
    <w:rsid w:val="005B12A7"/>
    <w:rsid w:val="005B12C7"/>
    <w:rsid w:val="005B263D"/>
    <w:rsid w:val="005B3C3C"/>
    <w:rsid w:val="005B40E8"/>
    <w:rsid w:val="005B4DDD"/>
    <w:rsid w:val="005B7E59"/>
    <w:rsid w:val="005C0047"/>
    <w:rsid w:val="005C057E"/>
    <w:rsid w:val="005C087B"/>
    <w:rsid w:val="005C1B91"/>
    <w:rsid w:val="005C1F7C"/>
    <w:rsid w:val="005C2275"/>
    <w:rsid w:val="005C515D"/>
    <w:rsid w:val="005C5674"/>
    <w:rsid w:val="005C5D32"/>
    <w:rsid w:val="005C6C00"/>
    <w:rsid w:val="005D0DF8"/>
    <w:rsid w:val="005D0E56"/>
    <w:rsid w:val="005D2BD0"/>
    <w:rsid w:val="005D4064"/>
    <w:rsid w:val="005D4876"/>
    <w:rsid w:val="005D4A74"/>
    <w:rsid w:val="005D5D9F"/>
    <w:rsid w:val="005D5EE6"/>
    <w:rsid w:val="005D6CFE"/>
    <w:rsid w:val="005D6E9E"/>
    <w:rsid w:val="005D6F67"/>
    <w:rsid w:val="005D70B1"/>
    <w:rsid w:val="005E05B5"/>
    <w:rsid w:val="005E0A61"/>
    <w:rsid w:val="005E13DC"/>
    <w:rsid w:val="005E1F3E"/>
    <w:rsid w:val="005E2FEA"/>
    <w:rsid w:val="005E33C8"/>
    <w:rsid w:val="005E34D2"/>
    <w:rsid w:val="005E5B5F"/>
    <w:rsid w:val="005E5E96"/>
    <w:rsid w:val="005E644F"/>
    <w:rsid w:val="005E6BD7"/>
    <w:rsid w:val="005E6DCF"/>
    <w:rsid w:val="005E77FC"/>
    <w:rsid w:val="005E7FB0"/>
    <w:rsid w:val="005F1DF6"/>
    <w:rsid w:val="005F203B"/>
    <w:rsid w:val="005F2611"/>
    <w:rsid w:val="005F284F"/>
    <w:rsid w:val="005F2DDE"/>
    <w:rsid w:val="005F37F9"/>
    <w:rsid w:val="005F42FA"/>
    <w:rsid w:val="005F57E3"/>
    <w:rsid w:val="005F7C5A"/>
    <w:rsid w:val="00601800"/>
    <w:rsid w:val="00601AAC"/>
    <w:rsid w:val="006051F1"/>
    <w:rsid w:val="0060554F"/>
    <w:rsid w:val="00606851"/>
    <w:rsid w:val="0060685D"/>
    <w:rsid w:val="00606EE5"/>
    <w:rsid w:val="006070D6"/>
    <w:rsid w:val="006075D6"/>
    <w:rsid w:val="00607B21"/>
    <w:rsid w:val="0061264B"/>
    <w:rsid w:val="00613DAD"/>
    <w:rsid w:val="00616611"/>
    <w:rsid w:val="006223E9"/>
    <w:rsid w:val="00622533"/>
    <w:rsid w:val="00622F96"/>
    <w:rsid w:val="00623889"/>
    <w:rsid w:val="00624DCA"/>
    <w:rsid w:val="00625EDC"/>
    <w:rsid w:val="0063013C"/>
    <w:rsid w:val="00630619"/>
    <w:rsid w:val="00630E51"/>
    <w:rsid w:val="00630EB1"/>
    <w:rsid w:val="00631A11"/>
    <w:rsid w:val="00631E41"/>
    <w:rsid w:val="00632A92"/>
    <w:rsid w:val="0063379A"/>
    <w:rsid w:val="00634EF4"/>
    <w:rsid w:val="00634F07"/>
    <w:rsid w:val="00636152"/>
    <w:rsid w:val="0063695E"/>
    <w:rsid w:val="0063753E"/>
    <w:rsid w:val="00637C40"/>
    <w:rsid w:val="00637F49"/>
    <w:rsid w:val="006424EB"/>
    <w:rsid w:val="00642B3C"/>
    <w:rsid w:val="00643239"/>
    <w:rsid w:val="006432DB"/>
    <w:rsid w:val="00643638"/>
    <w:rsid w:val="006446B5"/>
    <w:rsid w:val="006449AB"/>
    <w:rsid w:val="0064527A"/>
    <w:rsid w:val="006461BF"/>
    <w:rsid w:val="00647FBE"/>
    <w:rsid w:val="00651E14"/>
    <w:rsid w:val="00652EB5"/>
    <w:rsid w:val="006553F7"/>
    <w:rsid w:val="00655728"/>
    <w:rsid w:val="00655ECE"/>
    <w:rsid w:val="006600ED"/>
    <w:rsid w:val="00660BC2"/>
    <w:rsid w:val="0066156D"/>
    <w:rsid w:val="00661646"/>
    <w:rsid w:val="00663B38"/>
    <w:rsid w:val="00664D9F"/>
    <w:rsid w:val="00665520"/>
    <w:rsid w:val="00670C3B"/>
    <w:rsid w:val="0067219B"/>
    <w:rsid w:val="00672D34"/>
    <w:rsid w:val="0067411B"/>
    <w:rsid w:val="00674625"/>
    <w:rsid w:val="00675405"/>
    <w:rsid w:val="0067551B"/>
    <w:rsid w:val="00675CF5"/>
    <w:rsid w:val="00676001"/>
    <w:rsid w:val="00676340"/>
    <w:rsid w:val="006777A4"/>
    <w:rsid w:val="00677B74"/>
    <w:rsid w:val="00677E64"/>
    <w:rsid w:val="00680F95"/>
    <w:rsid w:val="00682354"/>
    <w:rsid w:val="006849F5"/>
    <w:rsid w:val="00685FA9"/>
    <w:rsid w:val="006862D4"/>
    <w:rsid w:val="00686658"/>
    <w:rsid w:val="006877BE"/>
    <w:rsid w:val="00687980"/>
    <w:rsid w:val="00690FD4"/>
    <w:rsid w:val="00691B31"/>
    <w:rsid w:val="0069234E"/>
    <w:rsid w:val="0069266B"/>
    <w:rsid w:val="00692867"/>
    <w:rsid w:val="00692D3C"/>
    <w:rsid w:val="00693193"/>
    <w:rsid w:val="00693368"/>
    <w:rsid w:val="00693C1D"/>
    <w:rsid w:val="00693F11"/>
    <w:rsid w:val="00694073"/>
    <w:rsid w:val="00694A0B"/>
    <w:rsid w:val="00694BA3"/>
    <w:rsid w:val="0069529C"/>
    <w:rsid w:val="00695339"/>
    <w:rsid w:val="0069600C"/>
    <w:rsid w:val="00697103"/>
    <w:rsid w:val="006A18A3"/>
    <w:rsid w:val="006A193E"/>
    <w:rsid w:val="006A1B4F"/>
    <w:rsid w:val="006A2244"/>
    <w:rsid w:val="006A3716"/>
    <w:rsid w:val="006A3C57"/>
    <w:rsid w:val="006A3E77"/>
    <w:rsid w:val="006A3F51"/>
    <w:rsid w:val="006A5A43"/>
    <w:rsid w:val="006A5EF7"/>
    <w:rsid w:val="006A7E34"/>
    <w:rsid w:val="006B0019"/>
    <w:rsid w:val="006B1A2B"/>
    <w:rsid w:val="006B2597"/>
    <w:rsid w:val="006B28C6"/>
    <w:rsid w:val="006B298F"/>
    <w:rsid w:val="006B341D"/>
    <w:rsid w:val="006B4141"/>
    <w:rsid w:val="006B4A50"/>
    <w:rsid w:val="006B5C40"/>
    <w:rsid w:val="006B6C98"/>
    <w:rsid w:val="006C3D59"/>
    <w:rsid w:val="006C436C"/>
    <w:rsid w:val="006C478D"/>
    <w:rsid w:val="006C60C1"/>
    <w:rsid w:val="006C6F17"/>
    <w:rsid w:val="006C7543"/>
    <w:rsid w:val="006C7F21"/>
    <w:rsid w:val="006D03CA"/>
    <w:rsid w:val="006D0A23"/>
    <w:rsid w:val="006D0AE1"/>
    <w:rsid w:val="006D26B7"/>
    <w:rsid w:val="006D27D9"/>
    <w:rsid w:val="006D2E7F"/>
    <w:rsid w:val="006D3CE6"/>
    <w:rsid w:val="006D3D1F"/>
    <w:rsid w:val="006D46AA"/>
    <w:rsid w:val="006D55EF"/>
    <w:rsid w:val="006D5AA9"/>
    <w:rsid w:val="006D634F"/>
    <w:rsid w:val="006D63AB"/>
    <w:rsid w:val="006D6C7C"/>
    <w:rsid w:val="006D736C"/>
    <w:rsid w:val="006D7FC9"/>
    <w:rsid w:val="006E1262"/>
    <w:rsid w:val="006E25C3"/>
    <w:rsid w:val="006E66D9"/>
    <w:rsid w:val="006E6DF5"/>
    <w:rsid w:val="006E7269"/>
    <w:rsid w:val="006E739C"/>
    <w:rsid w:val="006E7BDE"/>
    <w:rsid w:val="006F0848"/>
    <w:rsid w:val="006F1F97"/>
    <w:rsid w:val="006F359D"/>
    <w:rsid w:val="006F4171"/>
    <w:rsid w:val="006F4350"/>
    <w:rsid w:val="006F460A"/>
    <w:rsid w:val="006F472F"/>
    <w:rsid w:val="006F51D4"/>
    <w:rsid w:val="006F540A"/>
    <w:rsid w:val="006F6393"/>
    <w:rsid w:val="00700632"/>
    <w:rsid w:val="00700E49"/>
    <w:rsid w:val="0070152D"/>
    <w:rsid w:val="00701895"/>
    <w:rsid w:val="00701D64"/>
    <w:rsid w:val="0070241A"/>
    <w:rsid w:val="007027C9"/>
    <w:rsid w:val="00704D0E"/>
    <w:rsid w:val="00707D52"/>
    <w:rsid w:val="00707E95"/>
    <w:rsid w:val="00710F34"/>
    <w:rsid w:val="0071126F"/>
    <w:rsid w:val="00711402"/>
    <w:rsid w:val="00711FDF"/>
    <w:rsid w:val="00712426"/>
    <w:rsid w:val="007127F3"/>
    <w:rsid w:val="00712B49"/>
    <w:rsid w:val="0071309E"/>
    <w:rsid w:val="007132D6"/>
    <w:rsid w:val="0071442D"/>
    <w:rsid w:val="0071596D"/>
    <w:rsid w:val="00715D7E"/>
    <w:rsid w:val="00716BF7"/>
    <w:rsid w:val="00720A2C"/>
    <w:rsid w:val="00720A30"/>
    <w:rsid w:val="00720C1F"/>
    <w:rsid w:val="00720D25"/>
    <w:rsid w:val="007211F9"/>
    <w:rsid w:val="0072160E"/>
    <w:rsid w:val="007217EA"/>
    <w:rsid w:val="00722825"/>
    <w:rsid w:val="0072329E"/>
    <w:rsid w:val="007251B8"/>
    <w:rsid w:val="0072624D"/>
    <w:rsid w:val="00726260"/>
    <w:rsid w:val="00726B92"/>
    <w:rsid w:val="007275B9"/>
    <w:rsid w:val="0073050B"/>
    <w:rsid w:val="007307C0"/>
    <w:rsid w:val="0073173D"/>
    <w:rsid w:val="00731AF6"/>
    <w:rsid w:val="00731F7E"/>
    <w:rsid w:val="007323F5"/>
    <w:rsid w:val="007333AE"/>
    <w:rsid w:val="0073453F"/>
    <w:rsid w:val="007345DF"/>
    <w:rsid w:val="00735048"/>
    <w:rsid w:val="0073506F"/>
    <w:rsid w:val="00736B22"/>
    <w:rsid w:val="00741C23"/>
    <w:rsid w:val="00741D46"/>
    <w:rsid w:val="0074357D"/>
    <w:rsid w:val="00743590"/>
    <w:rsid w:val="0074439F"/>
    <w:rsid w:val="00746D0C"/>
    <w:rsid w:val="007471E0"/>
    <w:rsid w:val="007479D2"/>
    <w:rsid w:val="00750C6E"/>
    <w:rsid w:val="00750D12"/>
    <w:rsid w:val="007528CC"/>
    <w:rsid w:val="00752F65"/>
    <w:rsid w:val="00753BFD"/>
    <w:rsid w:val="00753DBD"/>
    <w:rsid w:val="00753F3B"/>
    <w:rsid w:val="0075505B"/>
    <w:rsid w:val="00755851"/>
    <w:rsid w:val="00755D8E"/>
    <w:rsid w:val="00756225"/>
    <w:rsid w:val="00756804"/>
    <w:rsid w:val="00757037"/>
    <w:rsid w:val="00760282"/>
    <w:rsid w:val="00760455"/>
    <w:rsid w:val="007604D4"/>
    <w:rsid w:val="00761035"/>
    <w:rsid w:val="007614F2"/>
    <w:rsid w:val="00762B27"/>
    <w:rsid w:val="007637A0"/>
    <w:rsid w:val="00765356"/>
    <w:rsid w:val="00765DDB"/>
    <w:rsid w:val="00766B5A"/>
    <w:rsid w:val="00766B9F"/>
    <w:rsid w:val="0076713C"/>
    <w:rsid w:val="00770489"/>
    <w:rsid w:val="00770578"/>
    <w:rsid w:val="00771B12"/>
    <w:rsid w:val="00771C5F"/>
    <w:rsid w:val="00773F83"/>
    <w:rsid w:val="00775CB3"/>
    <w:rsid w:val="007772C0"/>
    <w:rsid w:val="007772DF"/>
    <w:rsid w:val="00782030"/>
    <w:rsid w:val="007823B3"/>
    <w:rsid w:val="00782750"/>
    <w:rsid w:val="0078287F"/>
    <w:rsid w:val="0078388C"/>
    <w:rsid w:val="007846E9"/>
    <w:rsid w:val="00784E73"/>
    <w:rsid w:val="00785217"/>
    <w:rsid w:val="007864F0"/>
    <w:rsid w:val="00786711"/>
    <w:rsid w:val="00787142"/>
    <w:rsid w:val="00790BB7"/>
    <w:rsid w:val="007928E9"/>
    <w:rsid w:val="00792DAF"/>
    <w:rsid w:val="00792ECF"/>
    <w:rsid w:val="00793BD1"/>
    <w:rsid w:val="0079436D"/>
    <w:rsid w:val="00795A93"/>
    <w:rsid w:val="00797415"/>
    <w:rsid w:val="0079793A"/>
    <w:rsid w:val="007A0B4B"/>
    <w:rsid w:val="007A0D65"/>
    <w:rsid w:val="007A2608"/>
    <w:rsid w:val="007A291F"/>
    <w:rsid w:val="007A386A"/>
    <w:rsid w:val="007A3E5C"/>
    <w:rsid w:val="007A46F3"/>
    <w:rsid w:val="007A4E50"/>
    <w:rsid w:val="007A581A"/>
    <w:rsid w:val="007A660D"/>
    <w:rsid w:val="007A744B"/>
    <w:rsid w:val="007B26F7"/>
    <w:rsid w:val="007B28A3"/>
    <w:rsid w:val="007B2A22"/>
    <w:rsid w:val="007B3024"/>
    <w:rsid w:val="007B3460"/>
    <w:rsid w:val="007B4156"/>
    <w:rsid w:val="007B4B3E"/>
    <w:rsid w:val="007B5967"/>
    <w:rsid w:val="007B5C94"/>
    <w:rsid w:val="007B65C2"/>
    <w:rsid w:val="007B75F9"/>
    <w:rsid w:val="007B7F3A"/>
    <w:rsid w:val="007C00D8"/>
    <w:rsid w:val="007C0E92"/>
    <w:rsid w:val="007C1697"/>
    <w:rsid w:val="007C181D"/>
    <w:rsid w:val="007C2E6F"/>
    <w:rsid w:val="007C30F7"/>
    <w:rsid w:val="007C38A5"/>
    <w:rsid w:val="007C40BD"/>
    <w:rsid w:val="007C46FC"/>
    <w:rsid w:val="007C5F76"/>
    <w:rsid w:val="007C6717"/>
    <w:rsid w:val="007C7D70"/>
    <w:rsid w:val="007D21FA"/>
    <w:rsid w:val="007D2B25"/>
    <w:rsid w:val="007D3B78"/>
    <w:rsid w:val="007D424D"/>
    <w:rsid w:val="007D431F"/>
    <w:rsid w:val="007D5793"/>
    <w:rsid w:val="007D582A"/>
    <w:rsid w:val="007D5E08"/>
    <w:rsid w:val="007D6CDD"/>
    <w:rsid w:val="007D6D2E"/>
    <w:rsid w:val="007D7072"/>
    <w:rsid w:val="007E091D"/>
    <w:rsid w:val="007E167A"/>
    <w:rsid w:val="007E2928"/>
    <w:rsid w:val="007E5B56"/>
    <w:rsid w:val="007E5E69"/>
    <w:rsid w:val="007E5F65"/>
    <w:rsid w:val="007E69A0"/>
    <w:rsid w:val="007E6FAA"/>
    <w:rsid w:val="007F0AB5"/>
    <w:rsid w:val="007F22AE"/>
    <w:rsid w:val="007F2FD5"/>
    <w:rsid w:val="007F3A4D"/>
    <w:rsid w:val="007F3B1E"/>
    <w:rsid w:val="007F3B8D"/>
    <w:rsid w:val="007F3CAA"/>
    <w:rsid w:val="007F4B08"/>
    <w:rsid w:val="007F4D9B"/>
    <w:rsid w:val="007F5803"/>
    <w:rsid w:val="007F5A81"/>
    <w:rsid w:val="007F63D9"/>
    <w:rsid w:val="007F65F6"/>
    <w:rsid w:val="007F6D86"/>
    <w:rsid w:val="007F6E25"/>
    <w:rsid w:val="0080254A"/>
    <w:rsid w:val="0080270E"/>
    <w:rsid w:val="00802740"/>
    <w:rsid w:val="00802B77"/>
    <w:rsid w:val="00802C36"/>
    <w:rsid w:val="008031FA"/>
    <w:rsid w:val="008031FF"/>
    <w:rsid w:val="00803821"/>
    <w:rsid w:val="008039E1"/>
    <w:rsid w:val="008039EE"/>
    <w:rsid w:val="00803FD1"/>
    <w:rsid w:val="00804709"/>
    <w:rsid w:val="00804917"/>
    <w:rsid w:val="008049E8"/>
    <w:rsid w:val="00805B8F"/>
    <w:rsid w:val="00810588"/>
    <w:rsid w:val="00811EAE"/>
    <w:rsid w:val="008124C8"/>
    <w:rsid w:val="00813B9C"/>
    <w:rsid w:val="008144E4"/>
    <w:rsid w:val="008147E9"/>
    <w:rsid w:val="00816D91"/>
    <w:rsid w:val="00816E35"/>
    <w:rsid w:val="00817438"/>
    <w:rsid w:val="008174BC"/>
    <w:rsid w:val="00817809"/>
    <w:rsid w:val="00820932"/>
    <w:rsid w:val="00821683"/>
    <w:rsid w:val="00821907"/>
    <w:rsid w:val="008228E0"/>
    <w:rsid w:val="00823CF1"/>
    <w:rsid w:val="00823E8D"/>
    <w:rsid w:val="008244D2"/>
    <w:rsid w:val="008270C4"/>
    <w:rsid w:val="00827522"/>
    <w:rsid w:val="00827A00"/>
    <w:rsid w:val="00830586"/>
    <w:rsid w:val="0083209B"/>
    <w:rsid w:val="008321E8"/>
    <w:rsid w:val="00832AD2"/>
    <w:rsid w:val="00833ED9"/>
    <w:rsid w:val="00835613"/>
    <w:rsid w:val="00836279"/>
    <w:rsid w:val="00836658"/>
    <w:rsid w:val="00837D9C"/>
    <w:rsid w:val="0084053D"/>
    <w:rsid w:val="00842F76"/>
    <w:rsid w:val="00845884"/>
    <w:rsid w:val="008476A4"/>
    <w:rsid w:val="00847D37"/>
    <w:rsid w:val="008514A8"/>
    <w:rsid w:val="00851704"/>
    <w:rsid w:val="008519A8"/>
    <w:rsid w:val="00851B3D"/>
    <w:rsid w:val="00852BB3"/>
    <w:rsid w:val="0085309F"/>
    <w:rsid w:val="00853513"/>
    <w:rsid w:val="008537BC"/>
    <w:rsid w:val="00853C11"/>
    <w:rsid w:val="00853E70"/>
    <w:rsid w:val="008545C9"/>
    <w:rsid w:val="008556CA"/>
    <w:rsid w:val="00856D97"/>
    <w:rsid w:val="00857152"/>
    <w:rsid w:val="00857F71"/>
    <w:rsid w:val="00861BA5"/>
    <w:rsid w:val="00861C05"/>
    <w:rsid w:val="00861C32"/>
    <w:rsid w:val="00862E2D"/>
    <w:rsid w:val="0086337A"/>
    <w:rsid w:val="00863859"/>
    <w:rsid w:val="008639F9"/>
    <w:rsid w:val="00863DD5"/>
    <w:rsid w:val="00865136"/>
    <w:rsid w:val="00865F5A"/>
    <w:rsid w:val="00866836"/>
    <w:rsid w:val="00866C74"/>
    <w:rsid w:val="008702B1"/>
    <w:rsid w:val="008706CF"/>
    <w:rsid w:val="00870A4C"/>
    <w:rsid w:val="00871458"/>
    <w:rsid w:val="008714F4"/>
    <w:rsid w:val="00871E00"/>
    <w:rsid w:val="00872BFC"/>
    <w:rsid w:val="00873BCC"/>
    <w:rsid w:val="00874C52"/>
    <w:rsid w:val="00881339"/>
    <w:rsid w:val="00881550"/>
    <w:rsid w:val="00882071"/>
    <w:rsid w:val="00882A40"/>
    <w:rsid w:val="00882D6B"/>
    <w:rsid w:val="0088364C"/>
    <w:rsid w:val="0088397C"/>
    <w:rsid w:val="008841EC"/>
    <w:rsid w:val="00884271"/>
    <w:rsid w:val="00884925"/>
    <w:rsid w:val="008849DE"/>
    <w:rsid w:val="00884ED3"/>
    <w:rsid w:val="008858D5"/>
    <w:rsid w:val="00886495"/>
    <w:rsid w:val="00887F56"/>
    <w:rsid w:val="00891590"/>
    <w:rsid w:val="00892C37"/>
    <w:rsid w:val="00893701"/>
    <w:rsid w:val="0089374F"/>
    <w:rsid w:val="008964DC"/>
    <w:rsid w:val="0089796F"/>
    <w:rsid w:val="008A0097"/>
    <w:rsid w:val="008A0C43"/>
    <w:rsid w:val="008A0DC7"/>
    <w:rsid w:val="008A18EF"/>
    <w:rsid w:val="008A2EB0"/>
    <w:rsid w:val="008A3D64"/>
    <w:rsid w:val="008A620D"/>
    <w:rsid w:val="008A6BDD"/>
    <w:rsid w:val="008B0056"/>
    <w:rsid w:val="008B0383"/>
    <w:rsid w:val="008B1963"/>
    <w:rsid w:val="008B1AD7"/>
    <w:rsid w:val="008B4730"/>
    <w:rsid w:val="008B47E8"/>
    <w:rsid w:val="008B49B9"/>
    <w:rsid w:val="008B4FB6"/>
    <w:rsid w:val="008B5D61"/>
    <w:rsid w:val="008B6FA2"/>
    <w:rsid w:val="008B7131"/>
    <w:rsid w:val="008C0651"/>
    <w:rsid w:val="008C1BCB"/>
    <w:rsid w:val="008C3817"/>
    <w:rsid w:val="008C4408"/>
    <w:rsid w:val="008C46E3"/>
    <w:rsid w:val="008C59C7"/>
    <w:rsid w:val="008C652B"/>
    <w:rsid w:val="008C71A1"/>
    <w:rsid w:val="008C7885"/>
    <w:rsid w:val="008C7993"/>
    <w:rsid w:val="008D24D5"/>
    <w:rsid w:val="008D2E13"/>
    <w:rsid w:val="008D31D8"/>
    <w:rsid w:val="008D5C91"/>
    <w:rsid w:val="008D689A"/>
    <w:rsid w:val="008D777A"/>
    <w:rsid w:val="008E169C"/>
    <w:rsid w:val="008E1B2D"/>
    <w:rsid w:val="008E1C3A"/>
    <w:rsid w:val="008E3CEF"/>
    <w:rsid w:val="008E3D4F"/>
    <w:rsid w:val="008E4ADE"/>
    <w:rsid w:val="008E71B8"/>
    <w:rsid w:val="008E71DF"/>
    <w:rsid w:val="008E7454"/>
    <w:rsid w:val="008E787A"/>
    <w:rsid w:val="008F094C"/>
    <w:rsid w:val="008F2452"/>
    <w:rsid w:val="008F2649"/>
    <w:rsid w:val="008F3FDE"/>
    <w:rsid w:val="008F4385"/>
    <w:rsid w:val="008F5616"/>
    <w:rsid w:val="008F56C8"/>
    <w:rsid w:val="008F6081"/>
    <w:rsid w:val="008F6348"/>
    <w:rsid w:val="008F7255"/>
    <w:rsid w:val="008F74DF"/>
    <w:rsid w:val="008F77CC"/>
    <w:rsid w:val="008F7FA3"/>
    <w:rsid w:val="009006F9"/>
    <w:rsid w:val="00901EF0"/>
    <w:rsid w:val="00902720"/>
    <w:rsid w:val="00902B5F"/>
    <w:rsid w:val="00903965"/>
    <w:rsid w:val="00904197"/>
    <w:rsid w:val="009078F5"/>
    <w:rsid w:val="00907AA2"/>
    <w:rsid w:val="00907DFA"/>
    <w:rsid w:val="009112A9"/>
    <w:rsid w:val="00912A4E"/>
    <w:rsid w:val="00912B35"/>
    <w:rsid w:val="00912E65"/>
    <w:rsid w:val="00913011"/>
    <w:rsid w:val="0091357E"/>
    <w:rsid w:val="009135DD"/>
    <w:rsid w:val="009136B8"/>
    <w:rsid w:val="009143AB"/>
    <w:rsid w:val="00914A77"/>
    <w:rsid w:val="00916746"/>
    <w:rsid w:val="00917020"/>
    <w:rsid w:val="00917040"/>
    <w:rsid w:val="009176E7"/>
    <w:rsid w:val="0092167D"/>
    <w:rsid w:val="009224B9"/>
    <w:rsid w:val="009234ED"/>
    <w:rsid w:val="00923723"/>
    <w:rsid w:val="00924078"/>
    <w:rsid w:val="009250A6"/>
    <w:rsid w:val="009253C5"/>
    <w:rsid w:val="00925669"/>
    <w:rsid w:val="00926764"/>
    <w:rsid w:val="00926C47"/>
    <w:rsid w:val="00926CA4"/>
    <w:rsid w:val="00926D86"/>
    <w:rsid w:val="00931DDC"/>
    <w:rsid w:val="009324BE"/>
    <w:rsid w:val="00933C31"/>
    <w:rsid w:val="0093454B"/>
    <w:rsid w:val="00934E7F"/>
    <w:rsid w:val="009350C6"/>
    <w:rsid w:val="00935187"/>
    <w:rsid w:val="0093575A"/>
    <w:rsid w:val="0093588D"/>
    <w:rsid w:val="00935CB8"/>
    <w:rsid w:val="009363ED"/>
    <w:rsid w:val="00936B0D"/>
    <w:rsid w:val="00936C09"/>
    <w:rsid w:val="00937917"/>
    <w:rsid w:val="00937FA9"/>
    <w:rsid w:val="00941523"/>
    <w:rsid w:val="00943273"/>
    <w:rsid w:val="0094395E"/>
    <w:rsid w:val="0094474A"/>
    <w:rsid w:val="00944864"/>
    <w:rsid w:val="00944865"/>
    <w:rsid w:val="00944C6D"/>
    <w:rsid w:val="00945249"/>
    <w:rsid w:val="00946D2A"/>
    <w:rsid w:val="009473A3"/>
    <w:rsid w:val="009475D7"/>
    <w:rsid w:val="00947E96"/>
    <w:rsid w:val="009509A3"/>
    <w:rsid w:val="00951562"/>
    <w:rsid w:val="00951576"/>
    <w:rsid w:val="00951973"/>
    <w:rsid w:val="009526E0"/>
    <w:rsid w:val="00952EA3"/>
    <w:rsid w:val="00953A26"/>
    <w:rsid w:val="00953F80"/>
    <w:rsid w:val="00954370"/>
    <w:rsid w:val="009554FA"/>
    <w:rsid w:val="00955802"/>
    <w:rsid w:val="00955B0B"/>
    <w:rsid w:val="009567A9"/>
    <w:rsid w:val="00957728"/>
    <w:rsid w:val="00957FC9"/>
    <w:rsid w:val="0096096B"/>
    <w:rsid w:val="00960C61"/>
    <w:rsid w:val="0096121F"/>
    <w:rsid w:val="00961946"/>
    <w:rsid w:val="0096221B"/>
    <w:rsid w:val="009622C6"/>
    <w:rsid w:val="0096287C"/>
    <w:rsid w:val="00962BE0"/>
    <w:rsid w:val="009634EC"/>
    <w:rsid w:val="009642F3"/>
    <w:rsid w:val="009644BD"/>
    <w:rsid w:val="009646A6"/>
    <w:rsid w:val="00965DFA"/>
    <w:rsid w:val="00966762"/>
    <w:rsid w:val="009667B5"/>
    <w:rsid w:val="00967096"/>
    <w:rsid w:val="00967324"/>
    <w:rsid w:val="00970CDB"/>
    <w:rsid w:val="009712D2"/>
    <w:rsid w:val="00972719"/>
    <w:rsid w:val="00973203"/>
    <w:rsid w:val="009734DB"/>
    <w:rsid w:val="0097370F"/>
    <w:rsid w:val="00973BAA"/>
    <w:rsid w:val="00974205"/>
    <w:rsid w:val="00975213"/>
    <w:rsid w:val="00976497"/>
    <w:rsid w:val="00976AFA"/>
    <w:rsid w:val="00976EC4"/>
    <w:rsid w:val="00977F69"/>
    <w:rsid w:val="0098127F"/>
    <w:rsid w:val="00982C11"/>
    <w:rsid w:val="00983125"/>
    <w:rsid w:val="00983B80"/>
    <w:rsid w:val="00983D38"/>
    <w:rsid w:val="00983F3F"/>
    <w:rsid w:val="009842B9"/>
    <w:rsid w:val="009855F1"/>
    <w:rsid w:val="00985BC0"/>
    <w:rsid w:val="00986500"/>
    <w:rsid w:val="00990DE5"/>
    <w:rsid w:val="0099175E"/>
    <w:rsid w:val="0099371B"/>
    <w:rsid w:val="00994A3D"/>
    <w:rsid w:val="00996342"/>
    <w:rsid w:val="00996BA3"/>
    <w:rsid w:val="009A0580"/>
    <w:rsid w:val="009A230A"/>
    <w:rsid w:val="009A26C0"/>
    <w:rsid w:val="009A2F1F"/>
    <w:rsid w:val="009A39B9"/>
    <w:rsid w:val="009A40C8"/>
    <w:rsid w:val="009A4C01"/>
    <w:rsid w:val="009A4CDF"/>
    <w:rsid w:val="009A5A70"/>
    <w:rsid w:val="009A685E"/>
    <w:rsid w:val="009A6C97"/>
    <w:rsid w:val="009A7659"/>
    <w:rsid w:val="009A7726"/>
    <w:rsid w:val="009B080E"/>
    <w:rsid w:val="009B19DC"/>
    <w:rsid w:val="009B3610"/>
    <w:rsid w:val="009B42C8"/>
    <w:rsid w:val="009B4DE3"/>
    <w:rsid w:val="009B6797"/>
    <w:rsid w:val="009B6CEE"/>
    <w:rsid w:val="009B6D95"/>
    <w:rsid w:val="009C1B00"/>
    <w:rsid w:val="009C1D48"/>
    <w:rsid w:val="009C287A"/>
    <w:rsid w:val="009C3BE9"/>
    <w:rsid w:val="009C44C6"/>
    <w:rsid w:val="009C451B"/>
    <w:rsid w:val="009C519D"/>
    <w:rsid w:val="009C69B3"/>
    <w:rsid w:val="009C6CB6"/>
    <w:rsid w:val="009C7CB2"/>
    <w:rsid w:val="009D0601"/>
    <w:rsid w:val="009D342B"/>
    <w:rsid w:val="009D5E5A"/>
    <w:rsid w:val="009D6089"/>
    <w:rsid w:val="009D618B"/>
    <w:rsid w:val="009D671B"/>
    <w:rsid w:val="009D6D26"/>
    <w:rsid w:val="009D74FD"/>
    <w:rsid w:val="009E1187"/>
    <w:rsid w:val="009E1F26"/>
    <w:rsid w:val="009E23DD"/>
    <w:rsid w:val="009E465A"/>
    <w:rsid w:val="009E4A03"/>
    <w:rsid w:val="009E4A42"/>
    <w:rsid w:val="009E5FA3"/>
    <w:rsid w:val="009F04E8"/>
    <w:rsid w:val="009F0A1C"/>
    <w:rsid w:val="009F0CA7"/>
    <w:rsid w:val="009F10CB"/>
    <w:rsid w:val="009F116F"/>
    <w:rsid w:val="009F18D7"/>
    <w:rsid w:val="009F3A1F"/>
    <w:rsid w:val="009F3BF2"/>
    <w:rsid w:val="009F5F8F"/>
    <w:rsid w:val="009F6E40"/>
    <w:rsid w:val="009F7795"/>
    <w:rsid w:val="00A00483"/>
    <w:rsid w:val="00A01618"/>
    <w:rsid w:val="00A018C6"/>
    <w:rsid w:val="00A01B97"/>
    <w:rsid w:val="00A0292F"/>
    <w:rsid w:val="00A03292"/>
    <w:rsid w:val="00A03352"/>
    <w:rsid w:val="00A03C1C"/>
    <w:rsid w:val="00A06672"/>
    <w:rsid w:val="00A06995"/>
    <w:rsid w:val="00A10C45"/>
    <w:rsid w:val="00A10D24"/>
    <w:rsid w:val="00A114BE"/>
    <w:rsid w:val="00A11C25"/>
    <w:rsid w:val="00A12287"/>
    <w:rsid w:val="00A12307"/>
    <w:rsid w:val="00A12722"/>
    <w:rsid w:val="00A131E6"/>
    <w:rsid w:val="00A13E5E"/>
    <w:rsid w:val="00A14FD5"/>
    <w:rsid w:val="00A15549"/>
    <w:rsid w:val="00A15E6B"/>
    <w:rsid w:val="00A1638F"/>
    <w:rsid w:val="00A20003"/>
    <w:rsid w:val="00A203BB"/>
    <w:rsid w:val="00A23538"/>
    <w:rsid w:val="00A262EC"/>
    <w:rsid w:val="00A27675"/>
    <w:rsid w:val="00A30679"/>
    <w:rsid w:val="00A306AF"/>
    <w:rsid w:val="00A30DF0"/>
    <w:rsid w:val="00A31377"/>
    <w:rsid w:val="00A321FB"/>
    <w:rsid w:val="00A32897"/>
    <w:rsid w:val="00A33021"/>
    <w:rsid w:val="00A3384A"/>
    <w:rsid w:val="00A367AB"/>
    <w:rsid w:val="00A375ED"/>
    <w:rsid w:val="00A3783F"/>
    <w:rsid w:val="00A4098B"/>
    <w:rsid w:val="00A41473"/>
    <w:rsid w:val="00A4184A"/>
    <w:rsid w:val="00A41AD7"/>
    <w:rsid w:val="00A434FF"/>
    <w:rsid w:val="00A45453"/>
    <w:rsid w:val="00A46443"/>
    <w:rsid w:val="00A47517"/>
    <w:rsid w:val="00A5075E"/>
    <w:rsid w:val="00A51429"/>
    <w:rsid w:val="00A51D40"/>
    <w:rsid w:val="00A52E98"/>
    <w:rsid w:val="00A538D5"/>
    <w:rsid w:val="00A5457C"/>
    <w:rsid w:val="00A554A0"/>
    <w:rsid w:val="00A55EB8"/>
    <w:rsid w:val="00A56900"/>
    <w:rsid w:val="00A5764C"/>
    <w:rsid w:val="00A60006"/>
    <w:rsid w:val="00A6129B"/>
    <w:rsid w:val="00A61794"/>
    <w:rsid w:val="00A6261C"/>
    <w:rsid w:val="00A62A9C"/>
    <w:rsid w:val="00A62DBE"/>
    <w:rsid w:val="00A62EFC"/>
    <w:rsid w:val="00A65A02"/>
    <w:rsid w:val="00A66C1D"/>
    <w:rsid w:val="00A678CD"/>
    <w:rsid w:val="00A67F34"/>
    <w:rsid w:val="00A70B08"/>
    <w:rsid w:val="00A71250"/>
    <w:rsid w:val="00A713A7"/>
    <w:rsid w:val="00A72B92"/>
    <w:rsid w:val="00A72C4D"/>
    <w:rsid w:val="00A72FFC"/>
    <w:rsid w:val="00A73729"/>
    <w:rsid w:val="00A73E05"/>
    <w:rsid w:val="00A751FE"/>
    <w:rsid w:val="00A753C0"/>
    <w:rsid w:val="00A75B67"/>
    <w:rsid w:val="00A75C4E"/>
    <w:rsid w:val="00A76FBF"/>
    <w:rsid w:val="00A771B8"/>
    <w:rsid w:val="00A774E7"/>
    <w:rsid w:val="00A77A54"/>
    <w:rsid w:val="00A77BF6"/>
    <w:rsid w:val="00A8042B"/>
    <w:rsid w:val="00A8108F"/>
    <w:rsid w:val="00A8119F"/>
    <w:rsid w:val="00A8138C"/>
    <w:rsid w:val="00A81511"/>
    <w:rsid w:val="00A817DF"/>
    <w:rsid w:val="00A81843"/>
    <w:rsid w:val="00A83FAA"/>
    <w:rsid w:val="00A85EF2"/>
    <w:rsid w:val="00A8601B"/>
    <w:rsid w:val="00A87C0A"/>
    <w:rsid w:val="00A87DA4"/>
    <w:rsid w:val="00A9055C"/>
    <w:rsid w:val="00A90A5F"/>
    <w:rsid w:val="00A912EC"/>
    <w:rsid w:val="00A916C9"/>
    <w:rsid w:val="00A932E7"/>
    <w:rsid w:val="00A9372E"/>
    <w:rsid w:val="00A9425E"/>
    <w:rsid w:val="00A95C8E"/>
    <w:rsid w:val="00A966DD"/>
    <w:rsid w:val="00A9754A"/>
    <w:rsid w:val="00A97BA6"/>
    <w:rsid w:val="00A97D6D"/>
    <w:rsid w:val="00AA0FB9"/>
    <w:rsid w:val="00AA108E"/>
    <w:rsid w:val="00AA1D1C"/>
    <w:rsid w:val="00AA2666"/>
    <w:rsid w:val="00AA30CD"/>
    <w:rsid w:val="00AA3D21"/>
    <w:rsid w:val="00AA4592"/>
    <w:rsid w:val="00AA4B7A"/>
    <w:rsid w:val="00AA4F80"/>
    <w:rsid w:val="00AA5427"/>
    <w:rsid w:val="00AA7433"/>
    <w:rsid w:val="00AB00B9"/>
    <w:rsid w:val="00AB2E6B"/>
    <w:rsid w:val="00AB402A"/>
    <w:rsid w:val="00AB5064"/>
    <w:rsid w:val="00AB534C"/>
    <w:rsid w:val="00AB53EB"/>
    <w:rsid w:val="00AB63F6"/>
    <w:rsid w:val="00AB6FE4"/>
    <w:rsid w:val="00AB7704"/>
    <w:rsid w:val="00AB7D1C"/>
    <w:rsid w:val="00AC2285"/>
    <w:rsid w:val="00AC2854"/>
    <w:rsid w:val="00AC2967"/>
    <w:rsid w:val="00AC2C80"/>
    <w:rsid w:val="00AC3B34"/>
    <w:rsid w:val="00AC40BD"/>
    <w:rsid w:val="00AC610B"/>
    <w:rsid w:val="00AC6C80"/>
    <w:rsid w:val="00AC798A"/>
    <w:rsid w:val="00AD0B6A"/>
    <w:rsid w:val="00AD118C"/>
    <w:rsid w:val="00AD2146"/>
    <w:rsid w:val="00AD3D47"/>
    <w:rsid w:val="00AD4294"/>
    <w:rsid w:val="00AD594E"/>
    <w:rsid w:val="00AD65F5"/>
    <w:rsid w:val="00AD6CCB"/>
    <w:rsid w:val="00AD7F4B"/>
    <w:rsid w:val="00AE11E0"/>
    <w:rsid w:val="00AE1A54"/>
    <w:rsid w:val="00AE1FA4"/>
    <w:rsid w:val="00AE1FA8"/>
    <w:rsid w:val="00AE248F"/>
    <w:rsid w:val="00AE2729"/>
    <w:rsid w:val="00AE2ED7"/>
    <w:rsid w:val="00AE3AD7"/>
    <w:rsid w:val="00AE47A3"/>
    <w:rsid w:val="00AE486A"/>
    <w:rsid w:val="00AE522F"/>
    <w:rsid w:val="00AE5486"/>
    <w:rsid w:val="00AE559C"/>
    <w:rsid w:val="00AF0481"/>
    <w:rsid w:val="00AF060F"/>
    <w:rsid w:val="00AF0891"/>
    <w:rsid w:val="00AF0A29"/>
    <w:rsid w:val="00AF152B"/>
    <w:rsid w:val="00AF268B"/>
    <w:rsid w:val="00AF28A1"/>
    <w:rsid w:val="00AF3521"/>
    <w:rsid w:val="00AF3900"/>
    <w:rsid w:val="00AF5B81"/>
    <w:rsid w:val="00B0017A"/>
    <w:rsid w:val="00B01138"/>
    <w:rsid w:val="00B01218"/>
    <w:rsid w:val="00B01676"/>
    <w:rsid w:val="00B03599"/>
    <w:rsid w:val="00B04DC3"/>
    <w:rsid w:val="00B05981"/>
    <w:rsid w:val="00B05FF9"/>
    <w:rsid w:val="00B061B9"/>
    <w:rsid w:val="00B10153"/>
    <w:rsid w:val="00B105A7"/>
    <w:rsid w:val="00B1179F"/>
    <w:rsid w:val="00B13121"/>
    <w:rsid w:val="00B134C6"/>
    <w:rsid w:val="00B13C16"/>
    <w:rsid w:val="00B14D3B"/>
    <w:rsid w:val="00B155AF"/>
    <w:rsid w:val="00B1632B"/>
    <w:rsid w:val="00B16559"/>
    <w:rsid w:val="00B16D30"/>
    <w:rsid w:val="00B17E60"/>
    <w:rsid w:val="00B211C6"/>
    <w:rsid w:val="00B21979"/>
    <w:rsid w:val="00B22230"/>
    <w:rsid w:val="00B2273F"/>
    <w:rsid w:val="00B22A14"/>
    <w:rsid w:val="00B236EE"/>
    <w:rsid w:val="00B24A9A"/>
    <w:rsid w:val="00B24CFB"/>
    <w:rsid w:val="00B25220"/>
    <w:rsid w:val="00B26D5A"/>
    <w:rsid w:val="00B309DE"/>
    <w:rsid w:val="00B30EEB"/>
    <w:rsid w:val="00B31C5D"/>
    <w:rsid w:val="00B33473"/>
    <w:rsid w:val="00B334BA"/>
    <w:rsid w:val="00B36DE2"/>
    <w:rsid w:val="00B3793D"/>
    <w:rsid w:val="00B37B6D"/>
    <w:rsid w:val="00B40815"/>
    <w:rsid w:val="00B41FA1"/>
    <w:rsid w:val="00B42970"/>
    <w:rsid w:val="00B45625"/>
    <w:rsid w:val="00B45AE8"/>
    <w:rsid w:val="00B465C9"/>
    <w:rsid w:val="00B46A6E"/>
    <w:rsid w:val="00B511C7"/>
    <w:rsid w:val="00B51415"/>
    <w:rsid w:val="00B51597"/>
    <w:rsid w:val="00B5160B"/>
    <w:rsid w:val="00B5238E"/>
    <w:rsid w:val="00B52A0D"/>
    <w:rsid w:val="00B55E79"/>
    <w:rsid w:val="00B56820"/>
    <w:rsid w:val="00B569C7"/>
    <w:rsid w:val="00B57CE2"/>
    <w:rsid w:val="00B60745"/>
    <w:rsid w:val="00B617CC"/>
    <w:rsid w:val="00B62541"/>
    <w:rsid w:val="00B641CF"/>
    <w:rsid w:val="00B65A68"/>
    <w:rsid w:val="00B66A91"/>
    <w:rsid w:val="00B6795C"/>
    <w:rsid w:val="00B70523"/>
    <w:rsid w:val="00B7123F"/>
    <w:rsid w:val="00B71328"/>
    <w:rsid w:val="00B735EE"/>
    <w:rsid w:val="00B7387D"/>
    <w:rsid w:val="00B750E1"/>
    <w:rsid w:val="00B751CA"/>
    <w:rsid w:val="00B76215"/>
    <w:rsid w:val="00B804BD"/>
    <w:rsid w:val="00B811A4"/>
    <w:rsid w:val="00B814D0"/>
    <w:rsid w:val="00B81768"/>
    <w:rsid w:val="00B8348B"/>
    <w:rsid w:val="00B85A52"/>
    <w:rsid w:val="00B902C8"/>
    <w:rsid w:val="00B91211"/>
    <w:rsid w:val="00B912A3"/>
    <w:rsid w:val="00B914F2"/>
    <w:rsid w:val="00B91C46"/>
    <w:rsid w:val="00B923E5"/>
    <w:rsid w:val="00B93C9D"/>
    <w:rsid w:val="00B946A9"/>
    <w:rsid w:val="00B947B0"/>
    <w:rsid w:val="00B95AAC"/>
    <w:rsid w:val="00B95D1E"/>
    <w:rsid w:val="00B96491"/>
    <w:rsid w:val="00B969BC"/>
    <w:rsid w:val="00B96D35"/>
    <w:rsid w:val="00B96E96"/>
    <w:rsid w:val="00BA1F77"/>
    <w:rsid w:val="00BA260C"/>
    <w:rsid w:val="00BA2D9E"/>
    <w:rsid w:val="00BA3090"/>
    <w:rsid w:val="00BA38BB"/>
    <w:rsid w:val="00BA3BF9"/>
    <w:rsid w:val="00BA5313"/>
    <w:rsid w:val="00BA770C"/>
    <w:rsid w:val="00BA77D9"/>
    <w:rsid w:val="00BA7FE1"/>
    <w:rsid w:val="00BB049D"/>
    <w:rsid w:val="00BB0DE7"/>
    <w:rsid w:val="00BB1A15"/>
    <w:rsid w:val="00BB2B2E"/>
    <w:rsid w:val="00BB37BF"/>
    <w:rsid w:val="00BB3DFB"/>
    <w:rsid w:val="00BB41DC"/>
    <w:rsid w:val="00BB4CA8"/>
    <w:rsid w:val="00BB5D41"/>
    <w:rsid w:val="00BB68A4"/>
    <w:rsid w:val="00BB745E"/>
    <w:rsid w:val="00BB7CC0"/>
    <w:rsid w:val="00BC0D1D"/>
    <w:rsid w:val="00BC0E30"/>
    <w:rsid w:val="00BC240A"/>
    <w:rsid w:val="00BC275C"/>
    <w:rsid w:val="00BC285A"/>
    <w:rsid w:val="00BC2EE4"/>
    <w:rsid w:val="00BC709C"/>
    <w:rsid w:val="00BC70EA"/>
    <w:rsid w:val="00BC71BC"/>
    <w:rsid w:val="00BC73DE"/>
    <w:rsid w:val="00BC7B74"/>
    <w:rsid w:val="00BD02FE"/>
    <w:rsid w:val="00BD0875"/>
    <w:rsid w:val="00BD091B"/>
    <w:rsid w:val="00BD120C"/>
    <w:rsid w:val="00BD1D4B"/>
    <w:rsid w:val="00BD202B"/>
    <w:rsid w:val="00BD370B"/>
    <w:rsid w:val="00BD3A47"/>
    <w:rsid w:val="00BD3A7B"/>
    <w:rsid w:val="00BD4D8B"/>
    <w:rsid w:val="00BD50DB"/>
    <w:rsid w:val="00BD61C7"/>
    <w:rsid w:val="00BD70C7"/>
    <w:rsid w:val="00BD7506"/>
    <w:rsid w:val="00BE0593"/>
    <w:rsid w:val="00BE1774"/>
    <w:rsid w:val="00BE24AD"/>
    <w:rsid w:val="00BE284E"/>
    <w:rsid w:val="00BE3BAA"/>
    <w:rsid w:val="00BE493F"/>
    <w:rsid w:val="00BE54CC"/>
    <w:rsid w:val="00BE781F"/>
    <w:rsid w:val="00BF06BD"/>
    <w:rsid w:val="00BF08BA"/>
    <w:rsid w:val="00BF09F8"/>
    <w:rsid w:val="00BF12CB"/>
    <w:rsid w:val="00BF17EA"/>
    <w:rsid w:val="00BF1B2A"/>
    <w:rsid w:val="00BF1DB0"/>
    <w:rsid w:val="00BF2E31"/>
    <w:rsid w:val="00BF3AAB"/>
    <w:rsid w:val="00BF4EE8"/>
    <w:rsid w:val="00BF590C"/>
    <w:rsid w:val="00BF6E9D"/>
    <w:rsid w:val="00BF7841"/>
    <w:rsid w:val="00C0094B"/>
    <w:rsid w:val="00C014F6"/>
    <w:rsid w:val="00C02073"/>
    <w:rsid w:val="00C022E8"/>
    <w:rsid w:val="00C03060"/>
    <w:rsid w:val="00C03A78"/>
    <w:rsid w:val="00C03C7C"/>
    <w:rsid w:val="00C04657"/>
    <w:rsid w:val="00C0647E"/>
    <w:rsid w:val="00C06BFD"/>
    <w:rsid w:val="00C10CD3"/>
    <w:rsid w:val="00C11155"/>
    <w:rsid w:val="00C11D84"/>
    <w:rsid w:val="00C139DD"/>
    <w:rsid w:val="00C14984"/>
    <w:rsid w:val="00C15515"/>
    <w:rsid w:val="00C159D4"/>
    <w:rsid w:val="00C15F27"/>
    <w:rsid w:val="00C1775C"/>
    <w:rsid w:val="00C20467"/>
    <w:rsid w:val="00C21A87"/>
    <w:rsid w:val="00C21E60"/>
    <w:rsid w:val="00C237FE"/>
    <w:rsid w:val="00C23952"/>
    <w:rsid w:val="00C23B94"/>
    <w:rsid w:val="00C252BF"/>
    <w:rsid w:val="00C25664"/>
    <w:rsid w:val="00C26623"/>
    <w:rsid w:val="00C26BCA"/>
    <w:rsid w:val="00C27B8E"/>
    <w:rsid w:val="00C31C90"/>
    <w:rsid w:val="00C3226C"/>
    <w:rsid w:val="00C3277A"/>
    <w:rsid w:val="00C33358"/>
    <w:rsid w:val="00C33445"/>
    <w:rsid w:val="00C33610"/>
    <w:rsid w:val="00C33694"/>
    <w:rsid w:val="00C339DC"/>
    <w:rsid w:val="00C357E2"/>
    <w:rsid w:val="00C35C01"/>
    <w:rsid w:val="00C35D28"/>
    <w:rsid w:val="00C35EE2"/>
    <w:rsid w:val="00C41145"/>
    <w:rsid w:val="00C4193B"/>
    <w:rsid w:val="00C42F0B"/>
    <w:rsid w:val="00C44DAA"/>
    <w:rsid w:val="00C45983"/>
    <w:rsid w:val="00C479E6"/>
    <w:rsid w:val="00C50242"/>
    <w:rsid w:val="00C505B1"/>
    <w:rsid w:val="00C5113A"/>
    <w:rsid w:val="00C5192F"/>
    <w:rsid w:val="00C52A7F"/>
    <w:rsid w:val="00C52E39"/>
    <w:rsid w:val="00C55882"/>
    <w:rsid w:val="00C55BED"/>
    <w:rsid w:val="00C56C27"/>
    <w:rsid w:val="00C60C99"/>
    <w:rsid w:val="00C63037"/>
    <w:rsid w:val="00C6347C"/>
    <w:rsid w:val="00C64410"/>
    <w:rsid w:val="00C647E9"/>
    <w:rsid w:val="00C66D1A"/>
    <w:rsid w:val="00C66EE4"/>
    <w:rsid w:val="00C710B9"/>
    <w:rsid w:val="00C7197B"/>
    <w:rsid w:val="00C726EE"/>
    <w:rsid w:val="00C72BED"/>
    <w:rsid w:val="00C73BB0"/>
    <w:rsid w:val="00C746E1"/>
    <w:rsid w:val="00C7671A"/>
    <w:rsid w:val="00C8004E"/>
    <w:rsid w:val="00C80338"/>
    <w:rsid w:val="00C819D6"/>
    <w:rsid w:val="00C823E0"/>
    <w:rsid w:val="00C8470C"/>
    <w:rsid w:val="00C84CCD"/>
    <w:rsid w:val="00C855C7"/>
    <w:rsid w:val="00C8575D"/>
    <w:rsid w:val="00C860DE"/>
    <w:rsid w:val="00C9228F"/>
    <w:rsid w:val="00C926D7"/>
    <w:rsid w:val="00C92B34"/>
    <w:rsid w:val="00C92B71"/>
    <w:rsid w:val="00C932A8"/>
    <w:rsid w:val="00C943F5"/>
    <w:rsid w:val="00C94E7F"/>
    <w:rsid w:val="00C97AB7"/>
    <w:rsid w:val="00CA004E"/>
    <w:rsid w:val="00CA1ABC"/>
    <w:rsid w:val="00CA25BC"/>
    <w:rsid w:val="00CA386D"/>
    <w:rsid w:val="00CA4781"/>
    <w:rsid w:val="00CA543D"/>
    <w:rsid w:val="00CA5CD6"/>
    <w:rsid w:val="00CB039D"/>
    <w:rsid w:val="00CB2F53"/>
    <w:rsid w:val="00CB3303"/>
    <w:rsid w:val="00CB35E3"/>
    <w:rsid w:val="00CB3743"/>
    <w:rsid w:val="00CB4701"/>
    <w:rsid w:val="00CB7A6F"/>
    <w:rsid w:val="00CC09D6"/>
    <w:rsid w:val="00CC1137"/>
    <w:rsid w:val="00CC13C4"/>
    <w:rsid w:val="00CC3593"/>
    <w:rsid w:val="00CC7025"/>
    <w:rsid w:val="00CC75FE"/>
    <w:rsid w:val="00CD4DD4"/>
    <w:rsid w:val="00CD57D1"/>
    <w:rsid w:val="00CD57DB"/>
    <w:rsid w:val="00CD7853"/>
    <w:rsid w:val="00CE01D3"/>
    <w:rsid w:val="00CE173A"/>
    <w:rsid w:val="00CE1851"/>
    <w:rsid w:val="00CE22E2"/>
    <w:rsid w:val="00CE23BF"/>
    <w:rsid w:val="00CE23FA"/>
    <w:rsid w:val="00CE2B1B"/>
    <w:rsid w:val="00CE4BA6"/>
    <w:rsid w:val="00CE4C47"/>
    <w:rsid w:val="00CE6BBC"/>
    <w:rsid w:val="00CE7029"/>
    <w:rsid w:val="00CE70F6"/>
    <w:rsid w:val="00CF0606"/>
    <w:rsid w:val="00CF0FCF"/>
    <w:rsid w:val="00CF139B"/>
    <w:rsid w:val="00CF24B9"/>
    <w:rsid w:val="00CF4692"/>
    <w:rsid w:val="00CF4AC3"/>
    <w:rsid w:val="00CF5186"/>
    <w:rsid w:val="00CF53E2"/>
    <w:rsid w:val="00CF55A5"/>
    <w:rsid w:val="00CF6098"/>
    <w:rsid w:val="00CF653F"/>
    <w:rsid w:val="00CF6B1B"/>
    <w:rsid w:val="00D00C9B"/>
    <w:rsid w:val="00D01EC9"/>
    <w:rsid w:val="00D02458"/>
    <w:rsid w:val="00D02C5A"/>
    <w:rsid w:val="00D04347"/>
    <w:rsid w:val="00D0470E"/>
    <w:rsid w:val="00D04968"/>
    <w:rsid w:val="00D05223"/>
    <w:rsid w:val="00D05D7E"/>
    <w:rsid w:val="00D06048"/>
    <w:rsid w:val="00D061C8"/>
    <w:rsid w:val="00D064BA"/>
    <w:rsid w:val="00D06E8D"/>
    <w:rsid w:val="00D0752B"/>
    <w:rsid w:val="00D10968"/>
    <w:rsid w:val="00D10C50"/>
    <w:rsid w:val="00D1192E"/>
    <w:rsid w:val="00D130E9"/>
    <w:rsid w:val="00D1452E"/>
    <w:rsid w:val="00D14AF1"/>
    <w:rsid w:val="00D15609"/>
    <w:rsid w:val="00D15D79"/>
    <w:rsid w:val="00D15F19"/>
    <w:rsid w:val="00D16C11"/>
    <w:rsid w:val="00D16F40"/>
    <w:rsid w:val="00D16F44"/>
    <w:rsid w:val="00D17196"/>
    <w:rsid w:val="00D20A14"/>
    <w:rsid w:val="00D21096"/>
    <w:rsid w:val="00D21201"/>
    <w:rsid w:val="00D21308"/>
    <w:rsid w:val="00D21929"/>
    <w:rsid w:val="00D219BC"/>
    <w:rsid w:val="00D228AD"/>
    <w:rsid w:val="00D246D7"/>
    <w:rsid w:val="00D252D6"/>
    <w:rsid w:val="00D25452"/>
    <w:rsid w:val="00D25B15"/>
    <w:rsid w:val="00D26C8D"/>
    <w:rsid w:val="00D2780A"/>
    <w:rsid w:val="00D2780D"/>
    <w:rsid w:val="00D27F13"/>
    <w:rsid w:val="00D304B3"/>
    <w:rsid w:val="00D30682"/>
    <w:rsid w:val="00D307BD"/>
    <w:rsid w:val="00D312CD"/>
    <w:rsid w:val="00D32008"/>
    <w:rsid w:val="00D331B3"/>
    <w:rsid w:val="00D3340A"/>
    <w:rsid w:val="00D33889"/>
    <w:rsid w:val="00D3388C"/>
    <w:rsid w:val="00D37275"/>
    <w:rsid w:val="00D377A7"/>
    <w:rsid w:val="00D37BC6"/>
    <w:rsid w:val="00D40B2C"/>
    <w:rsid w:val="00D40C15"/>
    <w:rsid w:val="00D427E2"/>
    <w:rsid w:val="00D428A3"/>
    <w:rsid w:val="00D4290B"/>
    <w:rsid w:val="00D43B9B"/>
    <w:rsid w:val="00D4413F"/>
    <w:rsid w:val="00D44512"/>
    <w:rsid w:val="00D453E2"/>
    <w:rsid w:val="00D454C7"/>
    <w:rsid w:val="00D4648A"/>
    <w:rsid w:val="00D465F9"/>
    <w:rsid w:val="00D473A4"/>
    <w:rsid w:val="00D4759E"/>
    <w:rsid w:val="00D475F4"/>
    <w:rsid w:val="00D505DD"/>
    <w:rsid w:val="00D50A7A"/>
    <w:rsid w:val="00D50D6C"/>
    <w:rsid w:val="00D51B0B"/>
    <w:rsid w:val="00D528D7"/>
    <w:rsid w:val="00D53D76"/>
    <w:rsid w:val="00D54378"/>
    <w:rsid w:val="00D5650C"/>
    <w:rsid w:val="00D56FC6"/>
    <w:rsid w:val="00D60305"/>
    <w:rsid w:val="00D60898"/>
    <w:rsid w:val="00D60BE0"/>
    <w:rsid w:val="00D60BFA"/>
    <w:rsid w:val="00D6169B"/>
    <w:rsid w:val="00D61BE0"/>
    <w:rsid w:val="00D633E6"/>
    <w:rsid w:val="00D645A3"/>
    <w:rsid w:val="00D64AA2"/>
    <w:rsid w:val="00D6609E"/>
    <w:rsid w:val="00D667B0"/>
    <w:rsid w:val="00D66A2B"/>
    <w:rsid w:val="00D66DCF"/>
    <w:rsid w:val="00D718F6"/>
    <w:rsid w:val="00D72608"/>
    <w:rsid w:val="00D72CBC"/>
    <w:rsid w:val="00D736E1"/>
    <w:rsid w:val="00D73930"/>
    <w:rsid w:val="00D74799"/>
    <w:rsid w:val="00D75857"/>
    <w:rsid w:val="00D75895"/>
    <w:rsid w:val="00D761A1"/>
    <w:rsid w:val="00D7635F"/>
    <w:rsid w:val="00D77124"/>
    <w:rsid w:val="00D77989"/>
    <w:rsid w:val="00D824A1"/>
    <w:rsid w:val="00D82723"/>
    <w:rsid w:val="00D82C2B"/>
    <w:rsid w:val="00D83DFF"/>
    <w:rsid w:val="00D843A2"/>
    <w:rsid w:val="00D854CA"/>
    <w:rsid w:val="00D90700"/>
    <w:rsid w:val="00D9199A"/>
    <w:rsid w:val="00D927FC"/>
    <w:rsid w:val="00D928F4"/>
    <w:rsid w:val="00D94792"/>
    <w:rsid w:val="00D94BBB"/>
    <w:rsid w:val="00D956C5"/>
    <w:rsid w:val="00D9719B"/>
    <w:rsid w:val="00D973A4"/>
    <w:rsid w:val="00D976DC"/>
    <w:rsid w:val="00DA084C"/>
    <w:rsid w:val="00DA167B"/>
    <w:rsid w:val="00DA1C3C"/>
    <w:rsid w:val="00DA4DFC"/>
    <w:rsid w:val="00DA537F"/>
    <w:rsid w:val="00DA5EC7"/>
    <w:rsid w:val="00DA7844"/>
    <w:rsid w:val="00DA78CA"/>
    <w:rsid w:val="00DA7FB1"/>
    <w:rsid w:val="00DB1ACA"/>
    <w:rsid w:val="00DB1C0E"/>
    <w:rsid w:val="00DB1F2B"/>
    <w:rsid w:val="00DB41C3"/>
    <w:rsid w:val="00DB4D19"/>
    <w:rsid w:val="00DB5501"/>
    <w:rsid w:val="00DB5B92"/>
    <w:rsid w:val="00DB6617"/>
    <w:rsid w:val="00DB68C4"/>
    <w:rsid w:val="00DB6D65"/>
    <w:rsid w:val="00DC1F9E"/>
    <w:rsid w:val="00DC21FC"/>
    <w:rsid w:val="00DC4107"/>
    <w:rsid w:val="00DC5481"/>
    <w:rsid w:val="00DC5EBC"/>
    <w:rsid w:val="00DC6DA7"/>
    <w:rsid w:val="00DC6FF6"/>
    <w:rsid w:val="00DC7160"/>
    <w:rsid w:val="00DC7B7F"/>
    <w:rsid w:val="00DD0C04"/>
    <w:rsid w:val="00DD2779"/>
    <w:rsid w:val="00DD49BB"/>
    <w:rsid w:val="00DD5B95"/>
    <w:rsid w:val="00DD66EA"/>
    <w:rsid w:val="00DD682E"/>
    <w:rsid w:val="00DD6C1D"/>
    <w:rsid w:val="00DD6F37"/>
    <w:rsid w:val="00DE088B"/>
    <w:rsid w:val="00DE0D70"/>
    <w:rsid w:val="00DE272B"/>
    <w:rsid w:val="00DE2A4A"/>
    <w:rsid w:val="00DE3423"/>
    <w:rsid w:val="00DE3FCB"/>
    <w:rsid w:val="00DE4D77"/>
    <w:rsid w:val="00DE6761"/>
    <w:rsid w:val="00DE7661"/>
    <w:rsid w:val="00DF01CA"/>
    <w:rsid w:val="00DF2BB7"/>
    <w:rsid w:val="00DF3063"/>
    <w:rsid w:val="00DF3404"/>
    <w:rsid w:val="00DF3838"/>
    <w:rsid w:val="00DF570B"/>
    <w:rsid w:val="00DF6361"/>
    <w:rsid w:val="00DF6A8B"/>
    <w:rsid w:val="00DF740A"/>
    <w:rsid w:val="00DF75D0"/>
    <w:rsid w:val="00E001CA"/>
    <w:rsid w:val="00E0036B"/>
    <w:rsid w:val="00E01E94"/>
    <w:rsid w:val="00E02117"/>
    <w:rsid w:val="00E02285"/>
    <w:rsid w:val="00E02298"/>
    <w:rsid w:val="00E0367E"/>
    <w:rsid w:val="00E03968"/>
    <w:rsid w:val="00E04BBB"/>
    <w:rsid w:val="00E051F3"/>
    <w:rsid w:val="00E05BE8"/>
    <w:rsid w:val="00E06867"/>
    <w:rsid w:val="00E06CE2"/>
    <w:rsid w:val="00E07058"/>
    <w:rsid w:val="00E07C68"/>
    <w:rsid w:val="00E10460"/>
    <w:rsid w:val="00E116C6"/>
    <w:rsid w:val="00E11B52"/>
    <w:rsid w:val="00E12595"/>
    <w:rsid w:val="00E13AEB"/>
    <w:rsid w:val="00E1403D"/>
    <w:rsid w:val="00E140E0"/>
    <w:rsid w:val="00E14969"/>
    <w:rsid w:val="00E150BB"/>
    <w:rsid w:val="00E167F9"/>
    <w:rsid w:val="00E16B74"/>
    <w:rsid w:val="00E16C3A"/>
    <w:rsid w:val="00E21C6B"/>
    <w:rsid w:val="00E2222F"/>
    <w:rsid w:val="00E227BB"/>
    <w:rsid w:val="00E23E8B"/>
    <w:rsid w:val="00E23F79"/>
    <w:rsid w:val="00E25C8B"/>
    <w:rsid w:val="00E268EC"/>
    <w:rsid w:val="00E316EE"/>
    <w:rsid w:val="00E32769"/>
    <w:rsid w:val="00E327DB"/>
    <w:rsid w:val="00E32A6B"/>
    <w:rsid w:val="00E3346C"/>
    <w:rsid w:val="00E33C5F"/>
    <w:rsid w:val="00E3464E"/>
    <w:rsid w:val="00E3465F"/>
    <w:rsid w:val="00E3758B"/>
    <w:rsid w:val="00E400AB"/>
    <w:rsid w:val="00E40D6E"/>
    <w:rsid w:val="00E40FB0"/>
    <w:rsid w:val="00E41227"/>
    <w:rsid w:val="00E414B1"/>
    <w:rsid w:val="00E445CD"/>
    <w:rsid w:val="00E45F1E"/>
    <w:rsid w:val="00E46269"/>
    <w:rsid w:val="00E4693A"/>
    <w:rsid w:val="00E4707C"/>
    <w:rsid w:val="00E47A4F"/>
    <w:rsid w:val="00E5007C"/>
    <w:rsid w:val="00E51259"/>
    <w:rsid w:val="00E5161F"/>
    <w:rsid w:val="00E51AAA"/>
    <w:rsid w:val="00E51B71"/>
    <w:rsid w:val="00E52348"/>
    <w:rsid w:val="00E5345A"/>
    <w:rsid w:val="00E54249"/>
    <w:rsid w:val="00E547B8"/>
    <w:rsid w:val="00E55201"/>
    <w:rsid w:val="00E552F1"/>
    <w:rsid w:val="00E57909"/>
    <w:rsid w:val="00E604C9"/>
    <w:rsid w:val="00E626A0"/>
    <w:rsid w:val="00E6440A"/>
    <w:rsid w:val="00E647B7"/>
    <w:rsid w:val="00E657FE"/>
    <w:rsid w:val="00E6784B"/>
    <w:rsid w:val="00E67863"/>
    <w:rsid w:val="00E67DF4"/>
    <w:rsid w:val="00E70943"/>
    <w:rsid w:val="00E7123F"/>
    <w:rsid w:val="00E72232"/>
    <w:rsid w:val="00E723FE"/>
    <w:rsid w:val="00E75A02"/>
    <w:rsid w:val="00E75A5E"/>
    <w:rsid w:val="00E7632C"/>
    <w:rsid w:val="00E76622"/>
    <w:rsid w:val="00E77174"/>
    <w:rsid w:val="00E77964"/>
    <w:rsid w:val="00E77ECC"/>
    <w:rsid w:val="00E800EA"/>
    <w:rsid w:val="00E808C6"/>
    <w:rsid w:val="00E8197D"/>
    <w:rsid w:val="00E831E1"/>
    <w:rsid w:val="00E835B3"/>
    <w:rsid w:val="00E83DC6"/>
    <w:rsid w:val="00E83F5B"/>
    <w:rsid w:val="00E84348"/>
    <w:rsid w:val="00E85E70"/>
    <w:rsid w:val="00E90974"/>
    <w:rsid w:val="00E914E4"/>
    <w:rsid w:val="00E91E62"/>
    <w:rsid w:val="00E92136"/>
    <w:rsid w:val="00E94771"/>
    <w:rsid w:val="00E94A7C"/>
    <w:rsid w:val="00E94B56"/>
    <w:rsid w:val="00E9567D"/>
    <w:rsid w:val="00E95A7C"/>
    <w:rsid w:val="00E95D89"/>
    <w:rsid w:val="00EA069D"/>
    <w:rsid w:val="00EA0AED"/>
    <w:rsid w:val="00EA2469"/>
    <w:rsid w:val="00EA2857"/>
    <w:rsid w:val="00EA2A19"/>
    <w:rsid w:val="00EA2FE1"/>
    <w:rsid w:val="00EA4395"/>
    <w:rsid w:val="00EA4603"/>
    <w:rsid w:val="00EA5256"/>
    <w:rsid w:val="00EA597F"/>
    <w:rsid w:val="00EA713A"/>
    <w:rsid w:val="00EA7927"/>
    <w:rsid w:val="00EB090D"/>
    <w:rsid w:val="00EB1667"/>
    <w:rsid w:val="00EB1C7A"/>
    <w:rsid w:val="00EB205B"/>
    <w:rsid w:val="00EB3FF4"/>
    <w:rsid w:val="00EB4263"/>
    <w:rsid w:val="00EB4B0F"/>
    <w:rsid w:val="00EB4DB8"/>
    <w:rsid w:val="00EB70A1"/>
    <w:rsid w:val="00EB71DB"/>
    <w:rsid w:val="00EB7B23"/>
    <w:rsid w:val="00EB7BB3"/>
    <w:rsid w:val="00EB7D67"/>
    <w:rsid w:val="00EC0328"/>
    <w:rsid w:val="00EC110C"/>
    <w:rsid w:val="00EC2B9E"/>
    <w:rsid w:val="00EC2C4E"/>
    <w:rsid w:val="00EC2F71"/>
    <w:rsid w:val="00EC4314"/>
    <w:rsid w:val="00EC46B5"/>
    <w:rsid w:val="00EC57AB"/>
    <w:rsid w:val="00EC5816"/>
    <w:rsid w:val="00EC6F1E"/>
    <w:rsid w:val="00EC75E0"/>
    <w:rsid w:val="00ED0BBC"/>
    <w:rsid w:val="00ED1031"/>
    <w:rsid w:val="00ED10EF"/>
    <w:rsid w:val="00ED14B1"/>
    <w:rsid w:val="00ED15B2"/>
    <w:rsid w:val="00ED1E4C"/>
    <w:rsid w:val="00ED1F06"/>
    <w:rsid w:val="00ED1FCD"/>
    <w:rsid w:val="00ED26AC"/>
    <w:rsid w:val="00ED281E"/>
    <w:rsid w:val="00ED5228"/>
    <w:rsid w:val="00ED5536"/>
    <w:rsid w:val="00ED7809"/>
    <w:rsid w:val="00ED7934"/>
    <w:rsid w:val="00EE0746"/>
    <w:rsid w:val="00EE0B70"/>
    <w:rsid w:val="00EE1F6D"/>
    <w:rsid w:val="00EE2405"/>
    <w:rsid w:val="00EE29F1"/>
    <w:rsid w:val="00EE3228"/>
    <w:rsid w:val="00EE4EEA"/>
    <w:rsid w:val="00EE6622"/>
    <w:rsid w:val="00EE662D"/>
    <w:rsid w:val="00EE7381"/>
    <w:rsid w:val="00EE76C1"/>
    <w:rsid w:val="00EF0AA3"/>
    <w:rsid w:val="00EF0E45"/>
    <w:rsid w:val="00EF2798"/>
    <w:rsid w:val="00EF283C"/>
    <w:rsid w:val="00EF3771"/>
    <w:rsid w:val="00EF5E63"/>
    <w:rsid w:val="00EF7C05"/>
    <w:rsid w:val="00EF7F4B"/>
    <w:rsid w:val="00F00C9D"/>
    <w:rsid w:val="00F0211E"/>
    <w:rsid w:val="00F025AE"/>
    <w:rsid w:val="00F02AE5"/>
    <w:rsid w:val="00F02E1A"/>
    <w:rsid w:val="00F02E9D"/>
    <w:rsid w:val="00F03280"/>
    <w:rsid w:val="00F0369D"/>
    <w:rsid w:val="00F03848"/>
    <w:rsid w:val="00F0482D"/>
    <w:rsid w:val="00F04A50"/>
    <w:rsid w:val="00F0639B"/>
    <w:rsid w:val="00F06924"/>
    <w:rsid w:val="00F07A42"/>
    <w:rsid w:val="00F111E2"/>
    <w:rsid w:val="00F11461"/>
    <w:rsid w:val="00F13631"/>
    <w:rsid w:val="00F139D5"/>
    <w:rsid w:val="00F150AB"/>
    <w:rsid w:val="00F15A60"/>
    <w:rsid w:val="00F203A5"/>
    <w:rsid w:val="00F203F8"/>
    <w:rsid w:val="00F20585"/>
    <w:rsid w:val="00F207F8"/>
    <w:rsid w:val="00F20F6B"/>
    <w:rsid w:val="00F2352F"/>
    <w:rsid w:val="00F23831"/>
    <w:rsid w:val="00F24B16"/>
    <w:rsid w:val="00F24F2E"/>
    <w:rsid w:val="00F2551C"/>
    <w:rsid w:val="00F25DE7"/>
    <w:rsid w:val="00F30DEC"/>
    <w:rsid w:val="00F31416"/>
    <w:rsid w:val="00F31920"/>
    <w:rsid w:val="00F32D6C"/>
    <w:rsid w:val="00F3361E"/>
    <w:rsid w:val="00F34794"/>
    <w:rsid w:val="00F35147"/>
    <w:rsid w:val="00F35A91"/>
    <w:rsid w:val="00F36516"/>
    <w:rsid w:val="00F365C9"/>
    <w:rsid w:val="00F412BA"/>
    <w:rsid w:val="00F4181E"/>
    <w:rsid w:val="00F41EC7"/>
    <w:rsid w:val="00F439AE"/>
    <w:rsid w:val="00F45CFD"/>
    <w:rsid w:val="00F45F29"/>
    <w:rsid w:val="00F4711F"/>
    <w:rsid w:val="00F471A3"/>
    <w:rsid w:val="00F50E86"/>
    <w:rsid w:val="00F514D6"/>
    <w:rsid w:val="00F51A06"/>
    <w:rsid w:val="00F52093"/>
    <w:rsid w:val="00F52683"/>
    <w:rsid w:val="00F526B2"/>
    <w:rsid w:val="00F52F6B"/>
    <w:rsid w:val="00F5378A"/>
    <w:rsid w:val="00F5392C"/>
    <w:rsid w:val="00F53C2A"/>
    <w:rsid w:val="00F53D77"/>
    <w:rsid w:val="00F54646"/>
    <w:rsid w:val="00F5542A"/>
    <w:rsid w:val="00F55518"/>
    <w:rsid w:val="00F56A78"/>
    <w:rsid w:val="00F56E5A"/>
    <w:rsid w:val="00F56ED8"/>
    <w:rsid w:val="00F57121"/>
    <w:rsid w:val="00F57E17"/>
    <w:rsid w:val="00F603EF"/>
    <w:rsid w:val="00F62760"/>
    <w:rsid w:val="00F63AC8"/>
    <w:rsid w:val="00F65519"/>
    <w:rsid w:val="00F670FB"/>
    <w:rsid w:val="00F7238D"/>
    <w:rsid w:val="00F73EF4"/>
    <w:rsid w:val="00F74968"/>
    <w:rsid w:val="00F75226"/>
    <w:rsid w:val="00F7561F"/>
    <w:rsid w:val="00F75BCA"/>
    <w:rsid w:val="00F75CDD"/>
    <w:rsid w:val="00F75D60"/>
    <w:rsid w:val="00F766D6"/>
    <w:rsid w:val="00F76741"/>
    <w:rsid w:val="00F802B1"/>
    <w:rsid w:val="00F806A5"/>
    <w:rsid w:val="00F82594"/>
    <w:rsid w:val="00F82CCA"/>
    <w:rsid w:val="00F82D30"/>
    <w:rsid w:val="00F831C9"/>
    <w:rsid w:val="00F83875"/>
    <w:rsid w:val="00F83C8C"/>
    <w:rsid w:val="00F83E78"/>
    <w:rsid w:val="00F85F3D"/>
    <w:rsid w:val="00F8652B"/>
    <w:rsid w:val="00F86D73"/>
    <w:rsid w:val="00F92545"/>
    <w:rsid w:val="00F9393E"/>
    <w:rsid w:val="00F9460F"/>
    <w:rsid w:val="00F952DD"/>
    <w:rsid w:val="00F9709A"/>
    <w:rsid w:val="00F97244"/>
    <w:rsid w:val="00F973C8"/>
    <w:rsid w:val="00FA2807"/>
    <w:rsid w:val="00FA2E8D"/>
    <w:rsid w:val="00FA30A8"/>
    <w:rsid w:val="00FA30CE"/>
    <w:rsid w:val="00FA3724"/>
    <w:rsid w:val="00FA3DED"/>
    <w:rsid w:val="00FA428B"/>
    <w:rsid w:val="00FA43E7"/>
    <w:rsid w:val="00FA4409"/>
    <w:rsid w:val="00FA4B34"/>
    <w:rsid w:val="00FA5DE5"/>
    <w:rsid w:val="00FA6544"/>
    <w:rsid w:val="00FA656E"/>
    <w:rsid w:val="00FA6827"/>
    <w:rsid w:val="00FA74F1"/>
    <w:rsid w:val="00FA7643"/>
    <w:rsid w:val="00FA7EA9"/>
    <w:rsid w:val="00FB03B5"/>
    <w:rsid w:val="00FB13DF"/>
    <w:rsid w:val="00FB2056"/>
    <w:rsid w:val="00FB2419"/>
    <w:rsid w:val="00FB3656"/>
    <w:rsid w:val="00FB3F6E"/>
    <w:rsid w:val="00FB4070"/>
    <w:rsid w:val="00FB478C"/>
    <w:rsid w:val="00FB48BA"/>
    <w:rsid w:val="00FB5188"/>
    <w:rsid w:val="00FB625D"/>
    <w:rsid w:val="00FB7D05"/>
    <w:rsid w:val="00FB7D09"/>
    <w:rsid w:val="00FC02D3"/>
    <w:rsid w:val="00FC02F7"/>
    <w:rsid w:val="00FC03BD"/>
    <w:rsid w:val="00FC0A26"/>
    <w:rsid w:val="00FC0F6D"/>
    <w:rsid w:val="00FC238D"/>
    <w:rsid w:val="00FC3209"/>
    <w:rsid w:val="00FC36A4"/>
    <w:rsid w:val="00FC3736"/>
    <w:rsid w:val="00FC3BEC"/>
    <w:rsid w:val="00FC48C8"/>
    <w:rsid w:val="00FC4DA3"/>
    <w:rsid w:val="00FC4EEB"/>
    <w:rsid w:val="00FC502D"/>
    <w:rsid w:val="00FC5328"/>
    <w:rsid w:val="00FC64E1"/>
    <w:rsid w:val="00FC711D"/>
    <w:rsid w:val="00FC7225"/>
    <w:rsid w:val="00FD0521"/>
    <w:rsid w:val="00FD206A"/>
    <w:rsid w:val="00FD2EF1"/>
    <w:rsid w:val="00FD3B88"/>
    <w:rsid w:val="00FD4C5B"/>
    <w:rsid w:val="00FD5449"/>
    <w:rsid w:val="00FD605C"/>
    <w:rsid w:val="00FD61A6"/>
    <w:rsid w:val="00FD65E7"/>
    <w:rsid w:val="00FD678A"/>
    <w:rsid w:val="00FD73BF"/>
    <w:rsid w:val="00FD7632"/>
    <w:rsid w:val="00FD7DA6"/>
    <w:rsid w:val="00FE0705"/>
    <w:rsid w:val="00FE0CA5"/>
    <w:rsid w:val="00FE139E"/>
    <w:rsid w:val="00FE1D20"/>
    <w:rsid w:val="00FE1DBA"/>
    <w:rsid w:val="00FE66BE"/>
    <w:rsid w:val="00FE746B"/>
    <w:rsid w:val="00FF07EE"/>
    <w:rsid w:val="00FF2473"/>
    <w:rsid w:val="00FF35FA"/>
    <w:rsid w:val="00FF5D0D"/>
    <w:rsid w:val="00FF6AC9"/>
    <w:rsid w:val="03257471"/>
    <w:rsid w:val="04D39D53"/>
    <w:rsid w:val="05026D4B"/>
    <w:rsid w:val="05755481"/>
    <w:rsid w:val="05F7646F"/>
    <w:rsid w:val="06011F73"/>
    <w:rsid w:val="06882242"/>
    <w:rsid w:val="06F258F7"/>
    <w:rsid w:val="0738013C"/>
    <w:rsid w:val="073A7173"/>
    <w:rsid w:val="074DF9F3"/>
    <w:rsid w:val="07703F91"/>
    <w:rsid w:val="0794D0EB"/>
    <w:rsid w:val="07ED9A0F"/>
    <w:rsid w:val="09B7A014"/>
    <w:rsid w:val="0AAF06CA"/>
    <w:rsid w:val="0B745683"/>
    <w:rsid w:val="0B7C0499"/>
    <w:rsid w:val="0BAC4ADC"/>
    <w:rsid w:val="0C390B62"/>
    <w:rsid w:val="0C5C7E64"/>
    <w:rsid w:val="0CC9393A"/>
    <w:rsid w:val="0D461B30"/>
    <w:rsid w:val="0D501741"/>
    <w:rsid w:val="0DEE5F77"/>
    <w:rsid w:val="0DFFDE8C"/>
    <w:rsid w:val="0E2E535E"/>
    <w:rsid w:val="0E75E2E0"/>
    <w:rsid w:val="0ED5F063"/>
    <w:rsid w:val="0F7F7ACF"/>
    <w:rsid w:val="0FDBD93A"/>
    <w:rsid w:val="1031756B"/>
    <w:rsid w:val="11275C77"/>
    <w:rsid w:val="11931F79"/>
    <w:rsid w:val="11BD5413"/>
    <w:rsid w:val="11EFAB9F"/>
    <w:rsid w:val="133A1F99"/>
    <w:rsid w:val="147FF452"/>
    <w:rsid w:val="14E63D87"/>
    <w:rsid w:val="15FB8984"/>
    <w:rsid w:val="16F9C773"/>
    <w:rsid w:val="1703504B"/>
    <w:rsid w:val="1733271C"/>
    <w:rsid w:val="1738BD8F"/>
    <w:rsid w:val="17BD6F03"/>
    <w:rsid w:val="17EBC4E9"/>
    <w:rsid w:val="18753A87"/>
    <w:rsid w:val="194D2360"/>
    <w:rsid w:val="19A250E6"/>
    <w:rsid w:val="19DE42E1"/>
    <w:rsid w:val="1B3BDA6D"/>
    <w:rsid w:val="1B487F31"/>
    <w:rsid w:val="1B737351"/>
    <w:rsid w:val="1BDFFAE9"/>
    <w:rsid w:val="1BFD85E5"/>
    <w:rsid w:val="1C5A34B6"/>
    <w:rsid w:val="1CFF414B"/>
    <w:rsid w:val="1DBB58C0"/>
    <w:rsid w:val="1DEB7023"/>
    <w:rsid w:val="1DEF59C4"/>
    <w:rsid w:val="1E5FB1B8"/>
    <w:rsid w:val="1EF7E5F1"/>
    <w:rsid w:val="1EF7FBE6"/>
    <w:rsid w:val="1EFD0303"/>
    <w:rsid w:val="1F3E742C"/>
    <w:rsid w:val="1F4652BE"/>
    <w:rsid w:val="1F6C0009"/>
    <w:rsid w:val="1F7F3089"/>
    <w:rsid w:val="1FA57D22"/>
    <w:rsid w:val="1FBB2EC2"/>
    <w:rsid w:val="1FBF0309"/>
    <w:rsid w:val="1FCDD9AA"/>
    <w:rsid w:val="226E52B9"/>
    <w:rsid w:val="238C33B2"/>
    <w:rsid w:val="239258A8"/>
    <w:rsid w:val="23FF077F"/>
    <w:rsid w:val="249A6036"/>
    <w:rsid w:val="25D78893"/>
    <w:rsid w:val="25FC4C82"/>
    <w:rsid w:val="277F2054"/>
    <w:rsid w:val="279B2AD2"/>
    <w:rsid w:val="27D60ABE"/>
    <w:rsid w:val="27FDF959"/>
    <w:rsid w:val="29483366"/>
    <w:rsid w:val="295C133B"/>
    <w:rsid w:val="29B67BB5"/>
    <w:rsid w:val="2A283EEB"/>
    <w:rsid w:val="2A8B6F09"/>
    <w:rsid w:val="2A9D47AC"/>
    <w:rsid w:val="2BFB5437"/>
    <w:rsid w:val="2D57955E"/>
    <w:rsid w:val="2D9FA04F"/>
    <w:rsid w:val="2DB8F648"/>
    <w:rsid w:val="2EBBF9A3"/>
    <w:rsid w:val="2EE47259"/>
    <w:rsid w:val="2F4F7A7D"/>
    <w:rsid w:val="2F6F0148"/>
    <w:rsid w:val="2F76C28C"/>
    <w:rsid w:val="2F7C15D8"/>
    <w:rsid w:val="2FCF2002"/>
    <w:rsid w:val="2FE53D59"/>
    <w:rsid w:val="2FEF821A"/>
    <w:rsid w:val="302502D1"/>
    <w:rsid w:val="30BD0622"/>
    <w:rsid w:val="315C6D68"/>
    <w:rsid w:val="3170B803"/>
    <w:rsid w:val="31FB6DD1"/>
    <w:rsid w:val="321D5862"/>
    <w:rsid w:val="32D54D47"/>
    <w:rsid w:val="334B2B5E"/>
    <w:rsid w:val="336C2A59"/>
    <w:rsid w:val="33B9A17D"/>
    <w:rsid w:val="33BBF0AF"/>
    <w:rsid w:val="33F6F1A4"/>
    <w:rsid w:val="3406592D"/>
    <w:rsid w:val="34523632"/>
    <w:rsid w:val="3480002C"/>
    <w:rsid w:val="350B5EF2"/>
    <w:rsid w:val="35325872"/>
    <w:rsid w:val="35777913"/>
    <w:rsid w:val="357DAA2F"/>
    <w:rsid w:val="358C4137"/>
    <w:rsid w:val="359BF424"/>
    <w:rsid w:val="35D346CC"/>
    <w:rsid w:val="35D727FD"/>
    <w:rsid w:val="364FA772"/>
    <w:rsid w:val="367B3895"/>
    <w:rsid w:val="36DEE552"/>
    <w:rsid w:val="36FC5189"/>
    <w:rsid w:val="3775E35A"/>
    <w:rsid w:val="37C3E342"/>
    <w:rsid w:val="37CD23E8"/>
    <w:rsid w:val="37E59665"/>
    <w:rsid w:val="37E670AF"/>
    <w:rsid w:val="37EED666"/>
    <w:rsid w:val="37F785FF"/>
    <w:rsid w:val="37F883BD"/>
    <w:rsid w:val="37FA8E25"/>
    <w:rsid w:val="38473916"/>
    <w:rsid w:val="38B9BD68"/>
    <w:rsid w:val="38F94ECD"/>
    <w:rsid w:val="39585634"/>
    <w:rsid w:val="395F216C"/>
    <w:rsid w:val="39EF2089"/>
    <w:rsid w:val="3A8258AD"/>
    <w:rsid w:val="3AB37492"/>
    <w:rsid w:val="3AEA78A1"/>
    <w:rsid w:val="3AED135B"/>
    <w:rsid w:val="3AF78677"/>
    <w:rsid w:val="3B7D71CC"/>
    <w:rsid w:val="3B9FB96D"/>
    <w:rsid w:val="3BDD156D"/>
    <w:rsid w:val="3C072F26"/>
    <w:rsid w:val="3C77988A"/>
    <w:rsid w:val="3C8B3830"/>
    <w:rsid w:val="3CDE1871"/>
    <w:rsid w:val="3CDF526A"/>
    <w:rsid w:val="3CE75508"/>
    <w:rsid w:val="3CFA5C70"/>
    <w:rsid w:val="3CFD7226"/>
    <w:rsid w:val="3CFE02EA"/>
    <w:rsid w:val="3D73E980"/>
    <w:rsid w:val="3D8D34C8"/>
    <w:rsid w:val="3DB9B48E"/>
    <w:rsid w:val="3DBF2FAE"/>
    <w:rsid w:val="3DDE6685"/>
    <w:rsid w:val="3DE28566"/>
    <w:rsid w:val="3DF3419F"/>
    <w:rsid w:val="3DF99385"/>
    <w:rsid w:val="3E74F004"/>
    <w:rsid w:val="3E7FD2B8"/>
    <w:rsid w:val="3EA7BC07"/>
    <w:rsid w:val="3EB54A1B"/>
    <w:rsid w:val="3EBF9715"/>
    <w:rsid w:val="3EEDCB0D"/>
    <w:rsid w:val="3EF9FA8C"/>
    <w:rsid w:val="3EFBA353"/>
    <w:rsid w:val="3EFFFDBD"/>
    <w:rsid w:val="3F5A0424"/>
    <w:rsid w:val="3F7E5EB1"/>
    <w:rsid w:val="3F8F1AB2"/>
    <w:rsid w:val="3F986E86"/>
    <w:rsid w:val="3FB50DB9"/>
    <w:rsid w:val="3FB6D05C"/>
    <w:rsid w:val="3FB79853"/>
    <w:rsid w:val="3FBBD6FC"/>
    <w:rsid w:val="3FD43472"/>
    <w:rsid w:val="3FDD07DC"/>
    <w:rsid w:val="3FE7C132"/>
    <w:rsid w:val="3FEEF7D0"/>
    <w:rsid w:val="3FF7C09F"/>
    <w:rsid w:val="3FFB89FA"/>
    <w:rsid w:val="3FFCB57A"/>
    <w:rsid w:val="3FFCE46E"/>
    <w:rsid w:val="3FFF4FB8"/>
    <w:rsid w:val="3FFF6282"/>
    <w:rsid w:val="3FFF6380"/>
    <w:rsid w:val="3FFFACD9"/>
    <w:rsid w:val="3FFFD90D"/>
    <w:rsid w:val="40244F73"/>
    <w:rsid w:val="40CF51AE"/>
    <w:rsid w:val="415EEB71"/>
    <w:rsid w:val="419F2DC1"/>
    <w:rsid w:val="42DE52BC"/>
    <w:rsid w:val="4301054F"/>
    <w:rsid w:val="43DB3FAF"/>
    <w:rsid w:val="43ED6CE9"/>
    <w:rsid w:val="4501774B"/>
    <w:rsid w:val="451B1EC8"/>
    <w:rsid w:val="4556490C"/>
    <w:rsid w:val="4559200A"/>
    <w:rsid w:val="457BAEA1"/>
    <w:rsid w:val="45FB0EBB"/>
    <w:rsid w:val="46DCFC67"/>
    <w:rsid w:val="476F2604"/>
    <w:rsid w:val="477F75FB"/>
    <w:rsid w:val="479FA454"/>
    <w:rsid w:val="47B3FCFE"/>
    <w:rsid w:val="47D62CD2"/>
    <w:rsid w:val="484C29A9"/>
    <w:rsid w:val="48598FC3"/>
    <w:rsid w:val="48700954"/>
    <w:rsid w:val="48FFF461"/>
    <w:rsid w:val="4A6A4369"/>
    <w:rsid w:val="4AC05CD6"/>
    <w:rsid w:val="4AF505EB"/>
    <w:rsid w:val="4BAB026F"/>
    <w:rsid w:val="4BBD49D0"/>
    <w:rsid w:val="4BF46C68"/>
    <w:rsid w:val="4BFBF4E3"/>
    <w:rsid w:val="4C912CFD"/>
    <w:rsid w:val="4CD22221"/>
    <w:rsid w:val="4D066243"/>
    <w:rsid w:val="4D736872"/>
    <w:rsid w:val="4DA94C04"/>
    <w:rsid w:val="4DC15695"/>
    <w:rsid w:val="4DFF069B"/>
    <w:rsid w:val="4DFF6E57"/>
    <w:rsid w:val="4EEF29BB"/>
    <w:rsid w:val="4F7BF497"/>
    <w:rsid w:val="4F7E6DA5"/>
    <w:rsid w:val="4FBB958A"/>
    <w:rsid w:val="4FBDADC8"/>
    <w:rsid w:val="4FD74ACC"/>
    <w:rsid w:val="4FFBAC9D"/>
    <w:rsid w:val="500736A0"/>
    <w:rsid w:val="503B103B"/>
    <w:rsid w:val="5050538F"/>
    <w:rsid w:val="512E0303"/>
    <w:rsid w:val="51D75ED3"/>
    <w:rsid w:val="530748AA"/>
    <w:rsid w:val="537DE542"/>
    <w:rsid w:val="538E3AD1"/>
    <w:rsid w:val="538E7ED0"/>
    <w:rsid w:val="53FFE21F"/>
    <w:rsid w:val="547F7CFA"/>
    <w:rsid w:val="55A87015"/>
    <w:rsid w:val="55FFEC09"/>
    <w:rsid w:val="56390221"/>
    <w:rsid w:val="56501B9C"/>
    <w:rsid w:val="56B3B432"/>
    <w:rsid w:val="56BF5DE1"/>
    <w:rsid w:val="56FBCBEF"/>
    <w:rsid w:val="57712235"/>
    <w:rsid w:val="57930EA2"/>
    <w:rsid w:val="57D73424"/>
    <w:rsid w:val="57EB987F"/>
    <w:rsid w:val="57F72CB6"/>
    <w:rsid w:val="57F7FFDF"/>
    <w:rsid w:val="57FB11FD"/>
    <w:rsid w:val="57FC5C33"/>
    <w:rsid w:val="580679EB"/>
    <w:rsid w:val="58463DF3"/>
    <w:rsid w:val="58A334CB"/>
    <w:rsid w:val="590837E9"/>
    <w:rsid w:val="595E394E"/>
    <w:rsid w:val="59AEAB1E"/>
    <w:rsid w:val="59DFE2F9"/>
    <w:rsid w:val="59F19D15"/>
    <w:rsid w:val="5A4017EE"/>
    <w:rsid w:val="5A7C108E"/>
    <w:rsid w:val="5AAA060E"/>
    <w:rsid w:val="5AE7FEF3"/>
    <w:rsid w:val="5AFFDB19"/>
    <w:rsid w:val="5B3FA485"/>
    <w:rsid w:val="5B9531DB"/>
    <w:rsid w:val="5BB16861"/>
    <w:rsid w:val="5BB53817"/>
    <w:rsid w:val="5BE9381F"/>
    <w:rsid w:val="5BEF561B"/>
    <w:rsid w:val="5BFB00CD"/>
    <w:rsid w:val="5C3F6100"/>
    <w:rsid w:val="5C7BE46C"/>
    <w:rsid w:val="5C9C2A1D"/>
    <w:rsid w:val="5CDA733D"/>
    <w:rsid w:val="5D1FE9B9"/>
    <w:rsid w:val="5D6D170F"/>
    <w:rsid w:val="5D7DA08E"/>
    <w:rsid w:val="5DADB071"/>
    <w:rsid w:val="5DAF9677"/>
    <w:rsid w:val="5DDF11AC"/>
    <w:rsid w:val="5DE75D41"/>
    <w:rsid w:val="5DEE3896"/>
    <w:rsid w:val="5DEFAF62"/>
    <w:rsid w:val="5DFAC4DC"/>
    <w:rsid w:val="5DFCC0AF"/>
    <w:rsid w:val="5DFDCB88"/>
    <w:rsid w:val="5DFEB1B3"/>
    <w:rsid w:val="5E122951"/>
    <w:rsid w:val="5E6E0D0C"/>
    <w:rsid w:val="5E940777"/>
    <w:rsid w:val="5EAF4465"/>
    <w:rsid w:val="5EBF4CDB"/>
    <w:rsid w:val="5ED76B26"/>
    <w:rsid w:val="5EDF6D0E"/>
    <w:rsid w:val="5F0D725D"/>
    <w:rsid w:val="5F190DDA"/>
    <w:rsid w:val="5F3B564C"/>
    <w:rsid w:val="5F3EBE45"/>
    <w:rsid w:val="5F4FCB8C"/>
    <w:rsid w:val="5F5E022E"/>
    <w:rsid w:val="5F5F0A3E"/>
    <w:rsid w:val="5F643CCB"/>
    <w:rsid w:val="5F6497B5"/>
    <w:rsid w:val="5F683235"/>
    <w:rsid w:val="5F7BF44E"/>
    <w:rsid w:val="5F7DC7D1"/>
    <w:rsid w:val="5F7E8FAE"/>
    <w:rsid w:val="5F7EFBCD"/>
    <w:rsid w:val="5F7F1FB1"/>
    <w:rsid w:val="5F9F5BFA"/>
    <w:rsid w:val="5FA7E5F9"/>
    <w:rsid w:val="5FB76FFD"/>
    <w:rsid w:val="5FCF408C"/>
    <w:rsid w:val="5FCF8A36"/>
    <w:rsid w:val="5FD67BC5"/>
    <w:rsid w:val="5FDA59CB"/>
    <w:rsid w:val="5FDBB4A9"/>
    <w:rsid w:val="5FE8EB8C"/>
    <w:rsid w:val="5FECBB75"/>
    <w:rsid w:val="5FEFAAE1"/>
    <w:rsid w:val="5FFD1B9B"/>
    <w:rsid w:val="5FFE6AE2"/>
    <w:rsid w:val="5FFEC04C"/>
    <w:rsid w:val="5FFF22BB"/>
    <w:rsid w:val="5FFF6BA0"/>
    <w:rsid w:val="606ABF91"/>
    <w:rsid w:val="60825A37"/>
    <w:rsid w:val="61F8823D"/>
    <w:rsid w:val="6233322B"/>
    <w:rsid w:val="6274048D"/>
    <w:rsid w:val="63BEEAC4"/>
    <w:rsid w:val="647FB6F4"/>
    <w:rsid w:val="6497BDD7"/>
    <w:rsid w:val="64CF81B8"/>
    <w:rsid w:val="64D98556"/>
    <w:rsid w:val="65BD6B43"/>
    <w:rsid w:val="65CBBEC7"/>
    <w:rsid w:val="65DBB81E"/>
    <w:rsid w:val="65E5C601"/>
    <w:rsid w:val="66276B33"/>
    <w:rsid w:val="667B6202"/>
    <w:rsid w:val="66BE43AE"/>
    <w:rsid w:val="66DF7F3B"/>
    <w:rsid w:val="67365B12"/>
    <w:rsid w:val="677996E1"/>
    <w:rsid w:val="677EF5F4"/>
    <w:rsid w:val="677F7EE4"/>
    <w:rsid w:val="67BB3F3B"/>
    <w:rsid w:val="67CBFE08"/>
    <w:rsid w:val="67D29154"/>
    <w:rsid w:val="67DF21BE"/>
    <w:rsid w:val="67EF1E8A"/>
    <w:rsid w:val="67EFBBBB"/>
    <w:rsid w:val="67FFA012"/>
    <w:rsid w:val="67FFA517"/>
    <w:rsid w:val="683755CB"/>
    <w:rsid w:val="689B27BB"/>
    <w:rsid w:val="69971412"/>
    <w:rsid w:val="69BBA61F"/>
    <w:rsid w:val="69EF9D6C"/>
    <w:rsid w:val="6A64148A"/>
    <w:rsid w:val="6A76A750"/>
    <w:rsid w:val="6ABF3567"/>
    <w:rsid w:val="6AD3CFA4"/>
    <w:rsid w:val="6AF7CDDC"/>
    <w:rsid w:val="6AFBB243"/>
    <w:rsid w:val="6B48784C"/>
    <w:rsid w:val="6B5FC19B"/>
    <w:rsid w:val="6B66E548"/>
    <w:rsid w:val="6B7D0742"/>
    <w:rsid w:val="6B8F5BD1"/>
    <w:rsid w:val="6BD73154"/>
    <w:rsid w:val="6BFD0739"/>
    <w:rsid w:val="6BFE87C7"/>
    <w:rsid w:val="6BFF3143"/>
    <w:rsid w:val="6BFFF06D"/>
    <w:rsid w:val="6C027254"/>
    <w:rsid w:val="6C176C2D"/>
    <w:rsid w:val="6C9B2F1B"/>
    <w:rsid w:val="6CDC16CA"/>
    <w:rsid w:val="6CDE9BBF"/>
    <w:rsid w:val="6CEEFB6C"/>
    <w:rsid w:val="6CFDE3D9"/>
    <w:rsid w:val="6D637EC6"/>
    <w:rsid w:val="6DAF0AAC"/>
    <w:rsid w:val="6DCF8297"/>
    <w:rsid w:val="6DDF2565"/>
    <w:rsid w:val="6DEE19AB"/>
    <w:rsid w:val="6DF54B59"/>
    <w:rsid w:val="6DF7E2EC"/>
    <w:rsid w:val="6DFD14D4"/>
    <w:rsid w:val="6DFE5252"/>
    <w:rsid w:val="6DFEA0AA"/>
    <w:rsid w:val="6DFF7113"/>
    <w:rsid w:val="6DFF8A25"/>
    <w:rsid w:val="6E46739E"/>
    <w:rsid w:val="6E7F067A"/>
    <w:rsid w:val="6EBDDC90"/>
    <w:rsid w:val="6ECAB4E3"/>
    <w:rsid w:val="6ECB1B80"/>
    <w:rsid w:val="6ED7348E"/>
    <w:rsid w:val="6EDD239C"/>
    <w:rsid w:val="6EE76F97"/>
    <w:rsid w:val="6EF5CB8E"/>
    <w:rsid w:val="6EFA8E61"/>
    <w:rsid w:val="6EFFCB96"/>
    <w:rsid w:val="6EFFDC49"/>
    <w:rsid w:val="6F133F6C"/>
    <w:rsid w:val="6F2FB053"/>
    <w:rsid w:val="6F3F9F45"/>
    <w:rsid w:val="6F58F130"/>
    <w:rsid w:val="6F5E433E"/>
    <w:rsid w:val="6F615109"/>
    <w:rsid w:val="6F735177"/>
    <w:rsid w:val="6F796A39"/>
    <w:rsid w:val="6F7F25B9"/>
    <w:rsid w:val="6F9B90A3"/>
    <w:rsid w:val="6F9F6808"/>
    <w:rsid w:val="6FAF7C23"/>
    <w:rsid w:val="6FB7AA55"/>
    <w:rsid w:val="6FBFE009"/>
    <w:rsid w:val="6FC70803"/>
    <w:rsid w:val="6FCD4DB0"/>
    <w:rsid w:val="6FCF99B9"/>
    <w:rsid w:val="6FDB7227"/>
    <w:rsid w:val="6FE20EA7"/>
    <w:rsid w:val="6FED2A25"/>
    <w:rsid w:val="6FEF8DBC"/>
    <w:rsid w:val="6FF27A2E"/>
    <w:rsid w:val="6FF7E9EE"/>
    <w:rsid w:val="6FFC68F4"/>
    <w:rsid w:val="6FFF3CF1"/>
    <w:rsid w:val="6FFF88F7"/>
    <w:rsid w:val="6FFFAAB2"/>
    <w:rsid w:val="70126C4D"/>
    <w:rsid w:val="70AE6BA7"/>
    <w:rsid w:val="70ED9C73"/>
    <w:rsid w:val="717FEAD9"/>
    <w:rsid w:val="71DF82D7"/>
    <w:rsid w:val="71E76416"/>
    <w:rsid w:val="71EF1D20"/>
    <w:rsid w:val="71F75308"/>
    <w:rsid w:val="71FDACB6"/>
    <w:rsid w:val="722B6294"/>
    <w:rsid w:val="722F1EB8"/>
    <w:rsid w:val="72CFCC9C"/>
    <w:rsid w:val="72FFEAAF"/>
    <w:rsid w:val="73BD072A"/>
    <w:rsid w:val="73DE0BD0"/>
    <w:rsid w:val="73EA8A1D"/>
    <w:rsid w:val="73FEB562"/>
    <w:rsid w:val="73FF30D6"/>
    <w:rsid w:val="743F3A42"/>
    <w:rsid w:val="746058BD"/>
    <w:rsid w:val="74727280"/>
    <w:rsid w:val="74B9D1FF"/>
    <w:rsid w:val="7573110B"/>
    <w:rsid w:val="757D3C0C"/>
    <w:rsid w:val="75BB01EC"/>
    <w:rsid w:val="75DFB8EB"/>
    <w:rsid w:val="75F798FF"/>
    <w:rsid w:val="75FDC1B4"/>
    <w:rsid w:val="75FF0F53"/>
    <w:rsid w:val="761ABDC0"/>
    <w:rsid w:val="763DBC23"/>
    <w:rsid w:val="764F2F6D"/>
    <w:rsid w:val="767F9574"/>
    <w:rsid w:val="76CB553E"/>
    <w:rsid w:val="76D961D7"/>
    <w:rsid w:val="76FB9BD7"/>
    <w:rsid w:val="76FEF82E"/>
    <w:rsid w:val="77160A92"/>
    <w:rsid w:val="77595339"/>
    <w:rsid w:val="776F9B31"/>
    <w:rsid w:val="777F59B7"/>
    <w:rsid w:val="778F03BE"/>
    <w:rsid w:val="77AA3248"/>
    <w:rsid w:val="77AE9B9B"/>
    <w:rsid w:val="77B9C990"/>
    <w:rsid w:val="77DF9DCB"/>
    <w:rsid w:val="77E2B723"/>
    <w:rsid w:val="77EAE132"/>
    <w:rsid w:val="77EB225D"/>
    <w:rsid w:val="77EFA6C1"/>
    <w:rsid w:val="77F50F1B"/>
    <w:rsid w:val="77F737BD"/>
    <w:rsid w:val="77FB26DC"/>
    <w:rsid w:val="77FC5075"/>
    <w:rsid w:val="77FDEA60"/>
    <w:rsid w:val="77FDF57C"/>
    <w:rsid w:val="77FE984F"/>
    <w:rsid w:val="77FF3A94"/>
    <w:rsid w:val="77FFE031"/>
    <w:rsid w:val="783A9350"/>
    <w:rsid w:val="78423D13"/>
    <w:rsid w:val="786625C1"/>
    <w:rsid w:val="78BFE71E"/>
    <w:rsid w:val="78EA67CE"/>
    <w:rsid w:val="797FCF2F"/>
    <w:rsid w:val="79AF2782"/>
    <w:rsid w:val="79D8F9BD"/>
    <w:rsid w:val="79ED3711"/>
    <w:rsid w:val="79FB95F8"/>
    <w:rsid w:val="79FCB030"/>
    <w:rsid w:val="79FEA0F1"/>
    <w:rsid w:val="79FF5F25"/>
    <w:rsid w:val="7A383883"/>
    <w:rsid w:val="7A5F2438"/>
    <w:rsid w:val="7AB5C788"/>
    <w:rsid w:val="7ABB2E41"/>
    <w:rsid w:val="7AC7FFFC"/>
    <w:rsid w:val="7AD71DEF"/>
    <w:rsid w:val="7ADB5FA8"/>
    <w:rsid w:val="7ADB6072"/>
    <w:rsid w:val="7AF72DA7"/>
    <w:rsid w:val="7AFE7BB9"/>
    <w:rsid w:val="7AFF5990"/>
    <w:rsid w:val="7B0B2CBC"/>
    <w:rsid w:val="7B294E15"/>
    <w:rsid w:val="7B4DF754"/>
    <w:rsid w:val="7B97C7EC"/>
    <w:rsid w:val="7BA6E560"/>
    <w:rsid w:val="7BB10551"/>
    <w:rsid w:val="7BB367F5"/>
    <w:rsid w:val="7BBFFE9D"/>
    <w:rsid w:val="7BDB6C82"/>
    <w:rsid w:val="7BDE9FE4"/>
    <w:rsid w:val="7BE1525C"/>
    <w:rsid w:val="7BE33D5A"/>
    <w:rsid w:val="7BF75266"/>
    <w:rsid w:val="7BF7A9D7"/>
    <w:rsid w:val="7BFB5772"/>
    <w:rsid w:val="7BFD1290"/>
    <w:rsid w:val="7BFDA493"/>
    <w:rsid w:val="7BFEDC3F"/>
    <w:rsid w:val="7BFF4DC6"/>
    <w:rsid w:val="7BFF69C9"/>
    <w:rsid w:val="7BFF7A4B"/>
    <w:rsid w:val="7BFFA718"/>
    <w:rsid w:val="7C1977A8"/>
    <w:rsid w:val="7C32BA45"/>
    <w:rsid w:val="7C5F07AE"/>
    <w:rsid w:val="7C5F70B7"/>
    <w:rsid w:val="7C7A1DDA"/>
    <w:rsid w:val="7C7F6047"/>
    <w:rsid w:val="7C992F21"/>
    <w:rsid w:val="7CAA1482"/>
    <w:rsid w:val="7CAE4944"/>
    <w:rsid w:val="7CE5A62E"/>
    <w:rsid w:val="7CED0F0D"/>
    <w:rsid w:val="7CF6457B"/>
    <w:rsid w:val="7CFF8AC5"/>
    <w:rsid w:val="7D1F0F5A"/>
    <w:rsid w:val="7D2FE12E"/>
    <w:rsid w:val="7D6AB12F"/>
    <w:rsid w:val="7D6E736C"/>
    <w:rsid w:val="7D6FFE28"/>
    <w:rsid w:val="7D78CAFA"/>
    <w:rsid w:val="7D7B66AA"/>
    <w:rsid w:val="7D7C112C"/>
    <w:rsid w:val="7D7F07B2"/>
    <w:rsid w:val="7D97A6DC"/>
    <w:rsid w:val="7D9E3215"/>
    <w:rsid w:val="7DAB27FE"/>
    <w:rsid w:val="7DB96489"/>
    <w:rsid w:val="7DBB7344"/>
    <w:rsid w:val="7DBBB84D"/>
    <w:rsid w:val="7DBD797D"/>
    <w:rsid w:val="7DBFF487"/>
    <w:rsid w:val="7DD6C59C"/>
    <w:rsid w:val="7DDBEFD6"/>
    <w:rsid w:val="7DDF8DD3"/>
    <w:rsid w:val="7DEB5E24"/>
    <w:rsid w:val="7DEEA260"/>
    <w:rsid w:val="7DF7FA69"/>
    <w:rsid w:val="7DFF17DB"/>
    <w:rsid w:val="7DFF3412"/>
    <w:rsid w:val="7E3F3E2F"/>
    <w:rsid w:val="7E5F44D2"/>
    <w:rsid w:val="7E7A8C24"/>
    <w:rsid w:val="7E7FE011"/>
    <w:rsid w:val="7E99450F"/>
    <w:rsid w:val="7E9F65EF"/>
    <w:rsid w:val="7EA6F4D0"/>
    <w:rsid w:val="7EBBF8AB"/>
    <w:rsid w:val="7ED74442"/>
    <w:rsid w:val="7EDB0CBC"/>
    <w:rsid w:val="7EDB9DC8"/>
    <w:rsid w:val="7EEDB958"/>
    <w:rsid w:val="7EEF4590"/>
    <w:rsid w:val="7EF3D7CC"/>
    <w:rsid w:val="7EF77678"/>
    <w:rsid w:val="7EFC4C37"/>
    <w:rsid w:val="7EFE50CB"/>
    <w:rsid w:val="7EFE6B23"/>
    <w:rsid w:val="7EFF0B6F"/>
    <w:rsid w:val="7EFF7B69"/>
    <w:rsid w:val="7EFFE6A8"/>
    <w:rsid w:val="7F075BC0"/>
    <w:rsid w:val="7F0B1FF2"/>
    <w:rsid w:val="7F0F1DA7"/>
    <w:rsid w:val="7F174713"/>
    <w:rsid w:val="7F1D3D5E"/>
    <w:rsid w:val="7F1E259A"/>
    <w:rsid w:val="7F1F6E1F"/>
    <w:rsid w:val="7F2B921D"/>
    <w:rsid w:val="7F571E67"/>
    <w:rsid w:val="7F5F55A6"/>
    <w:rsid w:val="7F5F5D8D"/>
    <w:rsid w:val="7F5F8489"/>
    <w:rsid w:val="7F6481B7"/>
    <w:rsid w:val="7F6BB1F7"/>
    <w:rsid w:val="7F6E9AC4"/>
    <w:rsid w:val="7F6F0251"/>
    <w:rsid w:val="7F6FFC9A"/>
    <w:rsid w:val="7F751BA6"/>
    <w:rsid w:val="7F778ADE"/>
    <w:rsid w:val="7F790518"/>
    <w:rsid w:val="7F7B16B6"/>
    <w:rsid w:val="7F7B2A8A"/>
    <w:rsid w:val="7F7BCEC0"/>
    <w:rsid w:val="7F7CBD32"/>
    <w:rsid w:val="7F7F4F9B"/>
    <w:rsid w:val="7F7F7D25"/>
    <w:rsid w:val="7F7FCE60"/>
    <w:rsid w:val="7F7FDCC5"/>
    <w:rsid w:val="7F8F02C3"/>
    <w:rsid w:val="7F9BF628"/>
    <w:rsid w:val="7F9F9A25"/>
    <w:rsid w:val="7FB498EB"/>
    <w:rsid w:val="7FB5E271"/>
    <w:rsid w:val="7FB725F3"/>
    <w:rsid w:val="7FB73A99"/>
    <w:rsid w:val="7FBC9B9D"/>
    <w:rsid w:val="7FBCCB97"/>
    <w:rsid w:val="7FBF6F5C"/>
    <w:rsid w:val="7FBFEAD1"/>
    <w:rsid w:val="7FBFEEEA"/>
    <w:rsid w:val="7FCA25C7"/>
    <w:rsid w:val="7FCF3F45"/>
    <w:rsid w:val="7FD740A6"/>
    <w:rsid w:val="7FDB2374"/>
    <w:rsid w:val="7FDC2C7D"/>
    <w:rsid w:val="7FDD13A4"/>
    <w:rsid w:val="7FDD90C2"/>
    <w:rsid w:val="7FDE254A"/>
    <w:rsid w:val="7FDEC9C7"/>
    <w:rsid w:val="7FDF5695"/>
    <w:rsid w:val="7FDF670E"/>
    <w:rsid w:val="7FEB104A"/>
    <w:rsid w:val="7FEB60B0"/>
    <w:rsid w:val="7FEB6E46"/>
    <w:rsid w:val="7FED6913"/>
    <w:rsid w:val="7FEEBFF1"/>
    <w:rsid w:val="7FEED4FB"/>
    <w:rsid w:val="7FEF22CB"/>
    <w:rsid w:val="7FF2AAFA"/>
    <w:rsid w:val="7FF2FD5E"/>
    <w:rsid w:val="7FF30E83"/>
    <w:rsid w:val="7FF3F163"/>
    <w:rsid w:val="7FF65232"/>
    <w:rsid w:val="7FF86BBF"/>
    <w:rsid w:val="7FFB14ED"/>
    <w:rsid w:val="7FFB3EF3"/>
    <w:rsid w:val="7FFB8B13"/>
    <w:rsid w:val="7FFC5239"/>
    <w:rsid w:val="7FFD47DB"/>
    <w:rsid w:val="7FFDD731"/>
    <w:rsid w:val="7FFE7725"/>
    <w:rsid w:val="7FFED17E"/>
    <w:rsid w:val="7FFF5823"/>
    <w:rsid w:val="7FFF65BB"/>
    <w:rsid w:val="7FFF8EAB"/>
    <w:rsid w:val="7FFF95BF"/>
    <w:rsid w:val="7FFF9795"/>
    <w:rsid w:val="7FFFC8EC"/>
    <w:rsid w:val="7FFFCB03"/>
    <w:rsid w:val="7FFFEDF2"/>
    <w:rsid w:val="83BFD64C"/>
    <w:rsid w:val="865F0948"/>
    <w:rsid w:val="87E76729"/>
    <w:rsid w:val="88EFDD46"/>
    <w:rsid w:val="8BDD2D11"/>
    <w:rsid w:val="8BFB81A2"/>
    <w:rsid w:val="8DB92E08"/>
    <w:rsid w:val="8F1DA4C1"/>
    <w:rsid w:val="8F5CD62F"/>
    <w:rsid w:val="93F73735"/>
    <w:rsid w:val="947A5510"/>
    <w:rsid w:val="957CEC5C"/>
    <w:rsid w:val="97F91B66"/>
    <w:rsid w:val="97FF75D9"/>
    <w:rsid w:val="97FFCF6F"/>
    <w:rsid w:val="9A67B193"/>
    <w:rsid w:val="9A9B3806"/>
    <w:rsid w:val="9AFE503D"/>
    <w:rsid w:val="9B7CA2F4"/>
    <w:rsid w:val="9B933EA7"/>
    <w:rsid w:val="9BAF34C6"/>
    <w:rsid w:val="9BFFE5D9"/>
    <w:rsid w:val="9CAF1639"/>
    <w:rsid w:val="9CED2955"/>
    <w:rsid w:val="9CEFCE36"/>
    <w:rsid w:val="9D7D666A"/>
    <w:rsid w:val="9DFFAC36"/>
    <w:rsid w:val="9E3ECBEE"/>
    <w:rsid w:val="9E4F1123"/>
    <w:rsid w:val="9EEFC51B"/>
    <w:rsid w:val="9EF952AE"/>
    <w:rsid w:val="9EFA0FFD"/>
    <w:rsid w:val="9EFFDECA"/>
    <w:rsid w:val="9F6FE640"/>
    <w:rsid w:val="9F94998B"/>
    <w:rsid w:val="9F9DBB0C"/>
    <w:rsid w:val="9FBE6AB9"/>
    <w:rsid w:val="9FBE7698"/>
    <w:rsid w:val="9FC7FCA5"/>
    <w:rsid w:val="9FDFA5FE"/>
    <w:rsid w:val="9FFDCDEE"/>
    <w:rsid w:val="9FFFF9D6"/>
    <w:rsid w:val="A26DFE41"/>
    <w:rsid w:val="A4BED7D7"/>
    <w:rsid w:val="A5CF3A02"/>
    <w:rsid w:val="A6B5B875"/>
    <w:rsid w:val="A6BBBF37"/>
    <w:rsid w:val="A77FECDB"/>
    <w:rsid w:val="AACDDC5C"/>
    <w:rsid w:val="ABBFB5A3"/>
    <w:rsid w:val="ABFEC53C"/>
    <w:rsid w:val="ADDEB295"/>
    <w:rsid w:val="ADEFB8F4"/>
    <w:rsid w:val="AE1E3A1A"/>
    <w:rsid w:val="AE3AF747"/>
    <w:rsid w:val="AF7F17C5"/>
    <w:rsid w:val="AF8FFBFD"/>
    <w:rsid w:val="AFA64DFC"/>
    <w:rsid w:val="AFB6AD3A"/>
    <w:rsid w:val="AFDEBD6E"/>
    <w:rsid w:val="AFF1A459"/>
    <w:rsid w:val="AFF90A9E"/>
    <w:rsid w:val="AFFB7E36"/>
    <w:rsid w:val="AFFF6A00"/>
    <w:rsid w:val="B0F748BA"/>
    <w:rsid w:val="B0FEF6B6"/>
    <w:rsid w:val="B1FF8D4E"/>
    <w:rsid w:val="B2EE62AA"/>
    <w:rsid w:val="B36E5179"/>
    <w:rsid w:val="B3F29275"/>
    <w:rsid w:val="B3F7B197"/>
    <w:rsid w:val="B3FCA770"/>
    <w:rsid w:val="B3FF2768"/>
    <w:rsid w:val="B57B28D5"/>
    <w:rsid w:val="B58F3BB5"/>
    <w:rsid w:val="B5DE82AA"/>
    <w:rsid w:val="B5EC47C0"/>
    <w:rsid w:val="B5EFF886"/>
    <w:rsid w:val="B6571943"/>
    <w:rsid w:val="B67F5C11"/>
    <w:rsid w:val="B6EF4211"/>
    <w:rsid w:val="B6FA68BE"/>
    <w:rsid w:val="B715923B"/>
    <w:rsid w:val="B776F3D5"/>
    <w:rsid w:val="B77B0FA3"/>
    <w:rsid w:val="B77B6F60"/>
    <w:rsid w:val="B77F5244"/>
    <w:rsid w:val="B7CF5A26"/>
    <w:rsid w:val="B7ED04B2"/>
    <w:rsid w:val="B7FB7BA5"/>
    <w:rsid w:val="B9B7335F"/>
    <w:rsid w:val="B9FE7C18"/>
    <w:rsid w:val="BAD3055B"/>
    <w:rsid w:val="BAF6A80D"/>
    <w:rsid w:val="BAFEA682"/>
    <w:rsid w:val="BB3A48BB"/>
    <w:rsid w:val="BB5F8ED4"/>
    <w:rsid w:val="BBFBEB5E"/>
    <w:rsid w:val="BC999329"/>
    <w:rsid w:val="BD50C970"/>
    <w:rsid w:val="BD5B5AAB"/>
    <w:rsid w:val="BD5E2A4D"/>
    <w:rsid w:val="BD7D08EA"/>
    <w:rsid w:val="BDDBBEBC"/>
    <w:rsid w:val="BDE7E7F3"/>
    <w:rsid w:val="BDEE64A5"/>
    <w:rsid w:val="BDF7276A"/>
    <w:rsid w:val="BDFFEBF0"/>
    <w:rsid w:val="BE62DA3C"/>
    <w:rsid w:val="BE732394"/>
    <w:rsid w:val="BE7F1684"/>
    <w:rsid w:val="BEBCE093"/>
    <w:rsid w:val="BEBFB6AA"/>
    <w:rsid w:val="BEF1CF7F"/>
    <w:rsid w:val="BEF6429D"/>
    <w:rsid w:val="BEF93BF3"/>
    <w:rsid w:val="BEFED930"/>
    <w:rsid w:val="BEFF17BE"/>
    <w:rsid w:val="BEFFBFFC"/>
    <w:rsid w:val="BEFFFF39"/>
    <w:rsid w:val="BF5EEA74"/>
    <w:rsid w:val="BF779D8E"/>
    <w:rsid w:val="BF7F0CD6"/>
    <w:rsid w:val="BF7F10E1"/>
    <w:rsid w:val="BF7F1966"/>
    <w:rsid w:val="BF9B9225"/>
    <w:rsid w:val="BF9FC674"/>
    <w:rsid w:val="BFB3CDA1"/>
    <w:rsid w:val="BFBB6F5E"/>
    <w:rsid w:val="BFBEF1B1"/>
    <w:rsid w:val="BFBFD05B"/>
    <w:rsid w:val="BFC77E5F"/>
    <w:rsid w:val="BFCA4A4B"/>
    <w:rsid w:val="BFDAB7B1"/>
    <w:rsid w:val="BFDBBD83"/>
    <w:rsid w:val="BFEF5F06"/>
    <w:rsid w:val="BFEF7109"/>
    <w:rsid w:val="BFF34CA3"/>
    <w:rsid w:val="BFF46BAC"/>
    <w:rsid w:val="BFF479AD"/>
    <w:rsid w:val="BFF5C3A8"/>
    <w:rsid w:val="BFF6F5D0"/>
    <w:rsid w:val="BFFEAF31"/>
    <w:rsid w:val="BFFF9A57"/>
    <w:rsid w:val="C5DC0E3F"/>
    <w:rsid w:val="C66B9FEB"/>
    <w:rsid w:val="C7BDA248"/>
    <w:rsid w:val="C7D72C8A"/>
    <w:rsid w:val="C8BEB855"/>
    <w:rsid w:val="CB6490A2"/>
    <w:rsid w:val="CB9A93B2"/>
    <w:rsid w:val="CBD39841"/>
    <w:rsid w:val="CBDB22A3"/>
    <w:rsid w:val="CBFF77AE"/>
    <w:rsid w:val="CD5D91C3"/>
    <w:rsid w:val="CE47082E"/>
    <w:rsid w:val="CEA92C04"/>
    <w:rsid w:val="CEFB3173"/>
    <w:rsid w:val="CEFD6FD5"/>
    <w:rsid w:val="CEFF4050"/>
    <w:rsid w:val="CEFF5149"/>
    <w:rsid w:val="CF4BBE3F"/>
    <w:rsid w:val="CF64B160"/>
    <w:rsid w:val="CF656061"/>
    <w:rsid w:val="CF7E832A"/>
    <w:rsid w:val="CF7EF2D1"/>
    <w:rsid w:val="CFCA55ED"/>
    <w:rsid w:val="CFD5B1AD"/>
    <w:rsid w:val="CFDDB635"/>
    <w:rsid w:val="CFDE9DF3"/>
    <w:rsid w:val="CFEF09AF"/>
    <w:rsid w:val="CFEFCFAE"/>
    <w:rsid w:val="CFF57357"/>
    <w:rsid w:val="CFFE7D40"/>
    <w:rsid w:val="CFFF9AF5"/>
    <w:rsid w:val="CFFFED6A"/>
    <w:rsid w:val="D1339C79"/>
    <w:rsid w:val="D2FC0B8E"/>
    <w:rsid w:val="D30F8CB5"/>
    <w:rsid w:val="D31FFE88"/>
    <w:rsid w:val="D36C18D8"/>
    <w:rsid w:val="D3FEFBEF"/>
    <w:rsid w:val="D567CE78"/>
    <w:rsid w:val="D5FBCDB7"/>
    <w:rsid w:val="D667971C"/>
    <w:rsid w:val="D6E4FEA2"/>
    <w:rsid w:val="D6F723CD"/>
    <w:rsid w:val="D6FFB27C"/>
    <w:rsid w:val="D71AC84C"/>
    <w:rsid w:val="D73D97C9"/>
    <w:rsid w:val="D75E0D0B"/>
    <w:rsid w:val="D77F2315"/>
    <w:rsid w:val="D7CFA427"/>
    <w:rsid w:val="D7DA153C"/>
    <w:rsid w:val="D7DCCD67"/>
    <w:rsid w:val="D7DE9A82"/>
    <w:rsid w:val="D7EBB7B4"/>
    <w:rsid w:val="D7EF2406"/>
    <w:rsid w:val="D7FF01A0"/>
    <w:rsid w:val="D87FD8D7"/>
    <w:rsid w:val="D8DC649D"/>
    <w:rsid w:val="D92F890E"/>
    <w:rsid w:val="D9775417"/>
    <w:rsid w:val="D9DF5DBE"/>
    <w:rsid w:val="D9F7F80C"/>
    <w:rsid w:val="D9FDB461"/>
    <w:rsid w:val="DA1D5E1E"/>
    <w:rsid w:val="DA5FB176"/>
    <w:rsid w:val="DAAB7AA4"/>
    <w:rsid w:val="DAEDC090"/>
    <w:rsid w:val="DB73F3A3"/>
    <w:rsid w:val="DBFE44CC"/>
    <w:rsid w:val="DBFE8A31"/>
    <w:rsid w:val="DCFB9A6D"/>
    <w:rsid w:val="DD39FABE"/>
    <w:rsid w:val="DD79D06D"/>
    <w:rsid w:val="DDDB7160"/>
    <w:rsid w:val="DDDD5041"/>
    <w:rsid w:val="DDEF463F"/>
    <w:rsid w:val="DDF79BF9"/>
    <w:rsid w:val="DDF7AC06"/>
    <w:rsid w:val="DDF8F1A5"/>
    <w:rsid w:val="DDFE7CCC"/>
    <w:rsid w:val="DE37894B"/>
    <w:rsid w:val="DE7CBE08"/>
    <w:rsid w:val="DEBB51CB"/>
    <w:rsid w:val="DEDBCFA8"/>
    <w:rsid w:val="DEE31FCB"/>
    <w:rsid w:val="DEFF9A39"/>
    <w:rsid w:val="DF13C9E3"/>
    <w:rsid w:val="DF357310"/>
    <w:rsid w:val="DF5B5945"/>
    <w:rsid w:val="DF6F8B6A"/>
    <w:rsid w:val="DF6FEB77"/>
    <w:rsid w:val="DF6FFF27"/>
    <w:rsid w:val="DF7B0560"/>
    <w:rsid w:val="DF7DAD96"/>
    <w:rsid w:val="DF7E0415"/>
    <w:rsid w:val="DF8DEDFC"/>
    <w:rsid w:val="DF97C28B"/>
    <w:rsid w:val="DFB6AE9C"/>
    <w:rsid w:val="DFC9C963"/>
    <w:rsid w:val="DFD2793F"/>
    <w:rsid w:val="DFD4D46E"/>
    <w:rsid w:val="DFDBE325"/>
    <w:rsid w:val="DFDDCB3E"/>
    <w:rsid w:val="DFDE1A02"/>
    <w:rsid w:val="DFDF7368"/>
    <w:rsid w:val="DFEB8292"/>
    <w:rsid w:val="DFF61FFF"/>
    <w:rsid w:val="DFF78F27"/>
    <w:rsid w:val="DFF96272"/>
    <w:rsid w:val="DFF994AD"/>
    <w:rsid w:val="DFFEF938"/>
    <w:rsid w:val="DFFF0A2F"/>
    <w:rsid w:val="DFFF797A"/>
    <w:rsid w:val="DFFFAD01"/>
    <w:rsid w:val="E1F3F0CE"/>
    <w:rsid w:val="E1F4654E"/>
    <w:rsid w:val="E2FFD23E"/>
    <w:rsid w:val="E32DBE6E"/>
    <w:rsid w:val="E377F8F3"/>
    <w:rsid w:val="E3AD1835"/>
    <w:rsid w:val="E3BFEF14"/>
    <w:rsid w:val="E3F68DE5"/>
    <w:rsid w:val="E4D321EB"/>
    <w:rsid w:val="E4DC9553"/>
    <w:rsid w:val="E5F7A8B6"/>
    <w:rsid w:val="E5F94DFB"/>
    <w:rsid w:val="E6974AE4"/>
    <w:rsid w:val="E6BD1C4C"/>
    <w:rsid w:val="E6DB6CAA"/>
    <w:rsid w:val="E6ED7800"/>
    <w:rsid w:val="E6EF50A9"/>
    <w:rsid w:val="E75B2F4E"/>
    <w:rsid w:val="E7778BA4"/>
    <w:rsid w:val="E77FB12E"/>
    <w:rsid w:val="E7B58720"/>
    <w:rsid w:val="E7D56EF7"/>
    <w:rsid w:val="E7DFA9D7"/>
    <w:rsid w:val="E7F78DBA"/>
    <w:rsid w:val="E8FFB8F4"/>
    <w:rsid w:val="E9B7E745"/>
    <w:rsid w:val="EA7F8EE7"/>
    <w:rsid w:val="EAB518B0"/>
    <w:rsid w:val="EAF94FAB"/>
    <w:rsid w:val="EB4F03C4"/>
    <w:rsid w:val="EB5FB8FF"/>
    <w:rsid w:val="EB7DADF7"/>
    <w:rsid w:val="EBB330BD"/>
    <w:rsid w:val="EBBEEBC0"/>
    <w:rsid w:val="EBBFFDFC"/>
    <w:rsid w:val="EBDE82E4"/>
    <w:rsid w:val="EBDEA5CC"/>
    <w:rsid w:val="EBEBE157"/>
    <w:rsid w:val="EBF95E81"/>
    <w:rsid w:val="EC3BF733"/>
    <w:rsid w:val="ECD25E0C"/>
    <w:rsid w:val="ECDAF89C"/>
    <w:rsid w:val="ECFF25E8"/>
    <w:rsid w:val="ED577024"/>
    <w:rsid w:val="ED5FA988"/>
    <w:rsid w:val="ED5FED7D"/>
    <w:rsid w:val="ED77E293"/>
    <w:rsid w:val="ED7BABEA"/>
    <w:rsid w:val="ED8EE9BA"/>
    <w:rsid w:val="EDE72ECC"/>
    <w:rsid w:val="EDEFA37C"/>
    <w:rsid w:val="EDFB8758"/>
    <w:rsid w:val="EDFCB815"/>
    <w:rsid w:val="EE37BC0D"/>
    <w:rsid w:val="EE7E9BC6"/>
    <w:rsid w:val="EE9B89A4"/>
    <w:rsid w:val="EEAF4233"/>
    <w:rsid w:val="EEBE5B2F"/>
    <w:rsid w:val="EED759A7"/>
    <w:rsid w:val="EEF7E284"/>
    <w:rsid w:val="EEFE9A53"/>
    <w:rsid w:val="EF35808D"/>
    <w:rsid w:val="EF3596C0"/>
    <w:rsid w:val="EF5F549F"/>
    <w:rsid w:val="EF7E9546"/>
    <w:rsid w:val="EF7F0D12"/>
    <w:rsid w:val="EF995AC1"/>
    <w:rsid w:val="EF9FCBAF"/>
    <w:rsid w:val="EFA70C80"/>
    <w:rsid w:val="EFAD5772"/>
    <w:rsid w:val="EFB37416"/>
    <w:rsid w:val="EFBE5199"/>
    <w:rsid w:val="EFCA7C54"/>
    <w:rsid w:val="EFCB5822"/>
    <w:rsid w:val="EFDD2462"/>
    <w:rsid w:val="EFF38F7F"/>
    <w:rsid w:val="EFF7E79C"/>
    <w:rsid w:val="EFF7EEC4"/>
    <w:rsid w:val="EFFC930C"/>
    <w:rsid w:val="EFFD14C7"/>
    <w:rsid w:val="EFFD19B5"/>
    <w:rsid w:val="EFFE0E91"/>
    <w:rsid w:val="EFFE1072"/>
    <w:rsid w:val="EFFE4854"/>
    <w:rsid w:val="EFFE9ADB"/>
    <w:rsid w:val="EFFFBF8B"/>
    <w:rsid w:val="EFFFDEA6"/>
    <w:rsid w:val="EFFFF8D3"/>
    <w:rsid w:val="EFFFFB17"/>
    <w:rsid w:val="F0F5519B"/>
    <w:rsid w:val="F167CAB1"/>
    <w:rsid w:val="F1BFE9ED"/>
    <w:rsid w:val="F1E37086"/>
    <w:rsid w:val="F1ED405F"/>
    <w:rsid w:val="F27BD834"/>
    <w:rsid w:val="F2BF58D8"/>
    <w:rsid w:val="F2FB57BD"/>
    <w:rsid w:val="F2FF7BA2"/>
    <w:rsid w:val="F31FC317"/>
    <w:rsid w:val="F37F4FEE"/>
    <w:rsid w:val="F39B163C"/>
    <w:rsid w:val="F3BE7DE3"/>
    <w:rsid w:val="F3DFC48A"/>
    <w:rsid w:val="F3DFCAE4"/>
    <w:rsid w:val="F3DFF222"/>
    <w:rsid w:val="F3EB2583"/>
    <w:rsid w:val="F3FD1286"/>
    <w:rsid w:val="F47D5AF7"/>
    <w:rsid w:val="F4BF0967"/>
    <w:rsid w:val="F4BFB974"/>
    <w:rsid w:val="F56F22EA"/>
    <w:rsid w:val="F56F86AE"/>
    <w:rsid w:val="F578C90D"/>
    <w:rsid w:val="F57FF291"/>
    <w:rsid w:val="F5BA7558"/>
    <w:rsid w:val="F5C7FA36"/>
    <w:rsid w:val="F5ED3376"/>
    <w:rsid w:val="F5EFA01E"/>
    <w:rsid w:val="F5F87707"/>
    <w:rsid w:val="F5F9F206"/>
    <w:rsid w:val="F5FF167F"/>
    <w:rsid w:val="F5FF8AA0"/>
    <w:rsid w:val="F5FFAC7B"/>
    <w:rsid w:val="F5FFB075"/>
    <w:rsid w:val="F5FFEF8A"/>
    <w:rsid w:val="F6BB0101"/>
    <w:rsid w:val="F6FC556E"/>
    <w:rsid w:val="F6FDDB1D"/>
    <w:rsid w:val="F6FF8109"/>
    <w:rsid w:val="F6FFB558"/>
    <w:rsid w:val="F73291CF"/>
    <w:rsid w:val="F75EF2F1"/>
    <w:rsid w:val="F76749FE"/>
    <w:rsid w:val="F77D5A68"/>
    <w:rsid w:val="F77F0F55"/>
    <w:rsid w:val="F7B598AD"/>
    <w:rsid w:val="F7B7705E"/>
    <w:rsid w:val="F7B7989D"/>
    <w:rsid w:val="F7BE2F5C"/>
    <w:rsid w:val="F7BFD072"/>
    <w:rsid w:val="F7DF7E8F"/>
    <w:rsid w:val="F7EC0D58"/>
    <w:rsid w:val="F7EC7BB3"/>
    <w:rsid w:val="F7EEC53B"/>
    <w:rsid w:val="F7EFBBEC"/>
    <w:rsid w:val="F7F6DB64"/>
    <w:rsid w:val="F7F79B7A"/>
    <w:rsid w:val="F7FB8AFB"/>
    <w:rsid w:val="F7FEAB6A"/>
    <w:rsid w:val="F7FFAFAC"/>
    <w:rsid w:val="F7FFF598"/>
    <w:rsid w:val="F7FFFEA2"/>
    <w:rsid w:val="F87B109A"/>
    <w:rsid w:val="F8E701ED"/>
    <w:rsid w:val="F8F7D448"/>
    <w:rsid w:val="F8FF5DE6"/>
    <w:rsid w:val="F935474C"/>
    <w:rsid w:val="F973E303"/>
    <w:rsid w:val="F97BD2F7"/>
    <w:rsid w:val="F97E8FAD"/>
    <w:rsid w:val="F989BCE8"/>
    <w:rsid w:val="F9D5EEE4"/>
    <w:rsid w:val="F9EBAD40"/>
    <w:rsid w:val="F9FE34DA"/>
    <w:rsid w:val="FA3B60A2"/>
    <w:rsid w:val="FA67B7F9"/>
    <w:rsid w:val="FA6F3E70"/>
    <w:rsid w:val="FA7F2156"/>
    <w:rsid w:val="FABF5568"/>
    <w:rsid w:val="FAD5A73A"/>
    <w:rsid w:val="FAE6603B"/>
    <w:rsid w:val="FAE7269E"/>
    <w:rsid w:val="FAEF0ACD"/>
    <w:rsid w:val="FAEFD81C"/>
    <w:rsid w:val="FAFBDDD8"/>
    <w:rsid w:val="FAFD88EB"/>
    <w:rsid w:val="FAFE7B2C"/>
    <w:rsid w:val="FB587594"/>
    <w:rsid w:val="FB6DB040"/>
    <w:rsid w:val="FB7ABBD4"/>
    <w:rsid w:val="FB7DFB10"/>
    <w:rsid w:val="FB7F4B15"/>
    <w:rsid w:val="FB7FDA2F"/>
    <w:rsid w:val="FB997A69"/>
    <w:rsid w:val="FBAF1493"/>
    <w:rsid w:val="FBB3EAC1"/>
    <w:rsid w:val="FBBB231F"/>
    <w:rsid w:val="FBBB7E16"/>
    <w:rsid w:val="FBBF0695"/>
    <w:rsid w:val="FBC192C2"/>
    <w:rsid w:val="FBC2B7E7"/>
    <w:rsid w:val="FBC70928"/>
    <w:rsid w:val="FBDBFF00"/>
    <w:rsid w:val="FBE0C1FC"/>
    <w:rsid w:val="FBE2E6C1"/>
    <w:rsid w:val="FBF0ABF8"/>
    <w:rsid w:val="FBF32540"/>
    <w:rsid w:val="FBF6935F"/>
    <w:rsid w:val="FBF76111"/>
    <w:rsid w:val="FBF92603"/>
    <w:rsid w:val="FBFC4870"/>
    <w:rsid w:val="FBFD3067"/>
    <w:rsid w:val="FBFDF176"/>
    <w:rsid w:val="FBFE2CE0"/>
    <w:rsid w:val="FBFEC5B0"/>
    <w:rsid w:val="FBFEEE2D"/>
    <w:rsid w:val="FBFF0D31"/>
    <w:rsid w:val="FBFFC873"/>
    <w:rsid w:val="FBFFF2F4"/>
    <w:rsid w:val="FC55BFA8"/>
    <w:rsid w:val="FC575829"/>
    <w:rsid w:val="FC7898D7"/>
    <w:rsid w:val="FC7F5D0D"/>
    <w:rsid w:val="FCB1D545"/>
    <w:rsid w:val="FCB75032"/>
    <w:rsid w:val="FCBFE769"/>
    <w:rsid w:val="FCDED1FF"/>
    <w:rsid w:val="FCDF580D"/>
    <w:rsid w:val="FCFE1A13"/>
    <w:rsid w:val="FCFE7E79"/>
    <w:rsid w:val="FCFF30AB"/>
    <w:rsid w:val="FD45B524"/>
    <w:rsid w:val="FD754BBA"/>
    <w:rsid w:val="FD7AC442"/>
    <w:rsid w:val="FD7E939C"/>
    <w:rsid w:val="FD7F05A4"/>
    <w:rsid w:val="FD7FF3C1"/>
    <w:rsid w:val="FD8F70B2"/>
    <w:rsid w:val="FDCF27B9"/>
    <w:rsid w:val="FDD5A136"/>
    <w:rsid w:val="FDDABDF9"/>
    <w:rsid w:val="FDDADE22"/>
    <w:rsid w:val="FDDB76C7"/>
    <w:rsid w:val="FDE7330F"/>
    <w:rsid w:val="FDEB3DFF"/>
    <w:rsid w:val="FDEB9D10"/>
    <w:rsid w:val="FDECD6F2"/>
    <w:rsid w:val="FDEDC709"/>
    <w:rsid w:val="FDEF56BA"/>
    <w:rsid w:val="FDF2B6F1"/>
    <w:rsid w:val="FDF36DC7"/>
    <w:rsid w:val="FDF63529"/>
    <w:rsid w:val="FDF74124"/>
    <w:rsid w:val="FDF75B62"/>
    <w:rsid w:val="FDFB2A11"/>
    <w:rsid w:val="FDFD2422"/>
    <w:rsid w:val="FDFD9D19"/>
    <w:rsid w:val="FDFDE6BA"/>
    <w:rsid w:val="FDFEA790"/>
    <w:rsid w:val="FDFF7EAF"/>
    <w:rsid w:val="FDFF94C4"/>
    <w:rsid w:val="FDFFE98A"/>
    <w:rsid w:val="FE1FE7D7"/>
    <w:rsid w:val="FE36DAA5"/>
    <w:rsid w:val="FE53CFCF"/>
    <w:rsid w:val="FE7D59FF"/>
    <w:rsid w:val="FE7E4CB6"/>
    <w:rsid w:val="FE7F97BA"/>
    <w:rsid w:val="FE9B7309"/>
    <w:rsid w:val="FE9EA74D"/>
    <w:rsid w:val="FE9FDBD7"/>
    <w:rsid w:val="FEABB1FD"/>
    <w:rsid w:val="FEB772AB"/>
    <w:rsid w:val="FED94C7D"/>
    <w:rsid w:val="FEDF20A8"/>
    <w:rsid w:val="FEE7520C"/>
    <w:rsid w:val="FEE7C03F"/>
    <w:rsid w:val="FEECB418"/>
    <w:rsid w:val="FEEF16D9"/>
    <w:rsid w:val="FEEF310D"/>
    <w:rsid w:val="FEF7557B"/>
    <w:rsid w:val="FEF8EB3B"/>
    <w:rsid w:val="FEFCF7D4"/>
    <w:rsid w:val="FEFD7249"/>
    <w:rsid w:val="FEFE6B30"/>
    <w:rsid w:val="FEFF4BB5"/>
    <w:rsid w:val="FF2B7C5F"/>
    <w:rsid w:val="FF2D0EBC"/>
    <w:rsid w:val="FF372FFF"/>
    <w:rsid w:val="FF3A91E1"/>
    <w:rsid w:val="FF3FBE0C"/>
    <w:rsid w:val="FF5509FB"/>
    <w:rsid w:val="FF5757B8"/>
    <w:rsid w:val="FF5F2F33"/>
    <w:rsid w:val="FF63452B"/>
    <w:rsid w:val="FF6B77E7"/>
    <w:rsid w:val="FF6F8271"/>
    <w:rsid w:val="FF6FC3D0"/>
    <w:rsid w:val="FF7753CC"/>
    <w:rsid w:val="FF77A231"/>
    <w:rsid w:val="FF7D6919"/>
    <w:rsid w:val="FF7F23FD"/>
    <w:rsid w:val="FF7F32C1"/>
    <w:rsid w:val="FF7F5935"/>
    <w:rsid w:val="FF7F68AE"/>
    <w:rsid w:val="FF7F7A0B"/>
    <w:rsid w:val="FF7F7BA5"/>
    <w:rsid w:val="FF7F97B9"/>
    <w:rsid w:val="FF8FAA62"/>
    <w:rsid w:val="FF8FB52A"/>
    <w:rsid w:val="FF940639"/>
    <w:rsid w:val="FF9B26FD"/>
    <w:rsid w:val="FFA5E8BF"/>
    <w:rsid w:val="FFAE5AAE"/>
    <w:rsid w:val="FFAF258A"/>
    <w:rsid w:val="FFAF41C6"/>
    <w:rsid w:val="FFAFC2A5"/>
    <w:rsid w:val="FFAFE52E"/>
    <w:rsid w:val="FFB2807B"/>
    <w:rsid w:val="FFB7AD4D"/>
    <w:rsid w:val="FFBD3C71"/>
    <w:rsid w:val="FFBE0ACA"/>
    <w:rsid w:val="FFBEB288"/>
    <w:rsid w:val="FFBF4905"/>
    <w:rsid w:val="FFBF6738"/>
    <w:rsid w:val="FFBF8D58"/>
    <w:rsid w:val="FFC2A09D"/>
    <w:rsid w:val="FFC7DDBF"/>
    <w:rsid w:val="FFCB4822"/>
    <w:rsid w:val="FFCE12C2"/>
    <w:rsid w:val="FFCF2151"/>
    <w:rsid w:val="FFCFFEFE"/>
    <w:rsid w:val="FFD36876"/>
    <w:rsid w:val="FFD6FE28"/>
    <w:rsid w:val="FFD97AF0"/>
    <w:rsid w:val="FFDDEB4A"/>
    <w:rsid w:val="FFDF2B71"/>
    <w:rsid w:val="FFDF65FC"/>
    <w:rsid w:val="FFDF79E6"/>
    <w:rsid w:val="FFDF82FC"/>
    <w:rsid w:val="FFDFCCA9"/>
    <w:rsid w:val="FFDFD518"/>
    <w:rsid w:val="FFDFDAB5"/>
    <w:rsid w:val="FFDFE918"/>
    <w:rsid w:val="FFE3CB32"/>
    <w:rsid w:val="FFE75944"/>
    <w:rsid w:val="FFE940FA"/>
    <w:rsid w:val="FFE9E2B2"/>
    <w:rsid w:val="FFEA3193"/>
    <w:rsid w:val="FFEB7173"/>
    <w:rsid w:val="FFEBF2A3"/>
    <w:rsid w:val="FFEC6AC9"/>
    <w:rsid w:val="FFED513F"/>
    <w:rsid w:val="FFEDEFE3"/>
    <w:rsid w:val="FFEF28CC"/>
    <w:rsid w:val="FFEF8DD2"/>
    <w:rsid w:val="FFF15A00"/>
    <w:rsid w:val="FFF39CAC"/>
    <w:rsid w:val="FFF67C4B"/>
    <w:rsid w:val="FFF71217"/>
    <w:rsid w:val="FFF71AB4"/>
    <w:rsid w:val="FFF721F4"/>
    <w:rsid w:val="FFF9166F"/>
    <w:rsid w:val="FFF9F249"/>
    <w:rsid w:val="FFFA0E8C"/>
    <w:rsid w:val="FFFA551F"/>
    <w:rsid w:val="FFFC5155"/>
    <w:rsid w:val="FFFCBBC5"/>
    <w:rsid w:val="FFFD7161"/>
    <w:rsid w:val="FFFD7DAB"/>
    <w:rsid w:val="FFFD8445"/>
    <w:rsid w:val="FFFE50EF"/>
    <w:rsid w:val="FFFE612D"/>
    <w:rsid w:val="FFFE94BE"/>
    <w:rsid w:val="FFFF0927"/>
    <w:rsid w:val="FFFF0E25"/>
    <w:rsid w:val="FFFF0E34"/>
    <w:rsid w:val="FFFF72D0"/>
    <w:rsid w:val="FFFF77C1"/>
    <w:rsid w:val="FFFFB04E"/>
    <w:rsid w:val="FFFFC286"/>
    <w:rsid w:val="FFFFD8F8"/>
    <w:rsid w:val="FFFFDB02"/>
    <w:rsid w:val="FFFFE83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1"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line="588" w:lineRule="exact"/>
      <w:ind w:firstLine="200" w:firstLineChars="200"/>
      <w:jc w:val="both"/>
    </w:pPr>
    <w:rPr>
      <w:rFonts w:ascii="宋体" w:hAnsi="宋体" w:eastAsia="仿宋_GB2312" w:cs="Times New Roman"/>
      <w:kern w:val="2"/>
      <w:sz w:val="32"/>
      <w:szCs w:val="22"/>
      <w:lang w:val="en-US" w:eastAsia="zh-CN" w:bidi="ar-SA"/>
    </w:rPr>
  </w:style>
  <w:style w:type="paragraph" w:styleId="2">
    <w:name w:val="heading 1"/>
    <w:next w:val="1"/>
    <w:link w:val="40"/>
    <w:qFormat/>
    <w:uiPriority w:val="9"/>
    <w:pPr>
      <w:keepNext/>
      <w:keepLines/>
      <w:numPr>
        <w:ilvl w:val="0"/>
        <w:numId w:val="1"/>
      </w:numPr>
      <w:adjustRightInd w:val="0"/>
      <w:snapToGrid w:val="0"/>
      <w:spacing w:before="200" w:after="400"/>
      <w:ind w:left="0"/>
      <w:jc w:val="center"/>
      <w:outlineLvl w:val="0"/>
    </w:pPr>
    <w:rPr>
      <w:rFonts w:ascii="方正小标宋简体" w:hAnsi="方正小标宋简体" w:eastAsia="方正小标宋简体" w:cs="方正小标宋简体"/>
      <w:bCs/>
      <w:kern w:val="44"/>
      <w:sz w:val="36"/>
      <w:szCs w:val="36"/>
      <w:lang w:val="en-US" w:eastAsia="zh-CN" w:bidi="ar-SA"/>
    </w:rPr>
  </w:style>
  <w:style w:type="paragraph" w:styleId="3">
    <w:name w:val="heading 2"/>
    <w:next w:val="1"/>
    <w:link w:val="41"/>
    <w:qFormat/>
    <w:uiPriority w:val="9"/>
    <w:pPr>
      <w:keepNext/>
      <w:keepLines/>
      <w:numPr>
        <w:ilvl w:val="1"/>
        <w:numId w:val="1"/>
      </w:numPr>
      <w:adjustRightInd w:val="0"/>
      <w:snapToGrid w:val="0"/>
      <w:spacing w:before="200" w:after="200"/>
      <w:ind w:left="0"/>
      <w:jc w:val="center"/>
      <w:outlineLvl w:val="1"/>
    </w:pPr>
    <w:rPr>
      <w:rFonts w:ascii="黑体" w:hAnsi="Cambria" w:eastAsia="黑体" w:cs="Times New Roman"/>
      <w:bCs/>
      <w:kern w:val="2"/>
      <w:sz w:val="32"/>
      <w:szCs w:val="30"/>
      <w:lang w:val="en-US" w:eastAsia="zh-CN" w:bidi="ar-SA"/>
    </w:rPr>
  </w:style>
  <w:style w:type="paragraph" w:styleId="4">
    <w:name w:val="heading 3"/>
    <w:next w:val="1"/>
    <w:link w:val="42"/>
    <w:qFormat/>
    <w:uiPriority w:val="9"/>
    <w:pPr>
      <w:keepNext/>
      <w:keepLines/>
      <w:numPr>
        <w:ilvl w:val="2"/>
        <w:numId w:val="1"/>
      </w:numPr>
      <w:adjustRightInd w:val="0"/>
      <w:snapToGrid w:val="0"/>
      <w:spacing w:line="588" w:lineRule="exact"/>
      <w:outlineLvl w:val="2"/>
    </w:pPr>
    <w:rPr>
      <w:rFonts w:ascii="楷体" w:hAnsi="楷体" w:eastAsia="楷体" w:cs="楷体"/>
      <w:bCs/>
      <w:kern w:val="2"/>
      <w:sz w:val="32"/>
      <w:szCs w:val="32"/>
      <w:lang w:val="en-US" w:eastAsia="zh-CN" w:bidi="ar-SA"/>
    </w:rPr>
  </w:style>
  <w:style w:type="paragraph" w:styleId="5">
    <w:name w:val="heading 4"/>
    <w:next w:val="1"/>
    <w:link w:val="43"/>
    <w:qFormat/>
    <w:uiPriority w:val="9"/>
    <w:pPr>
      <w:keepNext/>
      <w:keepLines/>
      <w:numPr>
        <w:ilvl w:val="3"/>
        <w:numId w:val="1"/>
      </w:numPr>
      <w:adjustRightInd w:val="0"/>
      <w:snapToGrid w:val="0"/>
      <w:spacing w:line="560" w:lineRule="exact"/>
      <w:outlineLvl w:val="3"/>
    </w:pPr>
    <w:rPr>
      <w:rFonts w:ascii="仿宋_GB2312" w:hAnsi="仿宋_GB2312" w:eastAsia="仿宋_GB2312" w:cs="仿宋_GB2312"/>
      <w:bCs/>
      <w:kern w:val="2"/>
      <w:sz w:val="32"/>
      <w:szCs w:val="32"/>
      <w:lang w:val="en-US" w:eastAsia="zh-CN" w:bidi="ar-SA"/>
    </w:rPr>
  </w:style>
  <w:style w:type="paragraph" w:styleId="6">
    <w:name w:val="heading 5"/>
    <w:basedOn w:val="5"/>
    <w:next w:val="1"/>
    <w:link w:val="44"/>
    <w:qFormat/>
    <w:uiPriority w:val="9"/>
    <w:pPr>
      <w:numPr>
        <w:ilvl w:val="4"/>
      </w:numPr>
      <w:outlineLvl w:val="4"/>
    </w:pPr>
  </w:style>
  <w:style w:type="paragraph" w:styleId="7">
    <w:name w:val="heading 6"/>
    <w:basedOn w:val="1"/>
    <w:next w:val="1"/>
    <w:link w:val="45"/>
    <w:qFormat/>
    <w:uiPriority w:val="9"/>
    <w:pPr>
      <w:keepNext/>
      <w:keepLines/>
      <w:spacing w:before="240" w:after="64" w:line="320" w:lineRule="auto"/>
      <w:ind w:firstLine="0" w:firstLineChars="0"/>
      <w:outlineLvl w:val="5"/>
    </w:pPr>
    <w:rPr>
      <w:rFonts w:ascii="Cambria" w:hAnsi="Cambria"/>
      <w:b/>
      <w:bCs/>
      <w:szCs w:val="24"/>
    </w:rPr>
  </w:style>
  <w:style w:type="paragraph" w:styleId="8">
    <w:name w:val="heading 7"/>
    <w:basedOn w:val="1"/>
    <w:next w:val="1"/>
    <w:link w:val="46"/>
    <w:qFormat/>
    <w:uiPriority w:val="9"/>
    <w:pPr>
      <w:keepNext/>
      <w:keepLines/>
      <w:spacing w:before="240" w:after="64" w:line="320" w:lineRule="auto"/>
      <w:ind w:firstLine="0" w:firstLineChars="0"/>
      <w:outlineLvl w:val="6"/>
    </w:pPr>
    <w:rPr>
      <w:b/>
      <w:bCs/>
      <w:szCs w:val="24"/>
    </w:rPr>
  </w:style>
  <w:style w:type="paragraph" w:styleId="9">
    <w:name w:val="heading 8"/>
    <w:basedOn w:val="1"/>
    <w:next w:val="1"/>
    <w:link w:val="47"/>
    <w:qFormat/>
    <w:uiPriority w:val="9"/>
    <w:pPr>
      <w:keepNext/>
      <w:keepLines/>
      <w:numPr>
        <w:ilvl w:val="7"/>
        <w:numId w:val="1"/>
      </w:numPr>
      <w:spacing w:before="240" w:after="64" w:line="320" w:lineRule="auto"/>
      <w:ind w:firstLine="0" w:firstLineChars="0"/>
      <w:outlineLvl w:val="7"/>
    </w:pPr>
    <w:rPr>
      <w:rFonts w:ascii="Cambria" w:hAnsi="Cambria"/>
      <w:szCs w:val="24"/>
    </w:rPr>
  </w:style>
  <w:style w:type="paragraph" w:styleId="10">
    <w:name w:val="heading 9"/>
    <w:basedOn w:val="1"/>
    <w:next w:val="1"/>
    <w:link w:val="48"/>
    <w:qFormat/>
    <w:uiPriority w:val="9"/>
    <w:pPr>
      <w:keepNext/>
      <w:keepLines/>
      <w:numPr>
        <w:ilvl w:val="8"/>
        <w:numId w:val="1"/>
      </w:numPr>
      <w:spacing w:before="240" w:after="64" w:line="320" w:lineRule="auto"/>
      <w:ind w:firstLine="0" w:firstLineChars="0"/>
      <w:outlineLvl w:val="8"/>
    </w:pPr>
    <w:rPr>
      <w:rFonts w:ascii="Cambria" w:hAnsi="Cambria"/>
      <w:szCs w:val="21"/>
    </w:rPr>
  </w:style>
  <w:style w:type="character" w:default="1" w:styleId="32">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widowControl w:val="0"/>
      <w:adjustRightInd/>
      <w:snapToGrid/>
      <w:spacing w:line="240" w:lineRule="auto"/>
      <w:ind w:left="2520" w:leftChars="1200" w:firstLine="0" w:firstLineChars="0"/>
    </w:pPr>
    <w:rPr>
      <w:rFonts w:asciiTheme="minorHAnsi" w:hAnsiTheme="minorHAnsi" w:eastAsiaTheme="minorEastAsia" w:cstheme="minorBidi"/>
      <w:sz w:val="21"/>
    </w:rPr>
  </w:style>
  <w:style w:type="paragraph" w:styleId="12">
    <w:name w:val="caption"/>
    <w:basedOn w:val="1"/>
    <w:next w:val="1"/>
    <w:link w:val="95"/>
    <w:qFormat/>
    <w:uiPriority w:val="35"/>
    <w:pPr>
      <w:widowControl w:val="0"/>
      <w:adjustRightInd/>
      <w:snapToGrid/>
    </w:pPr>
    <w:rPr>
      <w:rFonts w:ascii="等线 Light" w:hAnsi="等线 Light" w:eastAsia="黑体"/>
      <w:sz w:val="20"/>
      <w:szCs w:val="20"/>
    </w:rPr>
  </w:style>
  <w:style w:type="paragraph" w:styleId="13">
    <w:name w:val="annotation text"/>
    <w:basedOn w:val="1"/>
    <w:link w:val="65"/>
    <w:unhideWhenUsed/>
    <w:qFormat/>
    <w:uiPriority w:val="99"/>
    <w:pPr>
      <w:jc w:val="left"/>
    </w:pPr>
  </w:style>
  <w:style w:type="paragraph" w:styleId="14">
    <w:name w:val="Body Text"/>
    <w:basedOn w:val="1"/>
    <w:link w:val="80"/>
    <w:unhideWhenUsed/>
    <w:qFormat/>
    <w:uiPriority w:val="1"/>
    <w:pPr>
      <w:widowControl w:val="0"/>
      <w:spacing w:after="120"/>
    </w:pPr>
    <w:rPr>
      <w:rFonts w:ascii="Times New Roman"/>
      <w:sz w:val="28"/>
      <w:szCs w:val="24"/>
    </w:rPr>
  </w:style>
  <w:style w:type="paragraph" w:styleId="15">
    <w:name w:val="Body Text Indent"/>
    <w:basedOn w:val="1"/>
    <w:link w:val="75"/>
    <w:unhideWhenUsed/>
    <w:qFormat/>
    <w:uiPriority w:val="99"/>
    <w:pPr>
      <w:spacing w:after="120"/>
      <w:ind w:left="420" w:leftChars="200"/>
    </w:pPr>
  </w:style>
  <w:style w:type="paragraph" w:styleId="16">
    <w:name w:val="toc 5"/>
    <w:basedOn w:val="1"/>
    <w:next w:val="1"/>
    <w:unhideWhenUsed/>
    <w:qFormat/>
    <w:uiPriority w:val="39"/>
    <w:pPr>
      <w:widowControl w:val="0"/>
      <w:adjustRightInd/>
      <w:snapToGrid/>
      <w:spacing w:line="240" w:lineRule="auto"/>
      <w:ind w:left="1680" w:leftChars="800" w:firstLine="0" w:firstLineChars="0"/>
    </w:pPr>
    <w:rPr>
      <w:rFonts w:asciiTheme="minorHAnsi" w:hAnsiTheme="minorHAnsi" w:eastAsiaTheme="minorEastAsia" w:cstheme="minorBidi"/>
      <w:sz w:val="21"/>
    </w:rPr>
  </w:style>
  <w:style w:type="paragraph" w:styleId="17">
    <w:name w:val="toc 3"/>
    <w:next w:val="1"/>
    <w:unhideWhenUsed/>
    <w:qFormat/>
    <w:uiPriority w:val="39"/>
    <w:pPr>
      <w:adjustRightInd w:val="0"/>
      <w:snapToGrid w:val="0"/>
      <w:spacing w:before="50" w:beforeLines="50" w:after="50" w:afterLines="50"/>
      <w:ind w:left="680"/>
      <w:jc w:val="both"/>
    </w:pPr>
    <w:rPr>
      <w:rFonts w:ascii="等线" w:hAnsi="等线" w:eastAsia="黑体" w:cs="Times New Roman"/>
      <w:sz w:val="24"/>
      <w:szCs w:val="22"/>
      <w:lang w:val="en-US" w:eastAsia="zh-CN" w:bidi="ar-SA"/>
    </w:rPr>
  </w:style>
  <w:style w:type="paragraph" w:styleId="18">
    <w:name w:val="toc 8"/>
    <w:basedOn w:val="1"/>
    <w:next w:val="1"/>
    <w:unhideWhenUsed/>
    <w:qFormat/>
    <w:uiPriority w:val="39"/>
    <w:pPr>
      <w:widowControl w:val="0"/>
      <w:adjustRightInd/>
      <w:snapToGrid/>
      <w:spacing w:line="240" w:lineRule="auto"/>
      <w:ind w:left="2940" w:leftChars="1400" w:firstLine="0" w:firstLineChars="0"/>
    </w:pPr>
    <w:rPr>
      <w:rFonts w:asciiTheme="minorHAnsi" w:hAnsiTheme="minorHAnsi" w:eastAsiaTheme="minorEastAsia" w:cstheme="minorBidi"/>
      <w:sz w:val="21"/>
    </w:rPr>
  </w:style>
  <w:style w:type="paragraph" w:styleId="19">
    <w:name w:val="Balloon Text"/>
    <w:basedOn w:val="1"/>
    <w:link w:val="70"/>
    <w:unhideWhenUsed/>
    <w:qFormat/>
    <w:uiPriority w:val="99"/>
    <w:pPr>
      <w:widowControl w:val="0"/>
      <w:adjustRightInd/>
      <w:snapToGrid/>
      <w:spacing w:afterLines="50" w:line="240" w:lineRule="auto"/>
      <w:ind w:firstLine="480"/>
    </w:pPr>
    <w:rPr>
      <w:rFonts w:asciiTheme="minorHAnsi" w:hAnsiTheme="minorHAnsi" w:eastAsiaTheme="minorEastAsia" w:cstheme="minorBidi"/>
      <w:sz w:val="18"/>
      <w:szCs w:val="18"/>
    </w:rPr>
  </w:style>
  <w:style w:type="paragraph" w:styleId="20">
    <w:name w:val="footer"/>
    <w:basedOn w:val="1"/>
    <w:link w:val="51"/>
    <w:unhideWhenUsed/>
    <w:qFormat/>
    <w:uiPriority w:val="99"/>
    <w:pPr>
      <w:tabs>
        <w:tab w:val="center" w:pos="4153"/>
        <w:tab w:val="right" w:pos="8306"/>
      </w:tabs>
      <w:jc w:val="left"/>
    </w:pPr>
    <w:rPr>
      <w:rFonts w:asciiTheme="minorHAnsi" w:hAnsiTheme="minorHAnsi" w:eastAsiaTheme="minorEastAsia" w:cstheme="minorBidi"/>
      <w:sz w:val="18"/>
      <w:szCs w:val="18"/>
    </w:rPr>
  </w:style>
  <w:style w:type="paragraph" w:styleId="21">
    <w:name w:val="header"/>
    <w:link w:val="58"/>
    <w:unhideWhenUsed/>
    <w:qFormat/>
    <w:uiPriority w:val="99"/>
    <w:pPr>
      <w:pBdr>
        <w:bottom w:val="single" w:color="auto" w:sz="6" w:space="1"/>
      </w:pBdr>
      <w:adjustRightInd w:val="0"/>
      <w:snapToGrid w:val="0"/>
    </w:pPr>
    <w:rPr>
      <w:rFonts w:ascii="宋体" w:eastAsia="宋体" w:hAnsiTheme="minorHAnsi" w:cstheme="minorBidi"/>
      <w:kern w:val="2"/>
      <w:sz w:val="18"/>
      <w:szCs w:val="18"/>
      <w:lang w:val="en-US" w:eastAsia="zh-CN" w:bidi="ar-SA"/>
    </w:rPr>
  </w:style>
  <w:style w:type="paragraph" w:styleId="22">
    <w:name w:val="toc 1"/>
    <w:next w:val="1"/>
    <w:unhideWhenUsed/>
    <w:qFormat/>
    <w:uiPriority w:val="39"/>
    <w:pPr>
      <w:adjustRightInd w:val="0"/>
      <w:snapToGrid w:val="0"/>
      <w:spacing w:line="588" w:lineRule="exact"/>
      <w:jc w:val="both"/>
    </w:pPr>
    <w:rPr>
      <w:rFonts w:ascii="楷体" w:hAnsi="楷体" w:eastAsia="楷体" w:cs="楷体"/>
      <w:sz w:val="32"/>
      <w:szCs w:val="32"/>
      <w:lang w:val="en-US" w:eastAsia="zh-CN" w:bidi="ar-SA"/>
    </w:rPr>
  </w:style>
  <w:style w:type="paragraph" w:styleId="23">
    <w:name w:val="toc 4"/>
    <w:basedOn w:val="1"/>
    <w:next w:val="1"/>
    <w:unhideWhenUsed/>
    <w:qFormat/>
    <w:uiPriority w:val="39"/>
    <w:pPr>
      <w:widowControl w:val="0"/>
      <w:adjustRightInd/>
      <w:snapToGrid/>
      <w:spacing w:line="240" w:lineRule="auto"/>
      <w:ind w:left="1260" w:leftChars="600" w:firstLine="0" w:firstLineChars="0"/>
    </w:pPr>
    <w:rPr>
      <w:rFonts w:asciiTheme="minorHAnsi" w:hAnsiTheme="minorHAnsi" w:eastAsiaTheme="minorEastAsia" w:cstheme="minorBidi"/>
      <w:sz w:val="21"/>
    </w:rPr>
  </w:style>
  <w:style w:type="paragraph" w:styleId="24">
    <w:name w:val="toc 6"/>
    <w:basedOn w:val="1"/>
    <w:next w:val="1"/>
    <w:unhideWhenUsed/>
    <w:qFormat/>
    <w:uiPriority w:val="39"/>
    <w:pPr>
      <w:widowControl w:val="0"/>
      <w:adjustRightInd/>
      <w:snapToGrid/>
      <w:spacing w:line="240" w:lineRule="auto"/>
      <w:ind w:left="2100" w:leftChars="1000" w:firstLine="0" w:firstLineChars="0"/>
    </w:pPr>
    <w:rPr>
      <w:rFonts w:asciiTheme="minorHAnsi" w:hAnsiTheme="minorHAnsi" w:eastAsiaTheme="minorEastAsia" w:cstheme="minorBidi"/>
      <w:sz w:val="21"/>
    </w:rPr>
  </w:style>
  <w:style w:type="paragraph" w:styleId="25">
    <w:name w:val="toc 2"/>
    <w:next w:val="1"/>
    <w:unhideWhenUsed/>
    <w:qFormat/>
    <w:uiPriority w:val="39"/>
    <w:pPr>
      <w:adjustRightInd w:val="0"/>
      <w:snapToGrid w:val="0"/>
      <w:spacing w:line="500" w:lineRule="exact"/>
      <w:ind w:left="454"/>
      <w:jc w:val="both"/>
    </w:pPr>
    <w:rPr>
      <w:rFonts w:ascii="楷体" w:hAnsi="楷体" w:eastAsia="楷体" w:cs="楷体"/>
      <w:sz w:val="32"/>
      <w:szCs w:val="32"/>
      <w:lang w:val="en-US" w:eastAsia="zh-CN" w:bidi="ar-SA"/>
    </w:rPr>
  </w:style>
  <w:style w:type="paragraph" w:styleId="26">
    <w:name w:val="toc 9"/>
    <w:basedOn w:val="1"/>
    <w:next w:val="1"/>
    <w:unhideWhenUsed/>
    <w:qFormat/>
    <w:uiPriority w:val="39"/>
    <w:pPr>
      <w:widowControl w:val="0"/>
      <w:adjustRightInd/>
      <w:snapToGrid/>
      <w:spacing w:line="240" w:lineRule="auto"/>
      <w:ind w:left="3360" w:leftChars="1600" w:firstLine="0" w:firstLineChars="0"/>
    </w:pPr>
    <w:rPr>
      <w:rFonts w:asciiTheme="minorHAnsi" w:hAnsiTheme="minorHAnsi" w:eastAsiaTheme="minorEastAsia" w:cstheme="minorBidi"/>
      <w:sz w:val="21"/>
    </w:rPr>
  </w:style>
  <w:style w:type="paragraph" w:styleId="27">
    <w:name w:val="HTML Preformatted"/>
    <w:basedOn w:val="1"/>
    <w:link w:val="74"/>
    <w:unhideWhenUsed/>
    <w:qFormat/>
    <w:uiPriority w:val="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before="156" w:after="156" w:afterLines="50"/>
      <w:ind w:firstLine="480"/>
      <w:jc w:val="left"/>
    </w:pPr>
    <w:rPr>
      <w:rFonts w:hint="eastAsia"/>
      <w:kern w:val="0"/>
      <w:szCs w:val="24"/>
    </w:rPr>
  </w:style>
  <w:style w:type="paragraph" w:styleId="28">
    <w:name w:val="Normal (Web)"/>
    <w:basedOn w:val="1"/>
    <w:unhideWhenUsed/>
    <w:qFormat/>
    <w:uiPriority w:val="99"/>
    <w:pPr>
      <w:widowControl w:val="0"/>
      <w:adjustRightInd/>
      <w:snapToGrid/>
      <w:spacing w:afterLines="50"/>
      <w:ind w:firstLine="480"/>
      <w:jc w:val="left"/>
    </w:pPr>
    <w:rPr>
      <w:kern w:val="0"/>
    </w:rPr>
  </w:style>
  <w:style w:type="paragraph" w:styleId="29">
    <w:name w:val="annotation subject"/>
    <w:basedOn w:val="13"/>
    <w:next w:val="13"/>
    <w:link w:val="66"/>
    <w:unhideWhenUsed/>
    <w:qFormat/>
    <w:uiPriority w:val="99"/>
    <w:rPr>
      <w:b/>
      <w:bCs/>
    </w:rPr>
  </w:style>
  <w:style w:type="table" w:styleId="31">
    <w:name w:val="Table Grid"/>
    <w:basedOn w:val="30"/>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qFormat/>
    <w:uiPriority w:val="22"/>
    <w:rPr>
      <w:b/>
      <w:bCs/>
    </w:rPr>
  </w:style>
  <w:style w:type="character" w:styleId="34">
    <w:name w:val="FollowedHyperlink"/>
    <w:basedOn w:val="32"/>
    <w:semiHidden/>
    <w:unhideWhenUsed/>
    <w:qFormat/>
    <w:uiPriority w:val="99"/>
    <w:rPr>
      <w:color w:val="954F72"/>
      <w:u w:val="single"/>
    </w:rPr>
  </w:style>
  <w:style w:type="character" w:styleId="35">
    <w:name w:val="Emphasis"/>
    <w:qFormat/>
    <w:uiPriority w:val="20"/>
    <w:rPr>
      <w:i/>
      <w:iCs/>
    </w:rPr>
  </w:style>
  <w:style w:type="character" w:styleId="36">
    <w:name w:val="Hyperlink"/>
    <w:unhideWhenUsed/>
    <w:qFormat/>
    <w:uiPriority w:val="99"/>
    <w:rPr>
      <w:color w:val="0563C1"/>
      <w:u w:val="single"/>
    </w:rPr>
  </w:style>
  <w:style w:type="character" w:styleId="37">
    <w:name w:val="annotation reference"/>
    <w:unhideWhenUsed/>
    <w:qFormat/>
    <w:uiPriority w:val="99"/>
    <w:rPr>
      <w:sz w:val="21"/>
      <w:szCs w:val="21"/>
    </w:rPr>
  </w:style>
  <w:style w:type="character" w:customStyle="1" w:styleId="38">
    <w:name w:val="无间隔 字符"/>
    <w:link w:val="39"/>
    <w:qFormat/>
    <w:uiPriority w:val="1"/>
    <w:rPr>
      <w:sz w:val="24"/>
      <w:szCs w:val="32"/>
    </w:rPr>
  </w:style>
  <w:style w:type="paragraph" w:styleId="39">
    <w:name w:val="No Spacing"/>
    <w:link w:val="38"/>
    <w:qFormat/>
    <w:uiPriority w:val="1"/>
    <w:pPr>
      <w:widowControl w:val="0"/>
      <w:jc w:val="both"/>
    </w:pPr>
    <w:rPr>
      <w:rFonts w:asciiTheme="minorHAnsi" w:hAnsiTheme="minorHAnsi" w:eastAsiaTheme="minorEastAsia" w:cstheme="minorBidi"/>
      <w:kern w:val="2"/>
      <w:sz w:val="24"/>
      <w:szCs w:val="32"/>
      <w:lang w:val="en-US" w:eastAsia="zh-CN" w:bidi="ar-SA"/>
    </w:rPr>
  </w:style>
  <w:style w:type="character" w:customStyle="1" w:styleId="40">
    <w:name w:val="标题 1 字符"/>
    <w:basedOn w:val="32"/>
    <w:link w:val="2"/>
    <w:qFormat/>
    <w:uiPriority w:val="9"/>
    <w:rPr>
      <w:rFonts w:ascii="方正小标宋简体" w:hAnsi="方正小标宋简体" w:eastAsia="方正小标宋简体" w:cs="方正小标宋简体"/>
      <w:bCs/>
      <w:kern w:val="44"/>
      <w:sz w:val="36"/>
      <w:szCs w:val="36"/>
    </w:rPr>
  </w:style>
  <w:style w:type="character" w:customStyle="1" w:styleId="41">
    <w:name w:val="标题 2 字符"/>
    <w:basedOn w:val="32"/>
    <w:link w:val="3"/>
    <w:qFormat/>
    <w:uiPriority w:val="9"/>
    <w:rPr>
      <w:rFonts w:ascii="黑体" w:hAnsi="Cambria" w:eastAsia="黑体"/>
      <w:bCs/>
      <w:kern w:val="2"/>
      <w:sz w:val="32"/>
      <w:szCs w:val="30"/>
    </w:rPr>
  </w:style>
  <w:style w:type="character" w:customStyle="1" w:styleId="42">
    <w:name w:val="标题 3 字符"/>
    <w:basedOn w:val="32"/>
    <w:link w:val="4"/>
    <w:qFormat/>
    <w:uiPriority w:val="9"/>
    <w:rPr>
      <w:rFonts w:ascii="楷体" w:hAnsi="楷体" w:eastAsia="楷体" w:cs="楷体"/>
      <w:bCs/>
      <w:kern w:val="2"/>
      <w:sz w:val="32"/>
      <w:szCs w:val="32"/>
    </w:rPr>
  </w:style>
  <w:style w:type="character" w:customStyle="1" w:styleId="43">
    <w:name w:val="标题 4 字符"/>
    <w:basedOn w:val="32"/>
    <w:link w:val="5"/>
    <w:qFormat/>
    <w:uiPriority w:val="9"/>
    <w:rPr>
      <w:rFonts w:ascii="仿宋_GB2312" w:hAnsi="仿宋_GB2312" w:eastAsia="仿宋_GB2312" w:cs="仿宋_GB2312"/>
      <w:bCs/>
      <w:kern w:val="2"/>
      <w:sz w:val="32"/>
      <w:szCs w:val="32"/>
    </w:rPr>
  </w:style>
  <w:style w:type="character" w:customStyle="1" w:styleId="44">
    <w:name w:val="标题 5 字符"/>
    <w:basedOn w:val="32"/>
    <w:link w:val="6"/>
    <w:qFormat/>
    <w:uiPriority w:val="9"/>
    <w:rPr>
      <w:rFonts w:ascii="仿宋_GB2312" w:hAnsi="仿宋_GB2312" w:eastAsia="仿宋_GB2312" w:cs="仿宋_GB2312"/>
      <w:bCs/>
      <w:kern w:val="2"/>
      <w:sz w:val="32"/>
      <w:szCs w:val="32"/>
    </w:rPr>
  </w:style>
  <w:style w:type="character" w:customStyle="1" w:styleId="45">
    <w:name w:val="标题 6 字符"/>
    <w:basedOn w:val="32"/>
    <w:link w:val="7"/>
    <w:qFormat/>
    <w:uiPriority w:val="9"/>
    <w:rPr>
      <w:rFonts w:ascii="Cambria" w:hAnsi="Cambria" w:eastAsia="宋体" w:cs="Times New Roman"/>
      <w:b/>
      <w:bCs/>
      <w:sz w:val="24"/>
      <w:szCs w:val="24"/>
    </w:rPr>
  </w:style>
  <w:style w:type="character" w:customStyle="1" w:styleId="46">
    <w:name w:val="标题 7 字符"/>
    <w:basedOn w:val="32"/>
    <w:link w:val="8"/>
    <w:qFormat/>
    <w:uiPriority w:val="9"/>
    <w:rPr>
      <w:rFonts w:ascii="Times New Roman" w:hAnsi="Times New Roman" w:eastAsia="宋体" w:cs="Times New Roman"/>
      <w:b/>
      <w:bCs/>
      <w:sz w:val="24"/>
      <w:szCs w:val="24"/>
    </w:rPr>
  </w:style>
  <w:style w:type="character" w:customStyle="1" w:styleId="47">
    <w:name w:val="标题 8 字符"/>
    <w:basedOn w:val="32"/>
    <w:link w:val="9"/>
    <w:qFormat/>
    <w:uiPriority w:val="9"/>
    <w:rPr>
      <w:rFonts w:ascii="Cambria" w:hAnsi="Cambria" w:eastAsia="仿宋_GB2312"/>
      <w:kern w:val="2"/>
      <w:sz w:val="32"/>
      <w:szCs w:val="24"/>
    </w:rPr>
  </w:style>
  <w:style w:type="character" w:customStyle="1" w:styleId="48">
    <w:name w:val="标题 9 字符"/>
    <w:basedOn w:val="32"/>
    <w:link w:val="10"/>
    <w:qFormat/>
    <w:uiPriority w:val="9"/>
    <w:rPr>
      <w:rFonts w:ascii="Cambria" w:hAnsi="Cambria" w:eastAsia="仿宋_GB2312"/>
      <w:kern w:val="2"/>
      <w:sz w:val="32"/>
      <w:szCs w:val="21"/>
    </w:rPr>
  </w:style>
  <w:style w:type="character" w:customStyle="1" w:styleId="49">
    <w:name w:val="表格正文 字符"/>
    <w:link w:val="50"/>
    <w:qFormat/>
    <w:uiPriority w:val="0"/>
    <w:rPr>
      <w:rFonts w:ascii="仿宋_GB2312" w:hAnsi="仿宋_GB2312" w:eastAsia="仿宋_GB2312" w:cs="仿宋_GB2312"/>
      <w:kern w:val="2"/>
      <w:sz w:val="28"/>
      <w:szCs w:val="22"/>
    </w:rPr>
  </w:style>
  <w:style w:type="paragraph" w:customStyle="1" w:styleId="50">
    <w:name w:val="表格正文"/>
    <w:link w:val="49"/>
    <w:qFormat/>
    <w:uiPriority w:val="0"/>
    <w:pPr>
      <w:adjustRightInd w:val="0"/>
      <w:snapToGrid w:val="0"/>
      <w:spacing w:line="500" w:lineRule="exact"/>
      <w:ind w:firstLine="200" w:firstLineChars="200"/>
    </w:pPr>
    <w:rPr>
      <w:rFonts w:ascii="仿宋_GB2312" w:hAnsi="仿宋_GB2312" w:eastAsia="仿宋_GB2312" w:cs="仿宋_GB2312"/>
      <w:kern w:val="2"/>
      <w:sz w:val="28"/>
      <w:szCs w:val="22"/>
      <w:lang w:val="en-US" w:eastAsia="zh-CN" w:bidi="ar-SA"/>
    </w:rPr>
  </w:style>
  <w:style w:type="character" w:customStyle="1" w:styleId="51">
    <w:name w:val="页脚 字符"/>
    <w:link w:val="20"/>
    <w:qFormat/>
    <w:uiPriority w:val="99"/>
    <w:rPr>
      <w:sz w:val="18"/>
      <w:szCs w:val="18"/>
    </w:rPr>
  </w:style>
  <w:style w:type="character" w:customStyle="1" w:styleId="52">
    <w:name w:val="页脚 字符1"/>
    <w:basedOn w:val="32"/>
    <w:semiHidden/>
    <w:qFormat/>
    <w:uiPriority w:val="99"/>
    <w:rPr>
      <w:rFonts w:ascii="Times New Roman" w:hAnsi="Times New Roman" w:eastAsia="宋体" w:cs="Times New Roman"/>
      <w:sz w:val="18"/>
      <w:szCs w:val="18"/>
    </w:rPr>
  </w:style>
  <w:style w:type="paragraph" w:customStyle="1" w:styleId="53">
    <w:name w:val="封面"/>
    <w:basedOn w:val="1"/>
    <w:link w:val="54"/>
    <w:qFormat/>
    <w:uiPriority w:val="0"/>
    <w:pPr>
      <w:spacing w:before="400" w:beforeLines="400"/>
      <w:ind w:firstLine="0" w:firstLineChars="0"/>
      <w:jc w:val="center"/>
    </w:pPr>
    <w:rPr>
      <w:rFonts w:ascii="黑体" w:eastAsia="黑体"/>
      <w:b/>
      <w:spacing w:val="80"/>
      <w:sz w:val="72"/>
      <w:szCs w:val="72"/>
    </w:rPr>
  </w:style>
  <w:style w:type="character" w:customStyle="1" w:styleId="54">
    <w:name w:val="封面 字符"/>
    <w:link w:val="53"/>
    <w:qFormat/>
    <w:uiPriority w:val="0"/>
    <w:rPr>
      <w:rFonts w:ascii="黑体" w:hAnsi="Times New Roman" w:eastAsia="黑体" w:cs="Times New Roman"/>
      <w:b/>
      <w:spacing w:val="80"/>
      <w:sz w:val="72"/>
      <w:szCs w:val="72"/>
    </w:rPr>
  </w:style>
  <w:style w:type="character" w:customStyle="1" w:styleId="55">
    <w:name w:val="明显强调1"/>
    <w:qFormat/>
    <w:uiPriority w:val="21"/>
    <w:rPr>
      <w:i/>
      <w:iCs/>
      <w:color w:val="4472C4"/>
    </w:rPr>
  </w:style>
  <w:style w:type="paragraph" w:customStyle="1" w:styleId="56">
    <w:name w:val="附表"/>
    <w:next w:val="1"/>
    <w:link w:val="57"/>
    <w:qFormat/>
    <w:uiPriority w:val="0"/>
    <w:pPr>
      <w:keepNext/>
      <w:pageBreakBefore/>
      <w:adjustRightInd w:val="0"/>
      <w:snapToGrid w:val="0"/>
      <w:spacing w:before="100" w:beforeLines="100"/>
      <w:jc w:val="both"/>
      <w:outlineLvl w:val="0"/>
    </w:pPr>
    <w:rPr>
      <w:rFonts w:ascii="黑体" w:hAnsi="Times New Roman" w:eastAsia="黑体" w:cs="Times New Roman"/>
      <w:b/>
      <w:bCs/>
      <w:kern w:val="44"/>
      <w:sz w:val="36"/>
      <w:szCs w:val="44"/>
      <w:lang w:val="en-US" w:eastAsia="zh-CN" w:bidi="ar-SA"/>
    </w:rPr>
  </w:style>
  <w:style w:type="character" w:customStyle="1" w:styleId="57">
    <w:name w:val="附表 字符"/>
    <w:link w:val="56"/>
    <w:qFormat/>
    <w:uiPriority w:val="0"/>
    <w:rPr>
      <w:rFonts w:ascii="黑体" w:hAnsi="Times New Roman" w:eastAsia="黑体" w:cs="Times New Roman"/>
      <w:b/>
      <w:bCs/>
      <w:kern w:val="44"/>
      <w:sz w:val="36"/>
      <w:szCs w:val="44"/>
    </w:rPr>
  </w:style>
  <w:style w:type="character" w:customStyle="1" w:styleId="58">
    <w:name w:val="页眉 字符"/>
    <w:link w:val="21"/>
    <w:qFormat/>
    <w:uiPriority w:val="99"/>
    <w:rPr>
      <w:rFonts w:ascii="宋体" w:eastAsia="宋体"/>
      <w:sz w:val="18"/>
      <w:szCs w:val="18"/>
    </w:rPr>
  </w:style>
  <w:style w:type="character" w:customStyle="1" w:styleId="59">
    <w:name w:val="页眉 字符1"/>
    <w:basedOn w:val="32"/>
    <w:semiHidden/>
    <w:qFormat/>
    <w:uiPriority w:val="99"/>
    <w:rPr>
      <w:rFonts w:ascii="Times New Roman" w:hAnsi="Times New Roman" w:eastAsia="宋体" w:cs="Times New Roman"/>
      <w:sz w:val="18"/>
      <w:szCs w:val="18"/>
    </w:rPr>
  </w:style>
  <w:style w:type="table" w:customStyle="1" w:styleId="60">
    <w:name w:val="样式1"/>
    <w:basedOn w:val="30"/>
    <w:qFormat/>
    <w:uiPriority w:val="99"/>
    <w:pPr>
      <w:adjustRightInd w:val="0"/>
      <w:snapToGrid w:val="0"/>
      <w:jc w:val="center"/>
    </w:pPr>
    <w:rPr>
      <w:rFonts w:ascii="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cantSplit/>
    </w:trPr>
    <w:tcPr>
      <w:vAlign w:val="center"/>
    </w:tcPr>
    <w:tblStylePr w:type="firstRow">
      <w:pPr>
        <w:keepNext/>
        <w:keepLines w:val="0"/>
        <w:pageBreakBefore w:val="0"/>
        <w:widowControl/>
        <w:suppressLineNumbers w:val="0"/>
        <w:suppressAutoHyphens w:val="0"/>
        <w:kinsoku/>
        <w:wordWrap/>
        <w:overflowPunct/>
        <w:topLinePunct w:val="0"/>
        <w:autoSpaceDE/>
        <w:autoSpaceDN/>
        <w:adjustRightInd w:val="0"/>
        <w:snapToGrid w:val="0"/>
        <w:contextualSpacing w:val="0"/>
        <w:jc w:val="center"/>
      </w:pPr>
      <w:rPr>
        <w:rFonts w:eastAsia="宋体"/>
        <w:b/>
        <w:sz w:val="21"/>
      </w:rPr>
      <w:tblPr/>
      <w:trPr>
        <w:tblHeader/>
      </w:trPr>
      <w:tcPr>
        <w:shd w:val="clear" w:color="auto" w:fill="BFBFBF"/>
      </w:tcPr>
    </w:tblStylePr>
  </w:style>
  <w:style w:type="paragraph" w:customStyle="1" w:styleId="61">
    <w:name w:val="TOC 标题1"/>
    <w:basedOn w:val="2"/>
    <w:next w:val="1"/>
    <w:qFormat/>
    <w:uiPriority w:val="39"/>
    <w:pPr>
      <w:numPr>
        <w:numId w:val="0"/>
      </w:numPr>
      <w:spacing w:beforeAutospacing="1"/>
      <w:outlineLvl w:val="9"/>
    </w:pPr>
    <w:rPr>
      <w:rFonts w:ascii="等线 Light" w:hAnsi="等线 Light"/>
      <w:b/>
      <w:bCs w:val="0"/>
      <w:kern w:val="0"/>
      <w:sz w:val="44"/>
      <w:szCs w:val="32"/>
    </w:rPr>
  </w:style>
  <w:style w:type="paragraph" w:customStyle="1" w:styleId="62">
    <w:name w:val="图名"/>
    <w:basedOn w:val="63"/>
    <w:next w:val="1"/>
    <w:link w:val="64"/>
    <w:qFormat/>
    <w:uiPriority w:val="0"/>
    <w:pPr>
      <w:keepNext w:val="0"/>
    </w:pPr>
  </w:style>
  <w:style w:type="paragraph" w:customStyle="1" w:styleId="63">
    <w:name w:val="表名"/>
    <w:next w:val="50"/>
    <w:link w:val="76"/>
    <w:qFormat/>
    <w:uiPriority w:val="0"/>
    <w:pPr>
      <w:keepNext/>
      <w:keepLines/>
      <w:adjustRightInd w:val="0"/>
      <w:snapToGrid w:val="0"/>
      <w:spacing w:before="326" w:beforeLines="100" w:after="163" w:afterLines="50"/>
      <w:outlineLvl w:val="1"/>
    </w:pPr>
    <w:rPr>
      <w:rFonts w:ascii="黑体" w:hAnsi="黑体" w:eastAsia="仿宋_GB2312" w:cs="Times New Roman"/>
      <w:b/>
      <w:bCs/>
      <w:kern w:val="44"/>
      <w:sz w:val="24"/>
      <w:szCs w:val="44"/>
      <w:lang w:val="en-US" w:eastAsia="zh-CN" w:bidi="ar-SA"/>
    </w:rPr>
  </w:style>
  <w:style w:type="character" w:customStyle="1" w:styleId="64">
    <w:name w:val="图名 字符"/>
    <w:link w:val="62"/>
    <w:qFormat/>
    <w:uiPriority w:val="0"/>
    <w:rPr>
      <w:rFonts w:ascii="黑体" w:hAnsi="黑体" w:eastAsia="仿宋_GB2312"/>
      <w:b/>
      <w:bCs/>
      <w:kern w:val="44"/>
      <w:sz w:val="24"/>
      <w:szCs w:val="44"/>
    </w:rPr>
  </w:style>
  <w:style w:type="character" w:customStyle="1" w:styleId="65">
    <w:name w:val="批注文字 字符"/>
    <w:basedOn w:val="32"/>
    <w:link w:val="13"/>
    <w:qFormat/>
    <w:uiPriority w:val="99"/>
    <w:rPr>
      <w:rFonts w:ascii="Times New Roman" w:hAnsi="Times New Roman" w:eastAsia="宋体" w:cs="Times New Roman"/>
      <w:sz w:val="24"/>
    </w:rPr>
  </w:style>
  <w:style w:type="character" w:customStyle="1" w:styleId="66">
    <w:name w:val="批注主题 字符"/>
    <w:basedOn w:val="65"/>
    <w:link w:val="29"/>
    <w:qFormat/>
    <w:uiPriority w:val="99"/>
    <w:rPr>
      <w:rFonts w:ascii="Times New Roman" w:hAnsi="Times New Roman" w:eastAsia="宋体" w:cs="Times New Roman"/>
      <w:b/>
      <w:bCs/>
      <w:sz w:val="24"/>
    </w:rPr>
  </w:style>
  <w:style w:type="paragraph" w:customStyle="1" w:styleId="67">
    <w:name w:val="图片"/>
    <w:next w:val="62"/>
    <w:link w:val="68"/>
    <w:qFormat/>
    <w:uiPriority w:val="0"/>
    <w:pPr>
      <w:keepNext/>
      <w:widowControl w:val="0"/>
      <w:adjustRightInd w:val="0"/>
      <w:snapToGrid w:val="0"/>
      <w:spacing w:before="100" w:beforeLines="100" w:after="50" w:afterLines="50"/>
      <w:jc w:val="center"/>
    </w:pPr>
    <w:rPr>
      <w:rFonts w:ascii="Times New Roman" w:hAnsi="Times New Roman" w:eastAsia="宋体" w:cs="Times New Roman"/>
      <w:kern w:val="2"/>
      <w:sz w:val="24"/>
      <w:szCs w:val="22"/>
      <w:lang w:val="en-US" w:eastAsia="zh-CN" w:bidi="ar-SA"/>
    </w:rPr>
  </w:style>
  <w:style w:type="character" w:customStyle="1" w:styleId="68">
    <w:name w:val="图片 字符"/>
    <w:link w:val="67"/>
    <w:qFormat/>
    <w:uiPriority w:val="0"/>
    <w:rPr>
      <w:rFonts w:ascii="Times New Roman" w:hAnsi="Times New Roman" w:eastAsia="宋体" w:cs="Times New Roman"/>
      <w:sz w:val="24"/>
    </w:rPr>
  </w:style>
  <w:style w:type="character" w:customStyle="1" w:styleId="69">
    <w:name w:val="正文文本首行缩进 字符"/>
    <w:semiHidden/>
    <w:qFormat/>
    <w:uiPriority w:val="99"/>
  </w:style>
  <w:style w:type="character" w:customStyle="1" w:styleId="70">
    <w:name w:val="批注框文本 字符"/>
    <w:link w:val="19"/>
    <w:qFormat/>
    <w:uiPriority w:val="99"/>
    <w:rPr>
      <w:sz w:val="18"/>
      <w:szCs w:val="18"/>
    </w:rPr>
  </w:style>
  <w:style w:type="character" w:customStyle="1" w:styleId="71">
    <w:name w:val="批注框文本 字符1"/>
    <w:basedOn w:val="32"/>
    <w:semiHidden/>
    <w:qFormat/>
    <w:uiPriority w:val="99"/>
    <w:rPr>
      <w:rFonts w:ascii="Times New Roman" w:hAnsi="Times New Roman" w:eastAsia="宋体" w:cs="Times New Roman"/>
      <w:sz w:val="18"/>
      <w:szCs w:val="18"/>
    </w:rPr>
  </w:style>
  <w:style w:type="paragraph" w:styleId="72">
    <w:name w:val="List Paragraph"/>
    <w:basedOn w:val="1"/>
    <w:link w:val="73"/>
    <w:qFormat/>
    <w:uiPriority w:val="34"/>
    <w:pPr>
      <w:widowControl w:val="0"/>
      <w:adjustRightInd/>
      <w:snapToGrid/>
      <w:ind w:firstLine="420"/>
    </w:pPr>
  </w:style>
  <w:style w:type="character" w:customStyle="1" w:styleId="73">
    <w:name w:val="列表段落 字符"/>
    <w:link w:val="72"/>
    <w:qFormat/>
    <w:uiPriority w:val="34"/>
    <w:rPr>
      <w:rFonts w:ascii="Times New Roman" w:hAnsi="Times New Roman" w:eastAsia="宋体" w:cs="Times New Roman"/>
      <w:sz w:val="24"/>
    </w:rPr>
  </w:style>
  <w:style w:type="character" w:customStyle="1" w:styleId="74">
    <w:name w:val="HTML 预设格式 字符"/>
    <w:basedOn w:val="32"/>
    <w:link w:val="27"/>
    <w:qFormat/>
    <w:uiPriority w:val="99"/>
    <w:rPr>
      <w:rFonts w:ascii="宋体" w:hAnsi="宋体" w:eastAsia="宋体" w:cs="Times New Roman"/>
      <w:kern w:val="0"/>
      <w:sz w:val="24"/>
      <w:szCs w:val="24"/>
    </w:rPr>
  </w:style>
  <w:style w:type="character" w:customStyle="1" w:styleId="75">
    <w:name w:val="正文文本缩进 字符"/>
    <w:basedOn w:val="32"/>
    <w:link w:val="15"/>
    <w:qFormat/>
    <w:uiPriority w:val="99"/>
    <w:rPr>
      <w:rFonts w:ascii="Times New Roman" w:hAnsi="Times New Roman" w:eastAsia="宋体" w:cs="Times New Roman"/>
      <w:sz w:val="24"/>
    </w:rPr>
  </w:style>
  <w:style w:type="character" w:customStyle="1" w:styleId="76">
    <w:name w:val="表名 字符"/>
    <w:basedOn w:val="64"/>
    <w:link w:val="63"/>
    <w:qFormat/>
    <w:uiPriority w:val="0"/>
    <w:rPr>
      <w:rFonts w:ascii="黑体" w:hAnsi="黑体" w:eastAsia="仿宋_GB2312"/>
      <w:kern w:val="44"/>
      <w:sz w:val="24"/>
      <w:szCs w:val="44"/>
    </w:rPr>
  </w:style>
  <w:style w:type="character" w:customStyle="1" w:styleId="77">
    <w:name w:val="未处理的提及1"/>
    <w:basedOn w:val="32"/>
    <w:semiHidden/>
    <w:unhideWhenUsed/>
    <w:qFormat/>
    <w:uiPriority w:val="99"/>
    <w:rPr>
      <w:color w:val="605E5C"/>
      <w:shd w:val="clear" w:color="auto" w:fill="E1DFDD"/>
    </w:rPr>
  </w:style>
  <w:style w:type="table" w:customStyle="1" w:styleId="78">
    <w:name w:val="网格型浅色1"/>
    <w:basedOn w:val="30"/>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character" w:customStyle="1" w:styleId="79">
    <w:name w:val="正文首行缩进 Char"/>
    <w:basedOn w:val="32"/>
    <w:qFormat/>
    <w:uiPriority w:val="0"/>
    <w:rPr>
      <w:rFonts w:hint="eastAsia" w:ascii="黑体" w:hAnsi="宋体" w:eastAsia="黑体" w:cs="黑体"/>
      <w:color w:val="000000"/>
      <w:kern w:val="2"/>
      <w:sz w:val="28"/>
      <w:szCs w:val="24"/>
      <w:lang w:val="en-US" w:eastAsia="zh-CN" w:bidi="ar"/>
    </w:rPr>
  </w:style>
  <w:style w:type="character" w:customStyle="1" w:styleId="80">
    <w:name w:val="正文文本 字符"/>
    <w:basedOn w:val="32"/>
    <w:link w:val="14"/>
    <w:qFormat/>
    <w:uiPriority w:val="0"/>
    <w:rPr>
      <w:rFonts w:hint="eastAsia" w:ascii="黑体" w:hAnsi="宋体" w:eastAsia="黑体" w:cs="黑体"/>
      <w:color w:val="000000"/>
      <w:kern w:val="2"/>
      <w:sz w:val="21"/>
      <w:szCs w:val="24"/>
      <w:lang w:val="en-US" w:eastAsia="zh-CN" w:bidi="ar"/>
    </w:rPr>
  </w:style>
  <w:style w:type="character" w:customStyle="1" w:styleId="81">
    <w:name w:val="正文01 字符"/>
    <w:basedOn w:val="32"/>
    <w:link w:val="82"/>
    <w:qFormat/>
    <w:uiPriority w:val="0"/>
    <w:rPr>
      <w:rFonts w:hint="eastAsia" w:ascii="宋体" w:hAnsi="宋体" w:eastAsia="宋体" w:cs="宋体"/>
      <w:kern w:val="2"/>
      <w:sz w:val="24"/>
      <w:szCs w:val="24"/>
    </w:rPr>
  </w:style>
  <w:style w:type="paragraph" w:customStyle="1" w:styleId="82">
    <w:name w:val="正文01"/>
    <w:basedOn w:val="1"/>
    <w:link w:val="81"/>
    <w:qFormat/>
    <w:uiPriority w:val="0"/>
    <w:pPr>
      <w:widowControl w:val="0"/>
      <w:ind w:firstLine="480"/>
    </w:pPr>
    <w:rPr>
      <w:rFonts w:hint="eastAsia"/>
      <w:szCs w:val="24"/>
    </w:rPr>
  </w:style>
  <w:style w:type="paragraph" w:customStyle="1" w:styleId="83">
    <w:name w:val="msonormal"/>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4">
    <w:name w:val="font5"/>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5">
    <w:name w:val="font6"/>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6">
    <w:name w:val="xl65"/>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7">
    <w:name w:val="xl66"/>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8">
    <w:name w:val="xl67"/>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9">
    <w:name w:val="xl68"/>
    <w:basedOn w:val="1"/>
    <w:qFormat/>
    <w:uiPriority w:val="0"/>
    <w:pP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90">
    <w:name w:val="4级要点"/>
    <w:next w:val="1"/>
    <w:qFormat/>
    <w:uiPriority w:val="0"/>
    <w:pPr>
      <w:keepNext/>
      <w:adjustRightInd w:val="0"/>
      <w:snapToGrid w:val="0"/>
      <w:spacing w:before="163" w:beforeLines="50" w:after="163" w:afterLines="50" w:line="360" w:lineRule="auto"/>
      <w:ind w:left="85" w:firstLine="340"/>
    </w:pPr>
    <w:rPr>
      <w:rFonts w:ascii="宋体" w:hAnsi="Times New Roman" w:eastAsia="宋体" w:cs="Times New Roman"/>
      <w:b/>
      <w:kern w:val="2"/>
      <w:sz w:val="24"/>
      <w:szCs w:val="22"/>
      <w:lang w:val="en-US" w:eastAsia="zh-CN" w:bidi="ar-SA"/>
    </w:rPr>
  </w:style>
  <w:style w:type="paragraph" w:customStyle="1" w:styleId="91">
    <w:name w:val="5级要点"/>
    <w:next w:val="1"/>
    <w:qFormat/>
    <w:uiPriority w:val="0"/>
    <w:pPr>
      <w:adjustRightInd w:val="0"/>
      <w:snapToGrid w:val="0"/>
      <w:spacing w:before="50" w:beforeLines="50" w:after="50" w:afterLines="50" w:line="360" w:lineRule="auto"/>
      <w:ind w:firstLine="567"/>
    </w:pPr>
    <w:rPr>
      <w:rFonts w:ascii="宋体" w:hAnsi="Times New Roman" w:eastAsia="宋体" w:cs="Times New Roman"/>
      <w:b/>
      <w:kern w:val="2"/>
      <w:sz w:val="24"/>
      <w:szCs w:val="22"/>
      <w:lang w:val="en-US" w:eastAsia="zh-CN" w:bidi="ar-SA"/>
    </w:rPr>
  </w:style>
  <w:style w:type="paragraph" w:customStyle="1" w:styleId="92">
    <w:name w:val="Default"/>
    <w:qFormat/>
    <w:uiPriority w:val="0"/>
    <w:pPr>
      <w:widowControl w:val="0"/>
      <w:autoSpaceDE w:val="0"/>
      <w:autoSpaceDN w:val="0"/>
      <w:adjustRightInd w:val="0"/>
    </w:pPr>
    <w:rPr>
      <w:rFonts w:ascii="黑体" w:hAnsi="黑体" w:eastAsia="宋体" w:cs="黑体"/>
      <w:color w:val="000000"/>
      <w:sz w:val="24"/>
      <w:szCs w:val="24"/>
      <w:lang w:val="en-US" w:eastAsia="zh-CN" w:bidi="ar-SA"/>
    </w:rPr>
  </w:style>
  <w:style w:type="character" w:customStyle="1" w:styleId="93">
    <w:name w:val="表 字符"/>
    <w:link w:val="94"/>
    <w:qFormat/>
    <w:locked/>
    <w:uiPriority w:val="0"/>
    <w:rPr>
      <w:rFonts w:ascii="宋体" w:hAnsi="宋体"/>
      <w:kern w:val="2"/>
      <w:sz w:val="21"/>
      <w:szCs w:val="21"/>
    </w:rPr>
  </w:style>
  <w:style w:type="paragraph" w:customStyle="1" w:styleId="94">
    <w:name w:val="表"/>
    <w:basedOn w:val="1"/>
    <w:link w:val="93"/>
    <w:qFormat/>
    <w:uiPriority w:val="0"/>
    <w:pPr>
      <w:widowControl w:val="0"/>
      <w:adjustRightInd/>
      <w:snapToGrid/>
      <w:spacing w:line="240" w:lineRule="auto"/>
      <w:ind w:firstLine="0" w:firstLineChars="0"/>
    </w:pPr>
    <w:rPr>
      <w:sz w:val="21"/>
      <w:szCs w:val="21"/>
    </w:rPr>
  </w:style>
  <w:style w:type="character" w:customStyle="1" w:styleId="95">
    <w:name w:val="题注 字符"/>
    <w:link w:val="12"/>
    <w:qFormat/>
    <w:locked/>
    <w:uiPriority w:val="35"/>
    <w:rPr>
      <w:rFonts w:ascii="等线 Light" w:hAnsi="等线 Light" w:eastAsia="黑体"/>
      <w:kern w:val="2"/>
    </w:rPr>
  </w:style>
  <w:style w:type="paragraph" w:customStyle="1" w:styleId="96">
    <w:name w:val="表格"/>
    <w:basedOn w:val="1"/>
    <w:link w:val="97"/>
    <w:qFormat/>
    <w:uiPriority w:val="0"/>
    <w:pPr>
      <w:widowControl w:val="0"/>
      <w:adjustRightInd/>
      <w:snapToGrid/>
      <w:spacing w:line="580" w:lineRule="exact"/>
      <w:ind w:firstLine="0" w:firstLineChars="0"/>
      <w:jc w:val="center"/>
    </w:pPr>
    <w:rPr>
      <w:sz w:val="21"/>
      <w:szCs w:val="21"/>
    </w:rPr>
  </w:style>
  <w:style w:type="character" w:customStyle="1" w:styleId="97">
    <w:name w:val="表格 Char"/>
    <w:link w:val="96"/>
    <w:qFormat/>
    <w:locked/>
    <w:uiPriority w:val="0"/>
    <w:rPr>
      <w:rFonts w:ascii="宋体" w:hAnsi="宋体" w:eastAsia="仿宋_GB2312"/>
      <w:kern w:val="2"/>
      <w:sz w:val="21"/>
      <w:szCs w:val="21"/>
    </w:rPr>
  </w:style>
  <w:style w:type="paragraph" w:customStyle="1" w:styleId="98">
    <w:name w:val="专栏标题"/>
    <w:basedOn w:val="1"/>
    <w:link w:val="99"/>
    <w:qFormat/>
    <w:uiPriority w:val="0"/>
    <w:pPr>
      <w:spacing w:line="500" w:lineRule="exact"/>
      <w:ind w:firstLine="0" w:firstLineChars="0"/>
      <w:jc w:val="center"/>
    </w:pPr>
    <w:rPr>
      <w:b/>
      <w:bCs/>
      <w:sz w:val="28"/>
      <w:szCs w:val="20"/>
    </w:rPr>
  </w:style>
  <w:style w:type="character" w:customStyle="1" w:styleId="99">
    <w:name w:val="专栏标题 字符"/>
    <w:basedOn w:val="32"/>
    <w:link w:val="98"/>
    <w:qFormat/>
    <w:uiPriority w:val="0"/>
    <w:rPr>
      <w:rFonts w:ascii="宋体" w:hAnsi="宋体" w:eastAsia="仿宋_GB2312"/>
      <w:b/>
      <w:bCs/>
      <w:kern w:val="2"/>
      <w:sz w:val="28"/>
    </w:rPr>
  </w:style>
  <w:style w:type="paragraph" w:customStyle="1" w:styleId="100">
    <w:name w:val="_Style 2"/>
    <w:qFormat/>
    <w:uiPriority w:val="1"/>
    <w:pPr>
      <w:widowControl w:val="0"/>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101">
    <w:name w:val="专栏文字"/>
    <w:basedOn w:val="1"/>
    <w:link w:val="102"/>
    <w:qFormat/>
    <w:uiPriority w:val="0"/>
    <w:pPr>
      <w:widowControl w:val="0"/>
      <w:ind w:firstLine="420"/>
    </w:pPr>
    <w:rPr>
      <w:rFonts w:ascii="Times New Roman" w:hAnsi="Times New Roman"/>
      <w:sz w:val="21"/>
      <w:szCs w:val="20"/>
    </w:rPr>
  </w:style>
  <w:style w:type="character" w:customStyle="1" w:styleId="102">
    <w:name w:val="专栏文字 字符"/>
    <w:basedOn w:val="32"/>
    <w:link w:val="101"/>
    <w:qFormat/>
    <w:uiPriority w:val="0"/>
    <w:rPr>
      <w:rFonts w:eastAsia="仿宋_GB2312"/>
      <w:kern w:val="2"/>
      <w:sz w:val="21"/>
    </w:rPr>
  </w:style>
  <w:style w:type="paragraph" w:customStyle="1" w:styleId="103">
    <w:name w:val="专栏内容"/>
    <w:basedOn w:val="1"/>
    <w:link w:val="104"/>
    <w:qFormat/>
    <w:uiPriority w:val="0"/>
    <w:pPr>
      <w:widowControl w:val="0"/>
      <w:ind w:firstLine="422"/>
    </w:pPr>
    <w:rPr>
      <w:rFonts w:ascii="Times New Roman" w:hAnsi="Times New Roman"/>
      <w:bCs/>
      <w:sz w:val="21"/>
      <w:szCs w:val="20"/>
    </w:rPr>
  </w:style>
  <w:style w:type="character" w:customStyle="1" w:styleId="104">
    <w:name w:val="专栏内容 字符"/>
    <w:basedOn w:val="32"/>
    <w:link w:val="103"/>
    <w:qFormat/>
    <w:uiPriority w:val="0"/>
    <w:rPr>
      <w:rFonts w:eastAsia="仿宋_GB2312"/>
      <w:bCs/>
      <w:kern w:val="2"/>
      <w:sz w:val="21"/>
    </w:rPr>
  </w:style>
  <w:style w:type="paragraph" w:customStyle="1" w:styleId="105">
    <w:name w:val="注脚"/>
    <w:basedOn w:val="1"/>
    <w:link w:val="106"/>
    <w:qFormat/>
    <w:uiPriority w:val="0"/>
    <w:pPr>
      <w:ind w:firstLine="0" w:firstLineChars="0"/>
    </w:pPr>
    <w:rPr>
      <w:rFonts w:ascii="楷体_GB2312" w:eastAsia="楷体_GB2312"/>
      <w:sz w:val="24"/>
      <w:szCs w:val="20"/>
    </w:rPr>
  </w:style>
  <w:style w:type="character" w:customStyle="1" w:styleId="106">
    <w:name w:val="注脚 字符"/>
    <w:basedOn w:val="32"/>
    <w:link w:val="105"/>
    <w:qFormat/>
    <w:uiPriority w:val="0"/>
    <w:rPr>
      <w:rFonts w:ascii="楷体_GB2312" w:hAnsi="宋体" w:eastAsia="楷体_GB2312"/>
      <w:kern w:val="2"/>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Pages>
  <Words>8961</Words>
  <Characters>51084</Characters>
  <Lines>425</Lines>
  <Paragraphs>119</Paragraphs>
  <TotalTime>262</TotalTime>
  <ScaleCrop>false</ScaleCrop>
  <LinksUpToDate>false</LinksUpToDate>
  <CharactersWithSpaces>59926</CharactersWithSpaces>
  <Application>WPS Office_11.8.2.9980_F1E327BC-269C-435d-A152-05C5408002CA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2025-10-30T18:57:00Z</dcterms:created>
  <dc:creator>Lee wintersweet</dc:creator>
  <cp:lastModifiedBy>kylin</cp:lastModifiedBy>
  <cp:lastPrinted>2026-02-03T10:16:00Z</cp:lastPrinted>
  <dcterms:modified xsi:type="dcterms:W3CDTF">2026-02-05T11:30:23Z</dcterms:modified>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2052-11.8.2.9980</vt:lpwstr>
  </property>
  <property fmtid="{D5CDD505-2E9C-101B-9397-08002B2CF9AE}" pid="3" name="ICV">
    <vt:lpwstr>38E1466444224D0A93CE8049DB88D4EB</vt:lpwstr>
  </property>
</Properties>
</file>