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640"/>
      </w:pPr>
    </w:p>
    <w:p>
      <w:pPr>
        <w:ind w:firstLine="640"/>
      </w:pPr>
    </w:p>
    <w:p>
      <w:pPr>
        <w:ind w:firstLine="640"/>
      </w:pPr>
    </w:p>
    <w:p>
      <w:pPr>
        <w:ind w:firstLine="640"/>
      </w:pPr>
    </w:p>
    <w:p>
      <w:pPr>
        <w:tabs>
          <w:tab w:val="left" w:pos="229"/>
          <w:tab w:val="center" w:pos="4264"/>
        </w:tabs>
        <w:spacing w:line="240" w:lineRule="auto"/>
        <w:ind w:firstLine="0" w:firstLineChars="0"/>
        <w:jc w:val="center"/>
        <w:rPr>
          <w:rFonts w:ascii="方正小标宋简体" w:hAnsi="黑体" w:eastAsia="方正小标宋简体"/>
          <w:bCs/>
          <w:sz w:val="48"/>
          <w:szCs w:val="48"/>
        </w:rPr>
      </w:pPr>
      <w:r>
        <w:rPr>
          <w:rFonts w:hint="eastAsia" w:ascii="方正小标宋简体" w:hAnsi="黑体" w:eastAsia="方正小标宋简体"/>
          <w:bCs/>
          <w:sz w:val="48"/>
          <w:szCs w:val="48"/>
        </w:rPr>
        <w:t>内乡县余关镇国土空间总体规划</w:t>
      </w:r>
    </w:p>
    <w:p>
      <w:pPr>
        <w:widowControl w:val="0"/>
        <w:adjustRightInd/>
        <w:snapToGrid/>
        <w:spacing w:line="240" w:lineRule="auto"/>
        <w:ind w:firstLine="0" w:firstLineChars="0"/>
        <w:jc w:val="center"/>
        <w:rPr>
          <w:rFonts w:ascii="方正小标宋简体" w:hAnsi="黑体" w:eastAsia="方正小标宋简体"/>
          <w:bCs/>
          <w:sz w:val="48"/>
          <w:szCs w:val="48"/>
        </w:rPr>
      </w:pPr>
      <w:r>
        <w:rPr>
          <w:rFonts w:hint="eastAsia" w:ascii="方正小标宋简体" w:hAnsi="黑体" w:eastAsia="方正小标宋简体"/>
          <w:bCs/>
          <w:sz w:val="48"/>
          <w:szCs w:val="48"/>
        </w:rPr>
        <w:t>（2021-2035年）</w:t>
      </w:r>
    </w:p>
    <w:p>
      <w:pPr>
        <w:spacing w:before="65"/>
        <w:ind w:firstLine="0" w:firstLineChars="0"/>
        <w:jc w:val="center"/>
        <w:rPr>
          <w:rFonts w:eastAsia="微软雅黑"/>
          <w:bCs/>
          <w:sz w:val="36"/>
        </w:rPr>
      </w:pPr>
    </w:p>
    <w:p>
      <w:pPr>
        <w:spacing w:before="65"/>
        <w:ind w:firstLine="0" w:firstLineChars="0"/>
        <w:jc w:val="center"/>
        <w:rPr>
          <w:rFonts w:ascii="方正小标宋简体" w:eastAsia="方正小标宋简体"/>
          <w:bCs/>
        </w:rPr>
      </w:pPr>
      <w:r>
        <w:rPr>
          <w:rFonts w:hint="eastAsia" w:ascii="方正小标宋简体" w:eastAsia="方正小标宋简体"/>
          <w:bCs/>
          <w:sz w:val="44"/>
          <w:szCs w:val="44"/>
        </w:rPr>
        <w:t>文  本</w:t>
      </w:r>
    </w:p>
    <w:p>
      <w:pPr>
        <w:spacing w:before="65"/>
        <w:ind w:firstLine="0" w:firstLineChars="0"/>
        <w:jc w:val="center"/>
        <w:rPr>
          <w:rFonts w:ascii="楷体" w:hAnsi="楷体" w:eastAsia="楷体" w:cs="楷体"/>
          <w:bCs/>
          <w:sz w:val="44"/>
          <w:szCs w:val="44"/>
        </w:rPr>
      </w:pPr>
      <w:bookmarkStart w:id="0" w:name="_Hlk196901031"/>
      <w:r>
        <w:rPr>
          <w:rFonts w:hint="eastAsia" w:ascii="楷体" w:hAnsi="楷体" w:eastAsia="楷体" w:cs="楷体"/>
          <w:bCs/>
          <w:sz w:val="44"/>
          <w:szCs w:val="44"/>
        </w:rPr>
        <w:t>（公示稿）</w:t>
      </w:r>
    </w:p>
    <w:p>
      <w:pPr>
        <w:spacing w:before="163" w:after="163"/>
        <w:ind w:firstLine="0" w:firstLineChars="0"/>
        <w:jc w:val="center"/>
        <w:rPr>
          <w:rFonts w:ascii="楷体_GB2312" w:hAnsi="黑体" w:eastAsia="楷体_GB2312"/>
          <w:bCs/>
          <w:sz w:val="36"/>
          <w:szCs w:val="36"/>
        </w:rPr>
      </w:pPr>
    </w:p>
    <w:bookmarkEnd w:id="0"/>
    <w:p>
      <w:pPr>
        <w:spacing w:before="65"/>
        <w:ind w:firstLine="0" w:firstLineChars="0"/>
        <w:jc w:val="center"/>
        <w:rPr>
          <w:rFonts w:ascii="楷体_GB2312" w:eastAsia="楷体_GB2312"/>
          <w:b/>
          <w:sz w:val="36"/>
          <w:szCs w:val="36"/>
        </w:rP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pPr>
    </w:p>
    <w:p>
      <w:pPr>
        <w:spacing w:before="65"/>
        <w:ind w:firstLine="0" w:firstLineChars="0"/>
        <w:jc w:val="center"/>
        <w:rPr>
          <w:rFonts w:ascii="楷体" w:hAnsi="楷体" w:eastAsia="楷体"/>
        </w:rPr>
      </w:pPr>
    </w:p>
    <w:p>
      <w:pPr>
        <w:spacing w:line="240" w:lineRule="auto"/>
        <w:ind w:firstLine="0" w:firstLineChars="0"/>
        <w:jc w:val="center"/>
        <w:rPr>
          <w:rFonts w:ascii="黑体" w:hAnsi="黑体" w:eastAsia="黑体"/>
          <w:szCs w:val="32"/>
        </w:rPr>
      </w:pPr>
      <w:r>
        <w:rPr>
          <w:rFonts w:hint="eastAsia" w:ascii="黑体" w:hAnsi="黑体" w:eastAsia="黑体"/>
          <w:szCs w:val="32"/>
        </w:rPr>
        <w:t>内乡县余关镇人民政府</w:t>
      </w:r>
    </w:p>
    <w:p>
      <w:pPr>
        <w:spacing w:before="65"/>
        <w:ind w:firstLine="0" w:firstLineChars="0"/>
        <w:jc w:val="center"/>
        <w:rPr>
          <w:rFonts w:ascii="黑体" w:hAnsi="黑体" w:eastAsia="黑体"/>
          <w:szCs w:val="32"/>
        </w:rPr>
      </w:pPr>
      <w:r>
        <w:rPr>
          <w:rFonts w:hint="eastAsia" w:ascii="黑体" w:hAnsi="黑体" w:eastAsia="黑体"/>
          <w:szCs w:val="32"/>
        </w:rPr>
        <w:t>2</w:t>
      </w:r>
      <w:r>
        <w:rPr>
          <w:rFonts w:ascii="黑体" w:hAnsi="黑体" w:eastAsia="黑体"/>
          <w:szCs w:val="32"/>
        </w:rPr>
        <w:t>025</w:t>
      </w:r>
      <w:r>
        <w:rPr>
          <w:rFonts w:hint="eastAsia" w:ascii="黑体" w:hAnsi="黑体" w:eastAsia="黑体"/>
          <w:szCs w:val="32"/>
        </w:rPr>
        <w:t>年11月</w:t>
      </w:r>
    </w:p>
    <w:p>
      <w:pPr>
        <w:ind w:firstLine="640"/>
      </w:pPr>
    </w:p>
    <w:p>
      <w:pPr>
        <w:pStyle w:val="53"/>
        <w:spacing w:before="652" w:beforeLines="200" w:after="163"/>
        <w:jc w:val="both"/>
        <w:rPr>
          <w:b w:val="0"/>
          <w:bCs/>
          <w:spacing w:val="0"/>
          <w:sz w:val="36"/>
          <w:szCs w:val="36"/>
        </w:rPr>
        <w:sectPr>
          <w:headerReference r:id="rId7" w:type="first"/>
          <w:footerReference r:id="rId10" w:type="first"/>
          <w:headerReference r:id="rId5" w:type="default"/>
          <w:footerReference r:id="rId8" w:type="default"/>
          <w:headerReference r:id="rId6" w:type="even"/>
          <w:footerReference r:id="rId9" w:type="even"/>
          <w:pgSz w:w="11907" w:h="16839"/>
          <w:pgMar w:top="1440" w:right="1800" w:bottom="1440" w:left="1800" w:header="851" w:footer="992" w:gutter="0"/>
          <w:pgNumType w:start="1"/>
          <w:cols w:space="1137" w:num="1"/>
          <w:docGrid w:type="lines" w:linePitch="326" w:charSpace="0"/>
        </w:sectPr>
      </w:pPr>
    </w:p>
    <w:sdt>
      <w:sdtPr>
        <w:rPr>
          <w:rFonts w:hint="eastAsia" w:ascii="黑体" w:hAnsi="黑体" w:eastAsia="黑体" w:cs="黑体"/>
          <w:b/>
          <w:bCs/>
          <w:szCs w:val="32"/>
          <w:lang w:val="zh-CN"/>
        </w:rPr>
        <w:id w:val="-1"/>
        <w:docPartObj>
          <w:docPartGallery w:val="Table of Contents"/>
          <w:docPartUnique/>
        </w:docPartObj>
      </w:sdtPr>
      <w:sdtEndPr>
        <w:rPr>
          <w:rFonts w:hint="eastAsia" w:ascii="宋体" w:hAnsi="黑体" w:eastAsia="黑体" w:cs="黑体"/>
          <w:b/>
          <w:bCs/>
          <w:sz w:val="40"/>
          <w:szCs w:val="36"/>
          <w:lang w:val="zh-CN"/>
        </w:rPr>
      </w:sdtEndPr>
      <w:sdtContent>
        <w:p>
          <w:pPr>
            <w:spacing w:line="240" w:lineRule="auto"/>
            <w:ind w:firstLine="0" w:firstLineChars="0"/>
            <w:jc w:val="center"/>
            <w:rPr>
              <w:rFonts w:ascii="黑体" w:hAnsi="黑体" w:eastAsia="黑体"/>
              <w:szCs w:val="32"/>
            </w:rPr>
          </w:pPr>
          <w:bookmarkStart w:id="1" w:name="_Hlk209600309"/>
          <w:r>
            <w:rPr>
              <w:rFonts w:hint="eastAsia" w:ascii="黑体" w:hAnsi="黑体" w:eastAsia="黑体"/>
              <w:b/>
              <w:bCs/>
              <w:szCs w:val="32"/>
            </w:rPr>
            <w:t>目 录</w:t>
          </w:r>
        </w:p>
        <w:p>
          <w:pPr>
            <w:pStyle w:val="22"/>
            <w:tabs>
              <w:tab w:val="right" w:leader="dot" w:pos="8297"/>
            </w:tabs>
            <w:spacing w:line="600" w:lineRule="exact"/>
            <w:rPr>
              <w:rFonts w:asciiTheme="minorHAnsi" w:hAnsiTheme="minorHAnsi" w:eastAsiaTheme="minorEastAsia" w:cstheme="minorBidi"/>
              <w:b w:val="0"/>
              <w:bCs/>
              <w:kern w:val="2"/>
              <w:sz w:val="21"/>
              <w:szCs w:val="22"/>
            </w:rPr>
          </w:pPr>
          <w:r>
            <w:rPr>
              <w:b w:val="0"/>
              <w:bCs/>
            </w:rPr>
            <w:fldChar w:fldCharType="begin"/>
          </w:r>
          <w:r>
            <w:rPr>
              <w:b w:val="0"/>
              <w:bCs/>
            </w:rPr>
            <w:instrText xml:space="preserve"> TOC \o "1-1" \h \z \u </w:instrText>
          </w:r>
          <w:r>
            <w:rPr>
              <w:b w:val="0"/>
              <w:bCs/>
            </w:rPr>
            <w:fldChar w:fldCharType="separate"/>
          </w:r>
          <w:r>
            <w:fldChar w:fldCharType="begin"/>
          </w:r>
          <w:r>
            <w:instrText xml:space="preserve"> HYPERLINK \l "_Toc207114511" </w:instrText>
          </w:r>
          <w:r>
            <w:fldChar w:fldCharType="separate"/>
          </w:r>
          <w:r>
            <w:rPr>
              <w:rStyle w:val="36"/>
              <w:b w:val="0"/>
              <w:bCs/>
            </w:rPr>
            <w:t>第一章 总则</w:t>
          </w:r>
          <w:r>
            <w:rPr>
              <w:b w:val="0"/>
              <w:bCs/>
            </w:rPr>
            <w:tab/>
          </w:r>
          <w:r>
            <w:rPr>
              <w:b w:val="0"/>
              <w:bCs/>
            </w:rPr>
            <w:fldChar w:fldCharType="begin"/>
          </w:r>
          <w:r>
            <w:rPr>
              <w:b w:val="0"/>
              <w:bCs/>
            </w:rPr>
            <w:instrText xml:space="preserve"> PAGEREF _Toc207114511 \h </w:instrText>
          </w:r>
          <w:r>
            <w:rPr>
              <w:b w:val="0"/>
              <w:bCs/>
            </w:rPr>
            <w:fldChar w:fldCharType="separate"/>
          </w:r>
          <w:r>
            <w:rPr>
              <w:rFonts w:hint="eastAsia"/>
              <w:b w:val="0"/>
              <w:bCs/>
            </w:rPr>
            <w:t>1</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"_Toc207114512" </w:instrText>
          </w:r>
          <w:r>
            <w:fldChar w:fldCharType="separate"/>
          </w:r>
          <w:r>
            <w:rPr>
              <w:rStyle w:val="36"/>
              <w:b w:val="0"/>
              <w:bCs/>
            </w:rPr>
            <w:t>第二章 现状分析</w:t>
          </w:r>
          <w:r>
            <w:rPr>
              <w:b w:val="0"/>
              <w:bCs/>
            </w:rPr>
            <w:tab/>
          </w:r>
          <w:r>
            <w:rPr>
              <w:b w:val="0"/>
              <w:bCs/>
            </w:rPr>
            <w:fldChar w:fldCharType="begin"/>
          </w:r>
          <w:r>
            <w:rPr>
              <w:b w:val="0"/>
              <w:bCs/>
            </w:rPr>
            <w:instrText xml:space="preserve"> PAGEREF _Toc207114512 \h </w:instrText>
          </w:r>
          <w:r>
            <w:rPr>
              <w:b w:val="0"/>
              <w:bCs/>
            </w:rPr>
            <w:fldChar w:fldCharType="separate"/>
          </w:r>
          <w:r>
            <w:rPr>
              <w:rFonts w:hint="eastAsia"/>
              <w:b w:val="0"/>
              <w:bCs/>
            </w:rPr>
            <w:t>4</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"_Toc207114513" </w:instrText>
          </w:r>
          <w:r>
            <w:fldChar w:fldCharType="separate"/>
          </w:r>
          <w:r>
            <w:rPr>
              <w:rStyle w:val="36"/>
              <w:b w:val="0"/>
              <w:bCs/>
            </w:rPr>
            <w:t>第三章 发展定位与目标</w:t>
          </w:r>
          <w:r>
            <w:rPr>
              <w:b w:val="0"/>
              <w:bCs/>
            </w:rPr>
            <w:tab/>
          </w:r>
          <w:r>
            <w:rPr>
              <w:b w:val="0"/>
              <w:bCs/>
            </w:rPr>
            <w:fldChar w:fldCharType="begin"/>
          </w:r>
          <w:r>
            <w:rPr>
              <w:b w:val="0"/>
              <w:bCs/>
            </w:rPr>
            <w:instrText xml:space="preserve"> PAGEREF _Toc207114513 \h </w:instrText>
          </w:r>
          <w:r>
            <w:rPr>
              <w:b w:val="0"/>
              <w:bCs/>
            </w:rPr>
            <w:fldChar w:fldCharType="separate"/>
          </w:r>
          <w:r>
            <w:rPr>
              <w:rFonts w:hint="eastAsia"/>
              <w:b w:val="0"/>
              <w:bCs/>
            </w:rPr>
            <w:t>9</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"_Toc207114514" </w:instrText>
          </w:r>
          <w:r>
            <w:fldChar w:fldCharType="separate"/>
          </w:r>
          <w:r>
            <w:rPr>
              <w:rStyle w:val="36"/>
              <w:b w:val="0"/>
              <w:bCs/>
            </w:rPr>
            <w:t>第四章 底线约束</w:t>
          </w:r>
          <w:r>
            <w:rPr>
              <w:b w:val="0"/>
              <w:bCs/>
            </w:rPr>
            <w:tab/>
          </w:r>
          <w:r>
            <w:rPr>
              <w:b w:val="0"/>
              <w:bCs/>
            </w:rPr>
            <w:fldChar w:fldCharType="begin"/>
          </w:r>
          <w:r>
            <w:rPr>
              <w:b w:val="0"/>
              <w:bCs/>
            </w:rPr>
            <w:instrText xml:space="preserve"> PAGEREF _Toc207114514 \h </w:instrText>
          </w:r>
          <w:r>
            <w:rPr>
              <w:b w:val="0"/>
              <w:bCs/>
            </w:rPr>
            <w:fldChar w:fldCharType="separate"/>
          </w:r>
          <w:r>
            <w:rPr>
              <w:rFonts w:hint="eastAsia"/>
              <w:b w:val="0"/>
              <w:bCs/>
            </w:rPr>
            <w:t>13</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"_Toc207114515" </w:instrText>
          </w:r>
          <w:r>
            <w:fldChar w:fldCharType="separate"/>
          </w:r>
          <w:r>
            <w:rPr>
              <w:rStyle w:val="36"/>
              <w:b w:val="0"/>
              <w:bCs/>
            </w:rPr>
            <w:t>第五章 规划分区</w:t>
          </w:r>
          <w:r>
            <w:rPr>
              <w:b w:val="0"/>
              <w:bCs/>
            </w:rPr>
            <w:tab/>
          </w:r>
          <w:r>
            <w:rPr>
              <w:b w:val="0"/>
              <w:bCs/>
            </w:rPr>
            <w:fldChar w:fldCharType="begin"/>
          </w:r>
          <w:r>
            <w:rPr>
              <w:b w:val="0"/>
              <w:bCs/>
            </w:rPr>
            <w:instrText xml:space="preserve"> PAGEREF _Toc207114515 \h </w:instrText>
          </w:r>
          <w:r>
            <w:rPr>
              <w:b w:val="0"/>
              <w:bCs/>
            </w:rPr>
            <w:fldChar w:fldCharType="separate"/>
          </w:r>
          <w:r>
            <w:rPr>
              <w:rFonts w:hint="eastAsia"/>
              <w:b w:val="0"/>
              <w:bCs/>
            </w:rPr>
            <w:t>16</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"_Toc207114516" </w:instrText>
          </w:r>
          <w:r>
            <w:fldChar w:fldCharType="separate"/>
          </w:r>
          <w:r>
            <w:rPr>
              <w:rStyle w:val="36"/>
              <w:b w:val="0"/>
              <w:bCs/>
              <w:lang w:bidi="ar"/>
            </w:rPr>
            <w:t>第六章 国土空间功能结构调整</w:t>
          </w:r>
          <w:r>
            <w:rPr>
              <w:b w:val="0"/>
              <w:bCs/>
            </w:rPr>
            <w:tab/>
          </w:r>
          <w:r>
            <w:rPr>
              <w:b w:val="0"/>
              <w:bCs/>
            </w:rPr>
            <w:fldChar w:fldCharType="begin"/>
          </w:r>
          <w:r>
            <w:rPr>
              <w:b w:val="0"/>
              <w:bCs/>
            </w:rPr>
            <w:instrText xml:space="preserve"> PAGEREF _Toc207114516 \h </w:instrText>
          </w:r>
          <w:r>
            <w:rPr>
              <w:b w:val="0"/>
              <w:bCs/>
            </w:rPr>
            <w:fldChar w:fldCharType="separate"/>
          </w:r>
          <w:r>
            <w:rPr>
              <w:rFonts w:hint="eastAsia"/>
              <w:b w:val="0"/>
              <w:bCs/>
            </w:rPr>
            <w:t>26</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"_Toc207114517" </w:instrText>
          </w:r>
          <w:r>
            <w:fldChar w:fldCharType="separate"/>
          </w:r>
          <w:r>
            <w:rPr>
              <w:rStyle w:val="36"/>
              <w:b w:val="0"/>
              <w:bCs/>
            </w:rPr>
            <w:t>第七章 自然资源保护利用</w:t>
          </w:r>
          <w:r>
            <w:rPr>
              <w:b w:val="0"/>
              <w:bCs/>
            </w:rPr>
            <w:tab/>
          </w:r>
          <w:r>
            <w:rPr>
              <w:b w:val="0"/>
              <w:bCs/>
            </w:rPr>
            <w:fldChar w:fldCharType="begin"/>
          </w:r>
          <w:r>
            <w:rPr>
              <w:b w:val="0"/>
              <w:bCs/>
            </w:rPr>
            <w:instrText xml:space="preserve"> PAGEREF _Toc207114517 \h </w:instrText>
          </w:r>
          <w:r>
            <w:rPr>
              <w:b w:val="0"/>
              <w:bCs/>
            </w:rPr>
            <w:fldChar w:fldCharType="separate"/>
          </w:r>
          <w:r>
            <w:rPr>
              <w:rFonts w:hint="eastAsia"/>
              <w:b w:val="0"/>
              <w:bCs/>
            </w:rPr>
            <w:t>29</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"_Toc207114518" </w:instrText>
          </w:r>
          <w:r>
            <w:fldChar w:fldCharType="separate"/>
          </w:r>
          <w:r>
            <w:rPr>
              <w:rStyle w:val="36"/>
              <w:b w:val="0"/>
              <w:bCs/>
            </w:rPr>
            <w:t>第八章 产业规划</w:t>
          </w:r>
          <w:r>
            <w:rPr>
              <w:b w:val="0"/>
              <w:bCs/>
            </w:rPr>
            <w:tab/>
          </w:r>
          <w:r>
            <w:rPr>
              <w:b w:val="0"/>
              <w:bCs/>
            </w:rPr>
            <w:fldChar w:fldCharType="begin"/>
          </w:r>
          <w:r>
            <w:rPr>
              <w:b w:val="0"/>
              <w:bCs/>
            </w:rPr>
            <w:instrText xml:space="preserve"> PAGEREF _Toc207114518 \h </w:instrText>
          </w:r>
          <w:r>
            <w:rPr>
              <w:b w:val="0"/>
              <w:bCs/>
            </w:rPr>
            <w:fldChar w:fldCharType="separate"/>
          </w:r>
          <w:r>
            <w:rPr>
              <w:rFonts w:hint="eastAsia"/>
              <w:b w:val="0"/>
              <w:bCs/>
            </w:rPr>
            <w:t>40</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"_Toc207114519" </w:instrText>
          </w:r>
          <w:r>
            <w:fldChar w:fldCharType="separate"/>
          </w:r>
          <w:r>
            <w:rPr>
              <w:rStyle w:val="36"/>
              <w:b w:val="0"/>
              <w:bCs/>
            </w:rPr>
            <w:t>第九章 村庄布局</w:t>
          </w:r>
          <w:r>
            <w:rPr>
              <w:b w:val="0"/>
              <w:bCs/>
            </w:rPr>
            <w:tab/>
          </w:r>
          <w:r>
            <w:rPr>
              <w:b w:val="0"/>
              <w:bCs/>
            </w:rPr>
            <w:fldChar w:fldCharType="begin"/>
          </w:r>
          <w:r>
            <w:rPr>
              <w:b w:val="0"/>
              <w:bCs/>
            </w:rPr>
            <w:instrText xml:space="preserve"> PAGEREF _Toc207114519 \h </w:instrText>
          </w:r>
          <w:r>
            <w:rPr>
              <w:b w:val="0"/>
              <w:bCs/>
            </w:rPr>
            <w:fldChar w:fldCharType="separate"/>
          </w:r>
          <w:r>
            <w:rPr>
              <w:rFonts w:hint="eastAsia"/>
              <w:b w:val="0"/>
              <w:bCs/>
            </w:rPr>
            <w:t>45</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"_Toc207114520" </w:instrText>
          </w:r>
          <w:r>
            <w:fldChar w:fldCharType="separate"/>
          </w:r>
          <w:r>
            <w:rPr>
              <w:rStyle w:val="36"/>
              <w:b w:val="0"/>
              <w:bCs/>
            </w:rPr>
            <w:t>第十章 支撑保障体系</w:t>
          </w:r>
          <w:r>
            <w:rPr>
              <w:b w:val="0"/>
              <w:bCs/>
            </w:rPr>
            <w:tab/>
          </w:r>
          <w:r>
            <w:rPr>
              <w:b w:val="0"/>
              <w:bCs/>
            </w:rPr>
            <w:fldChar w:fldCharType="begin"/>
          </w:r>
          <w:r>
            <w:rPr>
              <w:b w:val="0"/>
              <w:bCs/>
            </w:rPr>
            <w:instrText xml:space="preserve"> PAGEREF _Toc207114520 \h </w:instrText>
          </w:r>
          <w:r>
            <w:rPr>
              <w:b w:val="0"/>
              <w:bCs/>
            </w:rPr>
            <w:fldChar w:fldCharType="separate"/>
          </w:r>
          <w:r>
            <w:rPr>
              <w:rFonts w:hint="eastAsia"/>
              <w:b w:val="0"/>
              <w:bCs/>
            </w:rPr>
            <w:t>49</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"_Toc207114521" </w:instrText>
          </w:r>
          <w:r>
            <w:fldChar w:fldCharType="separate"/>
          </w:r>
          <w:r>
            <w:rPr>
              <w:rStyle w:val="36"/>
              <w:b w:val="0"/>
              <w:bCs/>
            </w:rPr>
            <w:t>第十一章 历史文化与景观风貌</w:t>
          </w:r>
          <w:r>
            <w:rPr>
              <w:b w:val="0"/>
              <w:bCs/>
            </w:rPr>
            <w:tab/>
          </w:r>
          <w:r>
            <w:rPr>
              <w:b w:val="0"/>
              <w:bCs/>
            </w:rPr>
            <w:fldChar w:fldCharType="begin"/>
          </w:r>
          <w:r>
            <w:rPr>
              <w:b w:val="0"/>
              <w:bCs/>
            </w:rPr>
            <w:instrText xml:space="preserve"> PAGEREF _Toc207114521 \h </w:instrText>
          </w:r>
          <w:r>
            <w:rPr>
              <w:b w:val="0"/>
              <w:bCs/>
            </w:rPr>
            <w:fldChar w:fldCharType="separate"/>
          </w:r>
          <w:r>
            <w:rPr>
              <w:rFonts w:hint="eastAsia"/>
              <w:b w:val="0"/>
              <w:bCs/>
            </w:rPr>
            <w:t>60</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"_Toc207114522" </w:instrText>
          </w:r>
          <w:r>
            <w:fldChar w:fldCharType="separate"/>
          </w:r>
          <w:r>
            <w:rPr>
              <w:rStyle w:val="36"/>
              <w:b w:val="0"/>
              <w:bCs/>
            </w:rPr>
            <w:t>第十二章 乡镇政府驻地规划</w:t>
          </w:r>
          <w:r>
            <w:rPr>
              <w:b w:val="0"/>
              <w:bCs/>
            </w:rPr>
            <w:tab/>
          </w:r>
          <w:r>
            <w:rPr>
              <w:b w:val="0"/>
              <w:bCs/>
            </w:rPr>
            <w:fldChar w:fldCharType="begin"/>
          </w:r>
          <w:r>
            <w:rPr>
              <w:b w:val="0"/>
              <w:bCs/>
            </w:rPr>
            <w:instrText xml:space="preserve"> PAGEREF _Toc207114522 \h </w:instrText>
          </w:r>
          <w:r>
            <w:rPr>
              <w:b w:val="0"/>
              <w:bCs/>
            </w:rPr>
            <w:fldChar w:fldCharType="separate"/>
          </w:r>
          <w:r>
            <w:rPr>
              <w:rFonts w:hint="eastAsia"/>
              <w:b w:val="0"/>
              <w:bCs/>
            </w:rPr>
            <w:t>66</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"_Toc207114523" </w:instrText>
          </w:r>
          <w:r>
            <w:fldChar w:fldCharType="separate"/>
          </w:r>
          <w:r>
            <w:rPr>
              <w:rStyle w:val="36"/>
              <w:b w:val="0"/>
              <w:bCs/>
            </w:rPr>
            <w:t>第十三章 国土综合整治与生态修复</w:t>
          </w:r>
          <w:r>
            <w:rPr>
              <w:b w:val="0"/>
              <w:bCs/>
            </w:rPr>
            <w:tab/>
          </w:r>
          <w:r>
            <w:rPr>
              <w:b w:val="0"/>
              <w:bCs/>
            </w:rPr>
            <w:fldChar w:fldCharType="begin"/>
          </w:r>
          <w:r>
            <w:rPr>
              <w:b w:val="0"/>
              <w:bCs/>
            </w:rPr>
            <w:instrText xml:space="preserve"> PAGEREF _Toc207114523 \h </w:instrText>
          </w:r>
          <w:r>
            <w:rPr>
              <w:b w:val="0"/>
              <w:bCs/>
            </w:rPr>
            <w:fldChar w:fldCharType="separate"/>
          </w:r>
          <w:r>
            <w:rPr>
              <w:rFonts w:hint="eastAsia"/>
              <w:b w:val="0"/>
              <w:bCs/>
            </w:rPr>
            <w:t>82</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"_Toc207114524" </w:instrText>
          </w:r>
          <w:r>
            <w:fldChar w:fldCharType="separate"/>
          </w:r>
          <w:r>
            <w:rPr>
              <w:rStyle w:val="36"/>
              <w:b w:val="0"/>
              <w:bCs/>
            </w:rPr>
            <w:t>第十四章 规划传导</w:t>
          </w:r>
          <w:r>
            <w:rPr>
              <w:b w:val="0"/>
              <w:bCs/>
            </w:rPr>
            <w:tab/>
          </w:r>
          <w:r>
            <w:rPr>
              <w:b w:val="0"/>
              <w:bCs/>
            </w:rPr>
            <w:fldChar w:fldCharType="begin"/>
          </w:r>
          <w:r>
            <w:rPr>
              <w:b w:val="0"/>
              <w:bCs/>
            </w:rPr>
            <w:instrText xml:space="preserve"> PAGEREF _Toc207114524 \h </w:instrText>
          </w:r>
          <w:r>
            <w:rPr>
              <w:b w:val="0"/>
              <w:bCs/>
            </w:rPr>
            <w:fldChar w:fldCharType="separate"/>
          </w:r>
          <w:r>
            <w:rPr>
              <w:rFonts w:hint="eastAsia"/>
              <w:b w:val="0"/>
              <w:bCs/>
            </w:rPr>
            <w:t>87</w:t>
          </w:r>
          <w:r>
            <w:rPr>
              <w:b w:val="0"/>
              <w:bCs/>
            </w:rPr>
            <w:fldChar w:fldCharType="end"/>
          </w:r>
          <w:r>
            <w:rPr>
              <w:b w:val="0"/>
              <w:bCs/>
            </w:rPr>
            <w:fldChar w:fldCharType="end"/>
          </w:r>
        </w:p>
        <w:p>
          <w:pPr>
            <w:pStyle w:val="22"/>
            <w:tabs>
              <w:tab w:val="right" w:leader="dot" w:pos="8297"/>
            </w:tabs>
            <w:spacing w:line="600" w:lineRule="exact"/>
            <w:rPr>
              <w:rFonts w:asciiTheme="minorHAnsi" w:hAnsiTheme="minorHAnsi" w:eastAsiaTheme="minorEastAsia" w:cstheme="minorBidi"/>
              <w:b w:val="0"/>
              <w:bCs/>
              <w:kern w:val="2"/>
              <w:sz w:val="21"/>
              <w:szCs w:val="22"/>
            </w:rPr>
          </w:pPr>
          <w:r>
            <w:fldChar w:fldCharType="begin"/>
          </w:r>
          <w:r>
            <w:instrText xml:space="preserve"> HYPERLINK \l "_Toc207114525" </w:instrText>
          </w:r>
          <w:r>
            <w:fldChar w:fldCharType="separate"/>
          </w:r>
          <w:r>
            <w:rPr>
              <w:rStyle w:val="36"/>
              <w:b w:val="0"/>
              <w:bCs/>
            </w:rPr>
            <w:t>第十五章 规划实施</w:t>
          </w:r>
          <w:r>
            <w:rPr>
              <w:b w:val="0"/>
              <w:bCs/>
            </w:rPr>
            <w:tab/>
          </w:r>
          <w:r>
            <w:rPr>
              <w:b w:val="0"/>
              <w:bCs/>
            </w:rPr>
            <w:fldChar w:fldCharType="begin"/>
          </w:r>
          <w:r>
            <w:rPr>
              <w:b w:val="0"/>
              <w:bCs/>
            </w:rPr>
            <w:instrText xml:space="preserve"> PAGEREF _Toc207114525 \h </w:instrText>
          </w:r>
          <w:r>
            <w:rPr>
              <w:b w:val="0"/>
              <w:bCs/>
            </w:rPr>
            <w:fldChar w:fldCharType="separate"/>
          </w:r>
          <w:r>
            <w:rPr>
              <w:rFonts w:hint="eastAsia"/>
              <w:b w:val="0"/>
              <w:bCs/>
            </w:rPr>
            <w:t>109</w:t>
          </w:r>
          <w:r>
            <w:rPr>
              <w:b w:val="0"/>
              <w:bCs/>
            </w:rPr>
            <w:fldChar w:fldCharType="end"/>
          </w:r>
          <w:r>
            <w:rPr>
              <w:b w:val="0"/>
              <w:bCs/>
            </w:rPr>
            <w:fldChar w:fldCharType="end"/>
          </w:r>
        </w:p>
        <w:p>
          <w:pPr>
            <w:spacing w:before="65" w:after="163" w:line="600" w:lineRule="exact"/>
            <w:ind w:firstLine="0" w:firstLineChars="0"/>
          </w:pPr>
          <w:r>
            <w:rPr>
              <w:bCs/>
            </w:rPr>
            <w:fldChar w:fldCharType="end"/>
          </w:r>
        </w:p>
      </w:sdtContent>
    </w:sdt>
    <w:bookmarkEnd w:id="1"/>
    <w:p>
      <w:pPr>
        <w:spacing w:before="65" w:after="163"/>
        <w:ind w:firstLine="640"/>
      </w:pPr>
    </w:p>
    <w:p>
      <w:pPr>
        <w:spacing w:before="65" w:after="163"/>
        <w:ind w:firstLine="640"/>
        <w:sectPr>
          <w:pgSz w:w="11907" w:h="16839"/>
          <w:pgMar w:top="1440" w:right="1800" w:bottom="1440" w:left="1800" w:header="851" w:footer="992" w:gutter="0"/>
          <w:pgNumType w:start="1"/>
          <w:cols w:space="1137" w:num="1"/>
          <w:docGrid w:type="lines" w:linePitch="326" w:charSpace="0"/>
        </w:sectPr>
      </w:pPr>
    </w:p>
    <w:p>
      <w:pPr>
        <w:ind w:firstLine="640"/>
      </w:pPr>
      <w:bookmarkStart w:id="2" w:name="_Toc129339489"/>
      <w:bookmarkStart w:id="3" w:name="_Toc127432230"/>
    </w:p>
    <w:p>
      <w:pPr>
        <w:pStyle w:val="2"/>
        <w:spacing w:before="489" w:after="489"/>
      </w:pPr>
      <w:bookmarkStart w:id="4" w:name="_Toc207114511"/>
      <w:r>
        <w:rPr>
          <w:rFonts w:hint="eastAsia"/>
        </w:rPr>
        <w:t>规划总则</w:t>
      </w:r>
      <w:bookmarkEnd w:id="2"/>
      <w:bookmarkEnd w:id="3"/>
      <w:bookmarkEnd w:id="4"/>
    </w:p>
    <w:p>
      <w:pPr>
        <w:pStyle w:val="4"/>
        <w:spacing w:before="195" w:after="195"/>
      </w:pPr>
      <w:r>
        <w:rPr>
          <w:rFonts w:hint="eastAsia"/>
        </w:rPr>
        <w:t>规划目的</w:t>
      </w:r>
    </w:p>
    <w:p>
      <w:pPr>
        <w:spacing w:before="65"/>
        <w:ind w:firstLine="640"/>
      </w:pPr>
      <w:bookmarkStart w:id="5" w:name="_Hlk221110262"/>
      <w:r>
        <w:rPr>
          <w:rFonts w:hint="eastAsia"/>
        </w:rPr>
        <w:t>为落实习近平生态文明思想和总体国家安全观，贯彻《中共中央国务院关于建立国土空间规划体系并监督实施的若干意见》要求，细化落实</w:t>
      </w:r>
      <w:r>
        <w:t>《</w:t>
      </w:r>
      <w:r>
        <w:rPr>
          <w:rFonts w:hint="eastAsia"/>
        </w:rPr>
        <w:t>内乡县</w:t>
      </w:r>
      <w:r>
        <w:t>国土空间总体规划（2021-2035年）》，科学有序地推进</w:t>
      </w:r>
      <w:r>
        <w:rPr>
          <w:rFonts w:hint="eastAsia"/>
        </w:rPr>
        <w:t>余关镇</w:t>
      </w:r>
      <w:r>
        <w:t>国土空间开发保护的总体安排和综合部署，统筹</w:t>
      </w:r>
      <w:r>
        <w:rPr>
          <w:rFonts w:hint="eastAsia"/>
        </w:rPr>
        <w:t>余关镇</w:t>
      </w:r>
      <w:r>
        <w:t>的农业、生态、城镇空间，全面提升</w:t>
      </w:r>
      <w:r>
        <w:rPr>
          <w:rFonts w:hint="eastAsia"/>
        </w:rPr>
        <w:t>余关镇</w:t>
      </w:r>
      <w:r>
        <w:t>国土空间治理体系和治理能力现代化水平，特编制《</w:t>
      </w:r>
      <w:r>
        <w:rPr>
          <w:rFonts w:hint="eastAsia"/>
        </w:rPr>
        <w:t>内乡县余关镇</w:t>
      </w:r>
      <w:r>
        <w:t>国土空间总体规划（2021-2035年）》（以下简称本规划）</w:t>
      </w:r>
      <w:bookmarkEnd w:id="5"/>
      <w:r>
        <w:rPr>
          <w:rFonts w:hint="eastAsia"/>
        </w:rPr>
        <w:t>。</w:t>
      </w:r>
    </w:p>
    <w:p>
      <w:pPr>
        <w:pStyle w:val="4"/>
        <w:spacing w:before="195" w:after="195"/>
      </w:pPr>
      <w:r>
        <w:rPr>
          <w:rFonts w:hint="eastAsia"/>
        </w:rPr>
        <w:t>规划原则</w:t>
      </w:r>
    </w:p>
    <w:p>
      <w:pPr>
        <w:pStyle w:val="5"/>
        <w:spacing w:before="97" w:after="97"/>
        <w:ind w:firstLine="640"/>
      </w:pPr>
      <w:r>
        <w:rPr>
          <w:rFonts w:hint="eastAsia"/>
        </w:rPr>
        <w:t>生态优先、绿色发展</w:t>
      </w:r>
    </w:p>
    <w:p>
      <w:pPr>
        <w:spacing w:before="65"/>
        <w:ind w:firstLine="640"/>
      </w:pPr>
      <w:r>
        <w:rPr>
          <w:rFonts w:hint="eastAsia"/>
        </w:rPr>
        <w:t>贯彻新时代新要求，坚持内涵式、集约型、绿色化的高质量发展新路子，在资源环境紧约束下编制规划，推动形成绿色发展方式和生活方式，形成发展新的增长点和竞争力。</w:t>
      </w:r>
    </w:p>
    <w:p>
      <w:pPr>
        <w:pStyle w:val="5"/>
        <w:spacing w:before="97" w:after="97"/>
        <w:ind w:firstLine="640"/>
      </w:pPr>
      <w:r>
        <w:rPr>
          <w:rFonts w:hint="eastAsia"/>
        </w:rPr>
        <w:t>以人为本、品质提升</w:t>
      </w:r>
    </w:p>
    <w:p>
      <w:pPr>
        <w:spacing w:before="65"/>
        <w:ind w:firstLine="640"/>
      </w:pPr>
      <w:r>
        <w:rPr>
          <w:rFonts w:hint="eastAsia"/>
        </w:rPr>
        <w:t>坚持以人民为中心，塑造高品质人居环境，着力破解各类民生问题，不断提升人民群众的获得感、幸福感、安全感。</w:t>
      </w:r>
    </w:p>
    <w:p>
      <w:pPr>
        <w:pStyle w:val="5"/>
        <w:spacing w:before="97" w:after="97"/>
        <w:ind w:firstLine="640"/>
      </w:pPr>
      <w:r>
        <w:rPr>
          <w:rFonts w:hint="eastAsia"/>
        </w:rPr>
        <w:t>全域统筹、城乡融合</w:t>
      </w:r>
    </w:p>
    <w:p>
      <w:pPr>
        <w:spacing w:before="65"/>
        <w:ind w:firstLine="640"/>
      </w:pPr>
      <w:r>
        <w:rPr>
          <w:rFonts w:hint="eastAsia"/>
        </w:rPr>
        <w:t>结合本地实际，发挥本地特色和优势，落实乡村振兴、区域协调发展、可持续发展等空间发展战略，推动形成开放协调的空间发展格局。</w:t>
      </w:r>
    </w:p>
    <w:p>
      <w:pPr>
        <w:pStyle w:val="5"/>
        <w:spacing w:before="97" w:after="97"/>
        <w:ind w:firstLine="640"/>
      </w:pPr>
      <w:r>
        <w:rPr>
          <w:rFonts w:hint="eastAsia"/>
        </w:rPr>
        <w:t>问题导向、目标导向</w:t>
      </w:r>
    </w:p>
    <w:p>
      <w:pPr>
        <w:spacing w:before="65"/>
        <w:ind w:firstLine="640"/>
      </w:pPr>
      <w:r>
        <w:rPr>
          <w:rFonts w:hint="eastAsia"/>
        </w:rPr>
        <w:t>按照“问题-目标-策略-机制”的逻辑，因地制宜制定规划方案和实施措施，充分发挥乡镇级总规在空间治理中的基础作用，确保规划能用、管用、好用。</w:t>
      </w:r>
    </w:p>
    <w:p>
      <w:pPr>
        <w:pStyle w:val="4"/>
        <w:spacing w:before="195" w:after="195"/>
      </w:pPr>
      <w:r>
        <w:rPr>
          <w:rFonts w:hint="eastAsia"/>
        </w:rPr>
        <w:t>规划范围</w:t>
      </w:r>
    </w:p>
    <w:p>
      <w:pPr>
        <w:spacing w:before="65"/>
        <w:ind w:firstLine="640"/>
      </w:pPr>
      <w:r>
        <w:rPr>
          <w:rFonts w:hint="eastAsia"/>
        </w:rPr>
        <w:t>规划范围为余关镇行政辖区内全部国土空间，包含镇域和镇区两个层次。其中：</w:t>
      </w:r>
    </w:p>
    <w:p>
      <w:pPr>
        <w:spacing w:before="65"/>
        <w:ind w:firstLine="640"/>
      </w:pPr>
      <w:r>
        <w:rPr>
          <w:rFonts w:hint="eastAsia"/>
        </w:rPr>
        <w:t>镇域范围为余关镇行政辖区内全部国土空间，总面积</w:t>
      </w:r>
      <w:bookmarkStart w:id="6" w:name="_Hlk207808804"/>
      <w:r>
        <w:rPr>
          <w:rFonts w:hint="eastAsia"/>
        </w:rPr>
        <w:t>11</w:t>
      </w:r>
      <w:bookmarkEnd w:id="6"/>
      <w:r>
        <w:rPr>
          <w:rFonts w:hint="eastAsia"/>
        </w:rPr>
        <w:t>3</w:t>
      </w:r>
      <w:r>
        <w:t>平方公里。</w:t>
      </w:r>
    </w:p>
    <w:p>
      <w:pPr>
        <w:spacing w:before="65"/>
        <w:ind w:firstLine="640"/>
      </w:pPr>
      <w:r>
        <w:rPr>
          <w:rFonts w:hint="eastAsia"/>
        </w:rPr>
        <w:t>镇区范围为</w:t>
      </w:r>
      <w:bookmarkStart w:id="7" w:name="_Hlk207808835"/>
      <w:r>
        <w:rPr>
          <w:rFonts w:hint="eastAsia"/>
        </w:rPr>
        <w:t>余关镇政府驻地周边，朝阳路</w:t>
      </w:r>
      <w:r>
        <w:t>两侧城镇开发边界范围</w:t>
      </w:r>
      <w:r>
        <w:rPr>
          <w:rFonts w:hint="eastAsia"/>
        </w:rPr>
        <w:t>和村庄建设边界区域</w:t>
      </w:r>
      <w:r>
        <w:t>，</w:t>
      </w:r>
      <w:r>
        <w:rPr>
          <w:rFonts w:hint="eastAsia"/>
        </w:rPr>
        <w:t>其中，城镇开发边界</w:t>
      </w:r>
      <w:r>
        <w:t>总面积</w:t>
      </w:r>
      <w:r>
        <w:rPr>
          <w:rFonts w:hint="eastAsia"/>
        </w:rPr>
        <w:t>50.94</w:t>
      </w:r>
      <w:r>
        <w:t>公顷</w:t>
      </w:r>
      <w:bookmarkEnd w:id="7"/>
      <w:r>
        <w:rPr>
          <w:rFonts w:hint="eastAsia"/>
          <w:lang w:bidi="ar"/>
        </w:rPr>
        <w:t>。</w:t>
      </w:r>
    </w:p>
    <w:p>
      <w:pPr>
        <w:pStyle w:val="4"/>
        <w:spacing w:before="195" w:after="195"/>
      </w:pPr>
      <w:r>
        <w:rPr>
          <w:rFonts w:hint="eastAsia"/>
        </w:rPr>
        <w:t>规划期限</w:t>
      </w:r>
    </w:p>
    <w:p>
      <w:pPr>
        <w:spacing w:before="65"/>
        <w:ind w:firstLine="640"/>
      </w:pPr>
      <w:r>
        <w:rPr>
          <w:rFonts w:hint="eastAsia"/>
        </w:rPr>
        <w:t>规划期限为2</w:t>
      </w:r>
      <w:r>
        <w:t>021</w:t>
      </w:r>
      <w:r>
        <w:rPr>
          <w:rFonts w:hint="eastAsia"/>
        </w:rPr>
        <w:t>年至2</w:t>
      </w:r>
      <w:r>
        <w:t>035</w:t>
      </w:r>
      <w:r>
        <w:rPr>
          <w:rFonts w:hint="eastAsia"/>
        </w:rPr>
        <w:t>年。</w:t>
      </w:r>
    </w:p>
    <w:p>
      <w:pPr>
        <w:spacing w:before="65"/>
        <w:ind w:firstLine="640"/>
      </w:pPr>
      <w:r>
        <w:rPr>
          <w:rFonts w:hint="eastAsia"/>
        </w:rPr>
        <w:t>基期年为2</w:t>
      </w:r>
      <w:r>
        <w:t>020</w:t>
      </w:r>
      <w:r>
        <w:rPr>
          <w:rFonts w:hint="eastAsia"/>
        </w:rPr>
        <w:t>年，近期至2</w:t>
      </w:r>
      <w:r>
        <w:t>025</w:t>
      </w:r>
      <w:r>
        <w:rPr>
          <w:rFonts w:hint="eastAsia"/>
        </w:rPr>
        <w:t>年，</w:t>
      </w:r>
      <w:r>
        <w:t>远期至2035年，</w:t>
      </w:r>
      <w:r>
        <w:rPr>
          <w:rFonts w:hint="eastAsia"/>
        </w:rPr>
        <w:t>远景展望至2</w:t>
      </w:r>
      <w:r>
        <w:t>050</w:t>
      </w:r>
      <w:r>
        <w:rPr>
          <w:rFonts w:hint="eastAsia"/>
        </w:rPr>
        <w:t>年。</w:t>
      </w:r>
    </w:p>
    <w:p>
      <w:pPr>
        <w:pStyle w:val="4"/>
        <w:spacing w:before="195" w:after="195"/>
      </w:pPr>
      <w:r>
        <w:rPr>
          <w:rFonts w:hint="eastAsia"/>
        </w:rPr>
        <w:t>规划成果</w:t>
      </w:r>
    </w:p>
    <w:p>
      <w:pPr>
        <w:spacing w:before="65"/>
        <w:ind w:firstLine="640"/>
      </w:pPr>
      <w:r>
        <w:rPr>
          <w:rFonts w:hint="eastAsia"/>
        </w:rPr>
        <w:t>规划成果包括规划文本、图集、数据库和附件。附件包括规划说明、征求意见采纳情况、专家论证意见等其他材料。其中，规划文本、图件是法定文件。规划说明和相关附件是支撑法定性文件的论证依据。</w:t>
      </w:r>
    </w:p>
    <w:p>
      <w:pPr>
        <w:pStyle w:val="4"/>
      </w:pPr>
      <w:r>
        <w:rPr>
          <w:rFonts w:hint="eastAsia"/>
        </w:rPr>
        <w:t>强制性内容</w:t>
      </w:r>
    </w:p>
    <w:p>
      <w:pPr>
        <w:spacing w:before="65"/>
        <w:ind w:firstLine="640"/>
      </w:pPr>
      <w:r>
        <w:rPr>
          <w:rFonts w:hint="eastAsia"/>
        </w:rPr>
        <w:t>文本条款中下划线部分为强制性内容，应严格遵守落实。规划实施管理不得违背强制性内容，调整强制性内容必须按照相关法定程序执行。</w:t>
      </w:r>
    </w:p>
    <w:p>
      <w:pPr>
        <w:spacing w:before="65"/>
        <w:ind w:firstLine="640"/>
      </w:pPr>
      <w:r>
        <w:br w:type="page"/>
      </w:r>
    </w:p>
    <w:p>
      <w:pPr>
        <w:spacing w:before="65"/>
        <w:ind w:firstLine="640"/>
      </w:pPr>
    </w:p>
    <w:p>
      <w:pPr>
        <w:pStyle w:val="2"/>
        <w:spacing w:before="489" w:after="489"/>
      </w:pPr>
      <w:bookmarkStart w:id="8" w:name="_Toc207114512"/>
      <w:r>
        <w:rPr>
          <w:rFonts w:hint="eastAsia"/>
        </w:rPr>
        <w:t>现状分析</w:t>
      </w:r>
      <w:bookmarkEnd w:id="8"/>
    </w:p>
    <w:p>
      <w:pPr>
        <w:pStyle w:val="3"/>
      </w:pPr>
      <w:r>
        <w:rPr>
          <w:rFonts w:hint="eastAsia"/>
        </w:rPr>
        <w:t>自然地理格局和资源禀赋</w:t>
      </w:r>
    </w:p>
    <w:p>
      <w:pPr>
        <w:pStyle w:val="4"/>
        <w:spacing w:before="195" w:after="195"/>
      </w:pPr>
      <w:bookmarkStart w:id="9" w:name="_Hlk150173612"/>
      <w:r>
        <w:rPr>
          <w:rFonts w:hint="eastAsia"/>
        </w:rPr>
        <w:t>自然地理格局</w:t>
      </w:r>
    </w:p>
    <w:bookmarkEnd w:id="9"/>
    <w:p>
      <w:pPr>
        <w:spacing w:before="65" w:after="120"/>
        <w:ind w:firstLine="640"/>
      </w:pPr>
      <w:r>
        <w:rPr>
          <w:rFonts w:hint="eastAsia"/>
        </w:rPr>
        <w:t>地形地貌。余关镇整体地势北高南低，北部浅山区一般在海拔500米左右，最高处新寨海拔789.5米，南部低潮，最低处谢寨海拔200米左右，形成近似“靠椅”状。</w:t>
      </w:r>
    </w:p>
    <w:p>
      <w:pPr>
        <w:spacing w:before="65" w:after="120"/>
        <w:ind w:firstLine="640"/>
      </w:pPr>
      <w:r>
        <w:rPr>
          <w:rFonts w:hint="eastAsia"/>
        </w:rPr>
        <w:t>气候气象。余关镇位于暖温带向北亚热带的过渡地带，属北亚热带季风型大陆性气候，气候温和，降雨适中，年均降水量790毫米，年平均气温15°C左右，历年平均相对湿度为73%，属长江流域、唐白河水系。</w:t>
      </w:r>
    </w:p>
    <w:p>
      <w:pPr>
        <w:spacing w:before="65" w:after="120"/>
        <w:ind w:firstLine="640"/>
      </w:pPr>
      <w:r>
        <w:rPr>
          <w:rFonts w:hint="eastAsia"/>
        </w:rPr>
        <w:t>河流水系：</w:t>
      </w:r>
      <w:bookmarkStart w:id="10" w:name="_Hlk207809766"/>
      <w:r>
        <w:rPr>
          <w:rFonts w:hint="eastAsia"/>
        </w:rPr>
        <w:t>余关镇内有</w:t>
      </w:r>
      <w:bookmarkStart w:id="11" w:name="_Hlk207730421"/>
      <w:r>
        <w:rPr>
          <w:rFonts w:hint="eastAsia"/>
        </w:rPr>
        <w:t>板桥河、代军河、孙沟河、余关庙河、代军河水库、王庄水库、杨洼水库</w:t>
      </w:r>
      <w:bookmarkEnd w:id="11"/>
      <w:r>
        <w:rPr>
          <w:rFonts w:hint="eastAsia"/>
        </w:rPr>
        <w:t>等</w:t>
      </w:r>
      <w:bookmarkEnd w:id="10"/>
      <w:r>
        <w:rPr>
          <w:rFonts w:hint="eastAsia"/>
        </w:rPr>
        <w:t>。</w:t>
      </w:r>
    </w:p>
    <w:p>
      <w:pPr>
        <w:pStyle w:val="4"/>
        <w:spacing w:before="195" w:after="195"/>
      </w:pPr>
      <w:bookmarkStart w:id="12" w:name="_Hlk150173613"/>
      <w:r>
        <w:rPr>
          <w:rFonts w:hint="eastAsia"/>
        </w:rPr>
        <w:t>资源禀赋</w:t>
      </w:r>
    </w:p>
    <w:bookmarkEnd w:id="12"/>
    <w:p>
      <w:pPr>
        <w:spacing w:before="65"/>
        <w:ind w:firstLine="640"/>
      </w:pPr>
      <w:r>
        <w:rPr>
          <w:rFonts w:hint="eastAsia"/>
        </w:rPr>
        <w:t>耕地资源：余关镇域内耕地总面积为</w:t>
      </w:r>
      <w:bookmarkStart w:id="13" w:name="_Hlk207809298"/>
      <w:r>
        <w:rPr>
          <w:rFonts w:hint="eastAsia"/>
        </w:rPr>
        <w:t>5447.29</w:t>
      </w:r>
      <w:bookmarkEnd w:id="13"/>
      <w:r>
        <w:t>公顷，占全镇域总用地面积比例为</w:t>
      </w:r>
      <w:r>
        <w:rPr>
          <w:rFonts w:hint="eastAsia"/>
        </w:rPr>
        <w:t>48.33</w:t>
      </w:r>
      <w:r>
        <w:t>%。其中</w:t>
      </w:r>
      <w:r>
        <w:rPr>
          <w:rFonts w:hint="eastAsia"/>
        </w:rPr>
        <w:t>99</w:t>
      </w:r>
      <w:r>
        <w:t>%</w:t>
      </w:r>
      <w:r>
        <w:rPr>
          <w:rFonts w:hint="eastAsia"/>
        </w:rPr>
        <w:t>以上</w:t>
      </w:r>
      <w:r>
        <w:t>为旱地，</w:t>
      </w:r>
      <w:r>
        <w:rPr>
          <w:rFonts w:hint="eastAsia"/>
        </w:rPr>
        <w:t>主要种植小麦、玉米、红薯等粮食作物</w:t>
      </w:r>
      <w:r>
        <w:t>。</w:t>
      </w:r>
    </w:p>
    <w:p>
      <w:pPr>
        <w:spacing w:before="65"/>
        <w:ind w:firstLine="640"/>
      </w:pPr>
      <w:r>
        <w:rPr>
          <w:rFonts w:hint="eastAsia"/>
        </w:rPr>
        <w:t>矿产资源：</w:t>
      </w:r>
      <w:bookmarkStart w:id="14" w:name="_Hlk209192762"/>
      <w:r>
        <w:rPr>
          <w:rFonts w:hint="eastAsia"/>
        </w:rPr>
        <w:t>余关镇境内矿藏较少，在梁坪牛山腰上探查有金矿，孙沟杨洼有石灰石、滑石</w:t>
      </w:r>
      <w:bookmarkEnd w:id="14"/>
      <w:r>
        <w:rPr>
          <w:rFonts w:hint="eastAsia"/>
        </w:rPr>
        <w:t>。</w:t>
      </w:r>
    </w:p>
    <w:p>
      <w:pPr>
        <w:spacing w:before="65"/>
        <w:ind w:firstLine="640"/>
      </w:pPr>
      <w:r>
        <w:rPr>
          <w:rFonts w:hint="eastAsia"/>
        </w:rPr>
        <w:t>文化资源：</w:t>
      </w:r>
      <w:bookmarkStart w:id="15" w:name="_Hlk207809793"/>
      <w:r>
        <w:rPr>
          <w:rFonts w:hint="eastAsia"/>
        </w:rPr>
        <w:t>余关镇有1处县级文物保护单位，为麦子山石寨遗址；46处未定级文物点</w:t>
      </w:r>
      <w:bookmarkEnd w:id="15"/>
      <w:r>
        <w:rPr>
          <w:rFonts w:hint="eastAsia"/>
        </w:rPr>
        <w:t>。</w:t>
      </w:r>
    </w:p>
    <w:p>
      <w:pPr>
        <w:spacing w:before="65"/>
        <w:ind w:firstLine="640"/>
      </w:pPr>
      <w:r>
        <w:rPr>
          <w:rFonts w:hint="eastAsia"/>
        </w:rPr>
        <w:t>旅游资源：</w:t>
      </w:r>
      <w:bookmarkStart w:id="16" w:name="_Hlk207809802"/>
      <w:r>
        <w:rPr>
          <w:rFonts w:hint="eastAsia"/>
        </w:rPr>
        <w:t>余关主要为农业旅游资源，围绕</w:t>
      </w:r>
      <w:bookmarkStart w:id="17" w:name="_Hlk209012739"/>
      <w:r>
        <w:rPr>
          <w:rFonts w:hint="eastAsia"/>
        </w:rPr>
        <w:t>“东烟、西果、南猪、北药”</w:t>
      </w:r>
      <w:bookmarkEnd w:id="17"/>
      <w:r>
        <w:rPr>
          <w:rFonts w:hint="eastAsia"/>
        </w:rPr>
        <w:t>的特色产业格局，深度挖掘农业农村旅游资源，在西部</w:t>
      </w:r>
      <w:bookmarkStart w:id="18" w:name="_Hlk209012746"/>
      <w:r>
        <w:rPr>
          <w:rFonts w:hint="eastAsia"/>
        </w:rPr>
        <w:t>代军河</w:t>
      </w:r>
      <w:bookmarkEnd w:id="18"/>
      <w:r>
        <w:rPr>
          <w:rFonts w:hint="eastAsia"/>
        </w:rPr>
        <w:t>流域，以代军河廉洁文化主题游园为中心，将黄楝、子育、独树等村穿点成线，利用区域资源禀赋和基础设施优势，推进农文旅深度融合，持续探索走好“生态宜居+文明幸福”的新路子</w:t>
      </w:r>
      <w:bookmarkEnd w:id="16"/>
      <w:r>
        <w:rPr>
          <w:rFonts w:hint="eastAsia"/>
        </w:rPr>
        <w:t>。</w:t>
      </w:r>
    </w:p>
    <w:p>
      <w:pPr>
        <w:pStyle w:val="4"/>
        <w:spacing w:before="195" w:after="195"/>
      </w:pPr>
      <w:bookmarkStart w:id="19" w:name="_Hlk150173614"/>
      <w:r>
        <w:rPr>
          <w:rFonts w:hint="eastAsia"/>
        </w:rPr>
        <w:t>国土空间用地现状</w:t>
      </w:r>
      <w:bookmarkEnd w:id="19"/>
    </w:p>
    <w:p>
      <w:pPr>
        <w:spacing w:before="65"/>
        <w:ind w:firstLine="640"/>
      </w:pPr>
      <w:r>
        <w:rPr>
          <w:rFonts w:hint="eastAsia"/>
        </w:rPr>
        <w:t>根据</w:t>
      </w:r>
      <w:r>
        <w:t>2020年国土变更调查数据，余关镇镇域总面积为</w:t>
      </w:r>
      <w:bookmarkStart w:id="20" w:name="_Hlk207809133"/>
      <w:r>
        <w:rPr>
          <w:rFonts w:hint="eastAsia"/>
        </w:rPr>
        <w:t>11271.70</w:t>
      </w:r>
      <w:r>
        <w:t>公顷，其中，耕地</w:t>
      </w:r>
      <w:r>
        <w:rPr>
          <w:rFonts w:hint="eastAsia"/>
        </w:rPr>
        <w:t>5447.29</w:t>
      </w:r>
      <w:r>
        <w:t>公顷，占比</w:t>
      </w:r>
      <w:r>
        <w:rPr>
          <w:rFonts w:hint="eastAsia"/>
        </w:rPr>
        <w:t>48.33</w:t>
      </w:r>
      <w:r>
        <w:t>%，园地</w:t>
      </w:r>
      <w:r>
        <w:rPr>
          <w:rFonts w:hint="eastAsia"/>
        </w:rPr>
        <w:t>1125.66</w:t>
      </w:r>
      <w:r>
        <w:t>公顷，占比</w:t>
      </w:r>
      <w:r>
        <w:rPr>
          <w:rFonts w:hint="eastAsia"/>
        </w:rPr>
        <w:t>9.99</w:t>
      </w:r>
      <w:r>
        <w:t>%，林地</w:t>
      </w:r>
      <w:r>
        <w:rPr>
          <w:rFonts w:hint="eastAsia"/>
        </w:rPr>
        <w:t>2409.07</w:t>
      </w:r>
      <w:r>
        <w:t>公顷，占比</w:t>
      </w:r>
      <w:r>
        <w:rPr>
          <w:rFonts w:hint="eastAsia"/>
        </w:rPr>
        <w:t>21.37</w:t>
      </w:r>
      <w:r>
        <w:t>%，草地</w:t>
      </w:r>
      <w:r>
        <w:rPr>
          <w:rFonts w:hint="eastAsia"/>
        </w:rPr>
        <w:t>89.52</w:t>
      </w:r>
      <w:r>
        <w:t>公顷，占比</w:t>
      </w:r>
      <w:r>
        <w:rPr>
          <w:rFonts w:hint="eastAsia"/>
        </w:rPr>
        <w:t>0.79</w:t>
      </w:r>
      <w:r>
        <w:t>%，湿地</w:t>
      </w:r>
      <w:r>
        <w:rPr>
          <w:rFonts w:hint="eastAsia"/>
        </w:rPr>
        <w:t>3.13</w:t>
      </w:r>
      <w:r>
        <w:t>公顷，占比</w:t>
      </w:r>
      <w:r>
        <w:rPr>
          <w:rFonts w:hint="eastAsia"/>
        </w:rPr>
        <w:t>0.03</w:t>
      </w:r>
      <w:r>
        <w:t>%，乡村道路用地</w:t>
      </w:r>
      <w:r>
        <w:rPr>
          <w:rFonts w:hint="eastAsia"/>
        </w:rPr>
        <w:t>275.82</w:t>
      </w:r>
      <w:r>
        <w:t>公顷，占比</w:t>
      </w:r>
      <w:r>
        <w:rPr>
          <w:rFonts w:hint="eastAsia"/>
        </w:rPr>
        <w:t>2.45</w:t>
      </w:r>
      <w:r>
        <w:t>%，设施农用地</w:t>
      </w:r>
      <w:r>
        <w:rPr>
          <w:rFonts w:hint="eastAsia"/>
        </w:rPr>
        <w:t>202.09</w:t>
      </w:r>
      <w:r>
        <w:t>公顷，占比</w:t>
      </w:r>
      <w:r>
        <w:rPr>
          <w:rFonts w:hint="eastAsia"/>
        </w:rPr>
        <w:t>1.79</w:t>
      </w:r>
      <w:r>
        <w:t>%，城镇用地</w:t>
      </w:r>
      <w:r>
        <w:rPr>
          <w:rFonts w:hint="eastAsia"/>
        </w:rPr>
        <w:t>50.98</w:t>
      </w:r>
      <w:r>
        <w:t>公顷，占比</w:t>
      </w:r>
      <w:r>
        <w:rPr>
          <w:rFonts w:hint="eastAsia"/>
        </w:rPr>
        <w:t>0.45</w:t>
      </w:r>
      <w:r>
        <w:t>%，村庄用地</w:t>
      </w:r>
      <w:r>
        <w:rPr>
          <w:rFonts w:hint="eastAsia"/>
        </w:rPr>
        <w:t>776.16</w:t>
      </w:r>
      <w:r>
        <w:t>公顷，占比</w:t>
      </w:r>
      <w:r>
        <w:rPr>
          <w:rFonts w:hint="eastAsia"/>
        </w:rPr>
        <w:t>6.89</w:t>
      </w:r>
      <w:r>
        <w:t>%，区域基础设施用地</w:t>
      </w:r>
      <w:r>
        <w:rPr>
          <w:rFonts w:hint="eastAsia"/>
        </w:rPr>
        <w:t>66.59</w:t>
      </w:r>
      <w:r>
        <w:t>公顷，占比</w:t>
      </w:r>
      <w:r>
        <w:rPr>
          <w:rFonts w:hint="eastAsia"/>
        </w:rPr>
        <w:t>0.59</w:t>
      </w:r>
      <w:r>
        <w:t>%，其他建设</w:t>
      </w:r>
      <w:r>
        <w:rPr>
          <w:rFonts w:hint="eastAsia"/>
        </w:rPr>
        <w:t>用地26.90</w:t>
      </w:r>
      <w:r>
        <w:t>公顷，占比</w:t>
      </w:r>
      <w:r>
        <w:rPr>
          <w:rFonts w:hint="eastAsia"/>
        </w:rPr>
        <w:t>0.24</w:t>
      </w:r>
      <w:r>
        <w:t>%，陆地水域</w:t>
      </w:r>
      <w:r>
        <w:rPr>
          <w:rFonts w:hint="eastAsia"/>
        </w:rPr>
        <w:t>256.53</w:t>
      </w:r>
      <w:r>
        <w:t>公顷，占比</w:t>
      </w:r>
      <w:r>
        <w:rPr>
          <w:rFonts w:hint="eastAsia"/>
        </w:rPr>
        <w:t>2.28</w:t>
      </w:r>
      <w:r>
        <w:t>%，其他土地</w:t>
      </w:r>
      <w:r>
        <w:rPr>
          <w:rFonts w:hint="eastAsia"/>
        </w:rPr>
        <w:t>541.95</w:t>
      </w:r>
      <w:r>
        <w:t>公顷，占比</w:t>
      </w:r>
      <w:r>
        <w:rPr>
          <w:rFonts w:hint="eastAsia"/>
        </w:rPr>
        <w:t>4.81</w:t>
      </w:r>
      <w:r>
        <w:t>%</w:t>
      </w:r>
      <w:bookmarkEnd w:id="20"/>
      <w:r>
        <w:t>。</w:t>
      </w:r>
    </w:p>
    <w:p>
      <w:pPr>
        <w:pStyle w:val="3"/>
      </w:pPr>
      <w:r>
        <w:rPr>
          <w:rFonts w:hint="eastAsia"/>
        </w:rPr>
        <w:t>发展现状与发展成效</w:t>
      </w:r>
    </w:p>
    <w:p>
      <w:pPr>
        <w:pStyle w:val="4"/>
        <w:spacing w:before="195" w:after="195"/>
      </w:pPr>
      <w:r>
        <w:rPr>
          <w:rFonts w:hint="eastAsia"/>
        </w:rPr>
        <w:t>发展现状与成效</w:t>
      </w:r>
    </w:p>
    <w:p>
      <w:pPr>
        <w:spacing w:before="65"/>
        <w:ind w:firstLine="640"/>
      </w:pPr>
      <w:r>
        <w:rPr>
          <w:rFonts w:hint="eastAsia"/>
        </w:rPr>
        <w:t>全国“一村一品”示范村镇，河南省省级农业产业强镇，河南省农村人居环境集中整治行动先进单位。2019年被农业农村部认定为全国“一村一品”示范村镇，2022年余关镇被评为河南省省级农业产业强镇，河南省农村人居环境集中整治行动先进单位，黄楝村也同时被评为河南省农村人居环境集中整治行动先进单位，子育村还被评为省级水土保持生态村。</w:t>
      </w:r>
    </w:p>
    <w:p>
      <w:pPr>
        <w:spacing w:before="65"/>
        <w:ind w:firstLine="640"/>
      </w:pPr>
      <w:bookmarkStart w:id="21" w:name="_Hlk209012814"/>
      <w:r>
        <w:rPr>
          <w:rFonts w:hint="eastAsia"/>
        </w:rPr>
        <w:t>生态林业方面，建成了全省最大的连片薄壳核桃种植基地，面积超过7万亩，获得了无公害生产基地及无公害产品认证、国家工商总局地理标志“内乡核桃”商标、被中国经济林协会授予“中国核桃之乡”称号。围绕余关烟叶、林果、养猪三大产业并驾齐驱，树牢“一叶一果一猪”产业目标。林果产业，发挥地域资源优势，积极发展林果种植，实现核桃、石榴、猕猴桃、黑李等瓜果飘香</w:t>
      </w:r>
      <w:bookmarkEnd w:id="21"/>
      <w:r>
        <w:rPr>
          <w:rFonts w:hint="eastAsia"/>
        </w:rPr>
        <w:t>。</w:t>
      </w:r>
    </w:p>
    <w:p>
      <w:pPr>
        <w:spacing w:before="65"/>
        <w:ind w:firstLine="640"/>
      </w:pPr>
      <w:r>
        <w:rPr>
          <w:rFonts w:hint="eastAsia"/>
        </w:rPr>
        <w:t>生态养殖方面，建成了全球最大的单体养殖场----河南牧原十七分厂，配套了占地5000亩的生态示范园，成为全省最大的标准化生态养殖示范场。北京信晟佳业投资的2个超亿元复混肥项目，以养殖废物为原料，变废为宝，生产的复混肥成为烟叶、核桃等产业的优质肥源，实现了生态产业循环发展。</w:t>
      </w:r>
    </w:p>
    <w:p>
      <w:pPr>
        <w:spacing w:before="65"/>
        <w:ind w:firstLine="640"/>
      </w:pPr>
      <w:r>
        <w:rPr>
          <w:rFonts w:hint="eastAsia"/>
        </w:rPr>
        <w:t>高效农业方面，依托打磨岗灌区优越的水利条件，发展高效烟叶产业，建成了集“二社二厂一中心”为一体的现代烟草产业集聚区，提供从整地、育苗、移栽、植保、采收烘烤等全方位服务，全年烟叶种植面积2万亩以上，稳居南阳市烟叶第一乡。</w:t>
      </w:r>
    </w:p>
    <w:p>
      <w:pPr>
        <w:spacing w:before="65"/>
        <w:ind w:firstLine="640"/>
      </w:pPr>
      <w:r>
        <w:rPr>
          <w:rFonts w:hint="eastAsia"/>
        </w:rPr>
        <w:t>经济高增长发展，综合实力不断提升。2020年底，全镇完成国内生产总值9.52亿元，比2015年底3.78亿元，增长150%；完成固定资产投资投资额31.4亿元，比2015年底1.07亿元，增长了30.33亿元；2020年全镇财政收入1567万元，比2019年（983万）增长50%，比2018年（807万）翻了一番，实现了历史新高。农村居民人均可支配收入11420元，比2015年底6335元，增长了80%。</w:t>
      </w:r>
    </w:p>
    <w:p>
      <w:pPr>
        <w:pStyle w:val="3"/>
      </w:pPr>
      <w:r>
        <w:rPr>
          <w:rFonts w:hint="eastAsia"/>
        </w:rPr>
        <w:t>主要问题和风险挑战</w:t>
      </w:r>
    </w:p>
    <w:p>
      <w:pPr>
        <w:pStyle w:val="4"/>
        <w:spacing w:before="195" w:after="195"/>
      </w:pPr>
      <w:r>
        <w:rPr>
          <w:rFonts w:hint="eastAsia"/>
        </w:rPr>
        <w:t>主要问题</w:t>
      </w:r>
    </w:p>
    <w:p>
      <w:pPr>
        <w:spacing w:before="65"/>
        <w:ind w:firstLine="640"/>
        <w:rPr>
          <w:lang w:bidi="ar"/>
        </w:rPr>
      </w:pPr>
      <w:bookmarkStart w:id="22" w:name="_Hlk207461563"/>
      <w:r>
        <w:rPr>
          <w:rFonts w:hint="eastAsia"/>
          <w:lang w:bidi="ar"/>
        </w:rPr>
        <w:t>镇域公共服务设施和基础设施建设有待加强。</w:t>
      </w:r>
      <w:r>
        <w:rPr>
          <w:lang w:bidi="ar"/>
        </w:rPr>
        <w:t>全镇公共服务设施配置尚可，但缺少</w:t>
      </w:r>
      <w:r>
        <w:rPr>
          <w:rFonts w:hint="eastAsia"/>
          <w:lang w:bidi="ar"/>
        </w:rPr>
        <w:t>养老、</w:t>
      </w:r>
      <w:r>
        <w:rPr>
          <w:lang w:bidi="ar"/>
        </w:rPr>
        <w:t>体育、公园绿地等。基础设施不够完善，排污、污水处理等方面存在不足，基础设施建设有待进一步加强。</w:t>
      </w:r>
    </w:p>
    <w:p>
      <w:pPr>
        <w:spacing w:before="65"/>
        <w:ind w:firstLine="640"/>
        <w:rPr>
          <w:lang w:bidi="ar"/>
        </w:rPr>
      </w:pPr>
      <w:r>
        <w:rPr>
          <w:rFonts w:hint="eastAsia"/>
          <w:lang w:bidi="ar"/>
        </w:rPr>
        <w:t>镇域人居环境有待进一步提升。近年来余关镇积极开</w:t>
      </w:r>
      <w:r>
        <w:rPr>
          <w:lang w:bidi="ar"/>
        </w:rPr>
        <w:t>展镇域人居环境整治，实现农村垃圾社会化运行、全面推行厕所革命等，村庄人居环境得到有效提升，但仍存在污水胡乱排放、房前屋后杂物堆放、部分道路未硬化等方面的问题，需进一步加强人居环境整治，从而提升乡村风貌</w:t>
      </w:r>
      <w:bookmarkEnd w:id="22"/>
      <w:r>
        <w:rPr>
          <w:lang w:bidi="ar"/>
        </w:rPr>
        <w:t>。</w:t>
      </w:r>
    </w:p>
    <w:p>
      <w:pPr>
        <w:pStyle w:val="4"/>
        <w:spacing w:before="195" w:after="195"/>
      </w:pPr>
      <w:r>
        <w:rPr>
          <w:rFonts w:hint="eastAsia"/>
        </w:rPr>
        <w:t>风险挑战</w:t>
      </w:r>
    </w:p>
    <w:p>
      <w:pPr>
        <w:spacing w:before="65"/>
        <w:ind w:firstLine="640"/>
      </w:pPr>
      <w:bookmarkStart w:id="23" w:name="_Hlk207461574"/>
      <w:r>
        <w:rPr>
          <w:rFonts w:hint="eastAsia"/>
        </w:rPr>
        <w:t>余关镇梁坪村、麦西村位于地质灾害高风险区，</w:t>
      </w:r>
      <w:r>
        <w:t>成为威胁人民群众生命和生产生活安全的主要灾害风险之一。</w:t>
      </w:r>
    </w:p>
    <w:p>
      <w:pPr>
        <w:spacing w:before="65"/>
        <w:ind w:firstLine="640"/>
      </w:pPr>
      <w:r>
        <w:rPr>
          <w:rFonts w:hint="eastAsia"/>
        </w:rPr>
        <w:t>人口外流及人口老龄化风险。随着社会经济发展，</w:t>
      </w:r>
      <w:r>
        <w:t>区域要素流动将更加频繁，人口外流</w:t>
      </w:r>
      <w:r>
        <w:rPr>
          <w:rFonts w:hint="eastAsia"/>
        </w:rPr>
        <w:t>、人口老龄化</w:t>
      </w:r>
      <w:r>
        <w:t>对</w:t>
      </w:r>
      <w:r>
        <w:rPr>
          <w:rFonts w:hint="eastAsia"/>
        </w:rPr>
        <w:t>余关镇</w:t>
      </w:r>
      <w:r>
        <w:t>未来城镇化率和产业发展将产生重大影响，</w:t>
      </w:r>
      <w:r>
        <w:rPr>
          <w:rFonts w:hint="eastAsia"/>
        </w:rPr>
        <w:t>余关镇社会福利体系构建也存在一定压力</w:t>
      </w:r>
      <w:bookmarkEnd w:id="23"/>
      <w:r>
        <w:t>。</w:t>
      </w:r>
    </w:p>
    <w:p>
      <w:pPr>
        <w:spacing w:before="65" w:after="120"/>
        <w:ind w:firstLine="640"/>
      </w:pPr>
      <w:r>
        <w:br w:type="page"/>
      </w:r>
    </w:p>
    <w:p>
      <w:pPr>
        <w:spacing w:before="65" w:after="120"/>
        <w:ind w:firstLine="640"/>
      </w:pPr>
    </w:p>
    <w:p>
      <w:pPr>
        <w:pStyle w:val="2"/>
        <w:spacing w:before="489" w:after="489"/>
      </w:pPr>
      <w:bookmarkStart w:id="24" w:name="_Toc207114513"/>
      <w:r>
        <w:rPr>
          <w:rFonts w:hint="eastAsia"/>
        </w:rPr>
        <w:t>发展定位与目标</w:t>
      </w:r>
      <w:bookmarkEnd w:id="24"/>
    </w:p>
    <w:p>
      <w:pPr>
        <w:pStyle w:val="3"/>
      </w:pPr>
      <w:r>
        <w:rPr>
          <w:rFonts w:hint="eastAsia"/>
        </w:rPr>
        <w:t>发展定位</w:t>
      </w:r>
    </w:p>
    <w:p>
      <w:pPr>
        <w:pStyle w:val="4"/>
        <w:spacing w:before="195" w:after="195"/>
      </w:pPr>
      <w:bookmarkStart w:id="25" w:name="_Hlk207118573"/>
      <w:r>
        <w:rPr>
          <w:rFonts w:hint="eastAsia"/>
        </w:rPr>
        <w:t>落实乡镇主体功能</w:t>
      </w:r>
    </w:p>
    <w:p>
      <w:pPr>
        <w:spacing w:before="65"/>
        <w:ind w:firstLine="640"/>
        <w:rPr>
          <w:u w:val="single"/>
        </w:rPr>
      </w:pPr>
      <w:r>
        <w:rPr>
          <w:rFonts w:hint="eastAsia"/>
          <w:u w:val="single"/>
          <w:lang w:bidi="ar"/>
        </w:rPr>
        <w:t>余关镇为</w:t>
      </w:r>
      <w:bookmarkStart w:id="26" w:name="_Hlk207810312"/>
      <w:r>
        <w:rPr>
          <w:rFonts w:hint="eastAsia"/>
          <w:u w:val="single"/>
          <w:lang w:bidi="ar"/>
        </w:rPr>
        <w:t>重点生态功能区</w:t>
      </w:r>
      <w:bookmarkEnd w:id="26"/>
      <w:r>
        <w:rPr>
          <w:rFonts w:hint="eastAsia"/>
          <w:u w:val="single"/>
        </w:rPr>
        <w:t>。</w:t>
      </w:r>
    </w:p>
    <w:bookmarkEnd w:id="25"/>
    <w:p>
      <w:pPr>
        <w:pStyle w:val="4"/>
        <w:spacing w:before="195" w:after="195"/>
      </w:pPr>
      <w:r>
        <w:rPr>
          <w:rFonts w:hint="eastAsia"/>
        </w:rPr>
        <w:t>发展定位</w:t>
      </w:r>
    </w:p>
    <w:p>
      <w:pPr>
        <w:spacing w:before="65"/>
        <w:ind w:firstLine="640"/>
      </w:pPr>
      <w:bookmarkStart w:id="27" w:name="_Hlk209012991"/>
      <w:r>
        <w:rPr>
          <w:rFonts w:hint="eastAsia"/>
        </w:rPr>
        <w:t>以生态种植、养殖和高效农业为核心，以烟、果、猪、药为特色，发展成为全县生态宜居、绿色发展的综合型城镇</w:t>
      </w:r>
      <w:bookmarkEnd w:id="27"/>
      <w:r>
        <w:rPr>
          <w:rFonts w:hint="eastAsia"/>
        </w:rPr>
        <w:t>。</w:t>
      </w:r>
    </w:p>
    <w:p>
      <w:pPr>
        <w:pStyle w:val="3"/>
      </w:pPr>
      <w:r>
        <w:rPr>
          <w:rFonts w:hint="eastAsia"/>
        </w:rPr>
        <w:t>发展目标</w:t>
      </w:r>
    </w:p>
    <w:p>
      <w:pPr>
        <w:pStyle w:val="4"/>
        <w:spacing w:before="195" w:after="195"/>
      </w:pPr>
      <w:r>
        <w:rPr>
          <w:rFonts w:hint="eastAsia"/>
        </w:rPr>
        <w:t>发展目标</w:t>
      </w:r>
    </w:p>
    <w:p>
      <w:pPr>
        <w:pStyle w:val="5"/>
        <w:ind w:firstLine="640"/>
      </w:pPr>
      <w:bookmarkStart w:id="28" w:name="_Hlk207461727"/>
      <w:r>
        <w:t>总体目标</w:t>
      </w:r>
    </w:p>
    <w:p>
      <w:pPr>
        <w:ind w:firstLine="640"/>
      </w:pPr>
      <w:bookmarkStart w:id="29" w:name="_Hlk207810340"/>
      <w:r>
        <w:t>以建设</w:t>
      </w:r>
      <w:r>
        <w:rPr>
          <w:rFonts w:hint="eastAsia"/>
        </w:rPr>
        <w:t>“高效农业示范区、特色林果种植区、乡村旅游发展区”为目标愿景，优化全域国土空间格局，强化底线管控，科学</w:t>
      </w:r>
      <w:r>
        <w:t>高效配置国土空间资源，提升国土空间品质，构建绿色永续、集约高效、协调统筹、宜居共享和安全韧性的国土空间。以创新引领实现三产联动的高质量发展，推进新型城镇化建设，创建高品质人居环境，推动国土空间治理现代化</w:t>
      </w:r>
      <w:bookmarkEnd w:id="29"/>
      <w:r>
        <w:t>。</w:t>
      </w:r>
    </w:p>
    <w:p>
      <w:pPr>
        <w:ind w:firstLine="640"/>
      </w:pPr>
    </w:p>
    <w:p>
      <w:pPr>
        <w:ind w:firstLine="640"/>
      </w:pPr>
    </w:p>
    <w:p>
      <w:pPr>
        <w:ind w:firstLine="640"/>
      </w:pPr>
      <w:r>
        <w:t>2.分阶段目标</w:t>
      </w:r>
    </w:p>
    <w:p>
      <w:pPr>
        <w:ind w:firstLine="640"/>
      </w:pPr>
      <w:r>
        <w:rPr>
          <w:rFonts w:hint="eastAsia"/>
        </w:rPr>
        <w:t>近期目标（</w:t>
      </w:r>
      <w:r>
        <w:t>2025年）：</w:t>
      </w:r>
      <w:bookmarkStart w:id="30" w:name="_Hlk207810355"/>
      <w:r>
        <w:t>严守国土空间安全底线，生态保护红线、永久基本农田保护红线、城镇开发边界得到严格落实，耕地保有量不低于</w:t>
      </w:r>
      <w:r>
        <w:rPr>
          <w:rFonts w:hint="eastAsia"/>
        </w:rPr>
        <w:t>5376.79</w:t>
      </w:r>
      <w:r>
        <w:t>公顷，永久基本农田保护目</w:t>
      </w:r>
      <w:r>
        <w:rPr>
          <w:rFonts w:hint="eastAsia"/>
        </w:rPr>
        <w:t>标不低于5233.17</w:t>
      </w:r>
      <w:r>
        <w:t>公顷；城乡空间布局进一步优化，镇域常</w:t>
      </w:r>
      <w:r>
        <w:rPr>
          <w:rFonts w:hint="eastAsia"/>
        </w:rPr>
        <w:t>住人口约2.30</w:t>
      </w:r>
      <w:r>
        <w:t>万人，</w:t>
      </w:r>
      <w:r>
        <w:rPr>
          <w:rFonts w:hint="eastAsia"/>
        </w:rPr>
        <w:t>城镇</w:t>
      </w:r>
      <w:r>
        <w:t>常住人口规模约</w:t>
      </w:r>
      <w:r>
        <w:rPr>
          <w:rFonts w:hint="eastAsia"/>
        </w:rPr>
        <w:t>0.47</w:t>
      </w:r>
      <w:r>
        <w:t>万人，城镇</w:t>
      </w:r>
      <w:r>
        <w:rPr>
          <w:rFonts w:hint="eastAsia"/>
        </w:rPr>
        <w:t>化率约20</w:t>
      </w:r>
      <w:r>
        <w:t>%，城镇化水平进一步提升，人口进一步集聚；</w:t>
      </w:r>
      <w:r>
        <w:rPr>
          <w:rFonts w:hint="eastAsia"/>
        </w:rPr>
        <w:t>特色农业种植规模进一步扩大，实现稳步发展，农产</w:t>
      </w:r>
      <w:r>
        <w:t>品加工产业初具规模；工业发展经济效益呈上升趋势</w:t>
      </w:r>
      <w:bookmarkEnd w:id="30"/>
      <w:r>
        <w:t>。</w:t>
      </w:r>
    </w:p>
    <w:p>
      <w:pPr>
        <w:ind w:firstLine="640"/>
      </w:pPr>
      <w:r>
        <w:rPr>
          <w:rFonts w:hint="eastAsia"/>
        </w:rPr>
        <w:t>远期目标（</w:t>
      </w:r>
      <w:r>
        <w:t>2035年）：</w:t>
      </w:r>
      <w:bookmarkStart w:id="31" w:name="_Hlk207810363"/>
      <w:r>
        <w:t>国土空间治理体系和治理能力现代化基本实现，城镇总体发展格局全面稳固，现代高效农业建设完成，生态保护和环境建设取得明显成效，</w:t>
      </w:r>
      <w:r>
        <w:rPr>
          <w:rFonts w:hint="eastAsia"/>
        </w:rPr>
        <w:t>乡村</w:t>
      </w:r>
      <w:r>
        <w:t>旅游经济实现高质量发展；形成功能互补、分工明确的镇域村镇体系和辐射带动能力强的镇区，全镇基础设施配套完善，人居环境品质优良，人民生活水平和质量显著提高，逐步实现农村城乡一体化；城乡空间布局更加优化，镇域常住人口约</w:t>
      </w:r>
      <w:r>
        <w:rPr>
          <w:rFonts w:hint="eastAsia"/>
        </w:rPr>
        <w:t>2.08</w:t>
      </w:r>
      <w:r>
        <w:t>万人，</w:t>
      </w:r>
      <w:r>
        <w:rPr>
          <w:rFonts w:hint="eastAsia"/>
        </w:rPr>
        <w:t>城镇</w:t>
      </w:r>
      <w:r>
        <w:t>常住人口规模约</w:t>
      </w:r>
      <w:r>
        <w:rPr>
          <w:rFonts w:hint="eastAsia"/>
        </w:rPr>
        <w:t>0.55</w:t>
      </w:r>
      <w:r>
        <w:t>万人，城镇化率约</w:t>
      </w:r>
      <w:r>
        <w:rPr>
          <w:rFonts w:hint="eastAsia"/>
        </w:rPr>
        <w:t>26</w:t>
      </w:r>
      <w:r>
        <w:t>%，城镇化水平大幅提升，人口更加集</w:t>
      </w:r>
      <w:r>
        <w:rPr>
          <w:rFonts w:hint="eastAsia"/>
        </w:rPr>
        <w:t>聚；基本实现三产融合发展，基本建设成为环境优美、功</w:t>
      </w:r>
      <w:r>
        <w:t>能完善、宜居宜业的</w:t>
      </w:r>
      <w:r>
        <w:rPr>
          <w:rFonts w:hint="eastAsia"/>
        </w:rPr>
        <w:t>内乡县综合型一般镇</w:t>
      </w:r>
      <w:bookmarkEnd w:id="28"/>
      <w:bookmarkEnd w:id="31"/>
      <w:r>
        <w:t>。</w:t>
      </w:r>
    </w:p>
    <w:p>
      <w:pPr>
        <w:pStyle w:val="4"/>
        <w:spacing w:before="195" w:after="195"/>
      </w:pPr>
      <w:r>
        <w:rPr>
          <w:rFonts w:hint="eastAsia"/>
        </w:rPr>
        <w:t>规划指标体系</w:t>
      </w:r>
    </w:p>
    <w:p>
      <w:pPr>
        <w:spacing w:before="65" w:after="120"/>
        <w:ind w:firstLine="640"/>
      </w:pPr>
      <w:bookmarkStart w:id="32" w:name="_Hlk207810378"/>
      <w:bookmarkStart w:id="33" w:name="_Hlk152769328"/>
      <w:r>
        <w:rPr>
          <w:rFonts w:hint="eastAsia"/>
        </w:rPr>
        <w:t>余关镇国土空间开发保护指标要落实衔接内乡县级国土空间规划指标，国土空间资源保护优先，提质增效，效率优先，保障国土安全，加强整治修复的原则。根据余关镇的实际情况，指标类型分为约束性指标、预期性指标和</w:t>
      </w:r>
      <w:bookmarkStart w:id="34" w:name="_Hlk209013005"/>
      <w:r>
        <w:rPr>
          <w:rFonts w:hint="eastAsia"/>
        </w:rPr>
        <w:t>引导性指标</w:t>
      </w:r>
      <w:bookmarkEnd w:id="34"/>
      <w:r>
        <w:rPr>
          <w:rFonts w:hint="eastAsia"/>
        </w:rPr>
        <w:t>三类</w:t>
      </w:r>
      <w:bookmarkEnd w:id="32"/>
      <w:r>
        <w:rPr>
          <w:rFonts w:hint="eastAsia"/>
        </w:rPr>
        <w:t>。</w:t>
      </w:r>
    </w:p>
    <w:p>
      <w:pPr>
        <w:pStyle w:val="3"/>
      </w:pPr>
      <w:r>
        <w:rPr>
          <w:rFonts w:hint="eastAsia"/>
        </w:rPr>
        <w:t>国土空间开发保护策略</w:t>
      </w:r>
    </w:p>
    <w:p>
      <w:pPr>
        <w:pStyle w:val="4"/>
        <w:spacing w:before="195" w:after="195"/>
      </w:pPr>
      <w:bookmarkStart w:id="35" w:name="_Hlk200561688"/>
      <w:bookmarkStart w:id="36" w:name="_Hlk200529460"/>
      <w:r>
        <w:rPr>
          <w:rFonts w:hint="eastAsia"/>
        </w:rPr>
        <w:t>国土空间开发保护策略</w:t>
      </w:r>
    </w:p>
    <w:bookmarkEnd w:id="35"/>
    <w:p>
      <w:pPr>
        <w:spacing w:before="65"/>
        <w:ind w:firstLine="640"/>
      </w:pPr>
      <w:bookmarkStart w:id="37" w:name="_Hlk207810446"/>
      <w:bookmarkStart w:id="38" w:name="_Hlk200561701"/>
      <w:r>
        <w:rPr>
          <w:rFonts w:hint="eastAsia"/>
        </w:rPr>
        <w:t>落实底线约束，保证三条控制线落地。落实最严格的耕地保护制度、生态保护制度和节约用地制度。科学避让地质灾害风险，构建安全韧性国土空间，维护粮食安全、生态安全。</w:t>
      </w:r>
    </w:p>
    <w:p>
      <w:pPr>
        <w:spacing w:before="65"/>
        <w:ind w:firstLine="640"/>
      </w:pPr>
      <w:r>
        <w:t>优化空间格局</w:t>
      </w:r>
      <w:r>
        <w:rPr>
          <w:rFonts w:hint="eastAsia"/>
        </w:rPr>
        <w:t>，</w:t>
      </w:r>
      <w:r>
        <w:t>构建高效、协调、可持续的国土空间结构</w:t>
      </w:r>
      <w:r>
        <w:rPr>
          <w:rFonts w:hint="eastAsia"/>
        </w:rPr>
        <w:t>，统一协调生产空间、生活空间、生态空间布局。推动产业转型升级，发展特色优势产业和绿色低碳产业，引导产业用地向镇区、开发区集中。严控高耗能、高污染项目用地。</w:t>
      </w:r>
    </w:p>
    <w:p>
      <w:pPr>
        <w:spacing w:before="65"/>
        <w:ind w:firstLine="640"/>
      </w:pPr>
      <w:r>
        <w:t>强化基础设施和公共服务支撑</w:t>
      </w:r>
      <w:r>
        <w:rPr>
          <w:rFonts w:hint="eastAsia"/>
        </w:rPr>
        <w:t>。构建便捷高效的内外交通网络，完善市政道路、停车场。提升供水、排水（雨污分流）、供电、供气、供热、通信、垃圾处理（分类）、污水处理等设施能力和智慧化水平。加强防洪排涝、抗震、消防、地质灾害防治等设施建设和应急能力。注重社区级公共服务设施的均衡布局和便捷可达。</w:t>
      </w:r>
    </w:p>
    <w:p>
      <w:pPr>
        <w:spacing w:before="65"/>
        <w:ind w:firstLine="640"/>
      </w:pPr>
      <w:r>
        <w:rPr>
          <w:rFonts w:hint="eastAsia"/>
        </w:rPr>
        <w:t>保护余关镇历史文化遗产。将地方文化元素融入城镇风貌管控引导。控制建筑高度、体量、色彩和风格，形成与自然环境、地域文化相协调的城镇风貌。打造具有识别性的公共空间节点。推动公园绿地与城镇空间有机融合，提升蓝绿空间（水系、绿地）的连通性和亲民性</w:t>
      </w:r>
      <w:bookmarkEnd w:id="37"/>
      <w:r>
        <w:rPr>
          <w:rFonts w:hint="eastAsia"/>
        </w:rPr>
        <w:t>。</w:t>
      </w:r>
      <w:bookmarkEnd w:id="33"/>
      <w:bookmarkEnd w:id="36"/>
      <w:bookmarkEnd w:id="38"/>
    </w:p>
    <w:p>
      <w:pPr>
        <w:spacing w:before="65"/>
        <w:ind w:firstLine="640"/>
      </w:pPr>
      <w:r>
        <w:br w:type="page"/>
      </w:r>
    </w:p>
    <w:p>
      <w:pPr>
        <w:spacing w:before="65"/>
        <w:ind w:firstLine="640"/>
      </w:pPr>
    </w:p>
    <w:p>
      <w:pPr>
        <w:pStyle w:val="2"/>
        <w:spacing w:before="489" w:after="489"/>
      </w:pPr>
      <w:bookmarkStart w:id="39" w:name="_Toc207114514"/>
      <w:bookmarkStart w:id="40" w:name="_Hlk150329632"/>
      <w:r>
        <w:rPr>
          <w:rFonts w:hint="eastAsia"/>
        </w:rPr>
        <w:t>底线约束</w:t>
      </w:r>
      <w:bookmarkEnd w:id="39"/>
    </w:p>
    <w:bookmarkEnd w:id="40"/>
    <w:p>
      <w:pPr>
        <w:pStyle w:val="3"/>
      </w:pPr>
      <w:bookmarkStart w:id="41" w:name="_Hlk142658448"/>
      <w:r>
        <w:rPr>
          <w:rFonts w:hint="eastAsia"/>
        </w:rPr>
        <w:t>严格落实“三区三线”</w:t>
      </w:r>
    </w:p>
    <w:bookmarkEnd w:id="41"/>
    <w:p>
      <w:pPr>
        <w:pStyle w:val="4"/>
        <w:spacing w:before="195" w:after="195"/>
      </w:pPr>
      <w:r>
        <w:rPr>
          <w:rFonts w:hint="eastAsia"/>
        </w:rPr>
        <w:t>严格落实</w:t>
      </w:r>
      <w:r>
        <w:t>耕地和</w:t>
      </w:r>
      <w:r>
        <w:rPr>
          <w:rFonts w:hint="eastAsia"/>
        </w:rPr>
        <w:t>永久基本农田</w:t>
      </w:r>
    </w:p>
    <w:p>
      <w:pPr>
        <w:spacing w:before="65" w:after="120"/>
        <w:ind w:firstLine="640"/>
        <w:rPr>
          <w:u w:val="single"/>
        </w:rPr>
      </w:pPr>
      <w:r>
        <w:rPr>
          <w:rFonts w:hint="eastAsia"/>
          <w:u w:val="single"/>
        </w:rPr>
        <w:t>根据上位规划传导，全镇共划定耕地保护目标5376.79</w:t>
      </w:r>
      <w:r>
        <w:rPr>
          <w:u w:val="single"/>
        </w:rPr>
        <w:t>公顷</w:t>
      </w:r>
      <w:r>
        <w:t>，占全镇面积的</w:t>
      </w:r>
      <w:r>
        <w:rPr>
          <w:rFonts w:hint="eastAsia"/>
        </w:rPr>
        <w:t>47.70</w:t>
      </w:r>
      <w:r>
        <w:t>%。</w:t>
      </w:r>
      <w:r>
        <w:rPr>
          <w:rFonts w:hint="eastAsia"/>
          <w:u w:val="single"/>
        </w:rPr>
        <w:t>根据上位规划，永久基本农田保护面积不低于5233.17</w:t>
      </w:r>
      <w:r>
        <w:rPr>
          <w:u w:val="single"/>
        </w:rPr>
        <w:t>公顷</w:t>
      </w:r>
      <w:r>
        <w:rPr>
          <w:rFonts w:hint="eastAsia"/>
          <w:u w:val="single"/>
        </w:rPr>
        <w:t>，</w:t>
      </w:r>
      <w:bookmarkStart w:id="42" w:name="_Hlk206601219"/>
      <w:r>
        <w:rPr>
          <w:rFonts w:hint="eastAsia"/>
          <w:u w:val="single"/>
        </w:rPr>
        <w:t>根据永久基本农田核实处置成果，</w:t>
      </w:r>
      <w:bookmarkEnd w:id="42"/>
      <w:r>
        <w:rPr>
          <w:rFonts w:hint="eastAsia"/>
          <w:u w:val="single"/>
        </w:rPr>
        <w:t>实际落实永久基本农田保护红线面积5245.18</w:t>
      </w:r>
      <w:r>
        <w:rPr>
          <w:u w:val="single"/>
        </w:rPr>
        <w:t>公顷</w:t>
      </w:r>
      <w:r>
        <w:rPr>
          <w:rFonts w:hint="eastAsia"/>
          <w:u w:val="single"/>
        </w:rPr>
        <w:t>。</w:t>
      </w:r>
    </w:p>
    <w:p>
      <w:pPr>
        <w:pStyle w:val="4"/>
        <w:spacing w:before="195" w:after="195"/>
      </w:pPr>
      <w:r>
        <w:rPr>
          <w:rFonts w:hint="eastAsia"/>
        </w:rPr>
        <w:t>严格落实生态保护红线</w:t>
      </w:r>
    </w:p>
    <w:p>
      <w:pPr>
        <w:pStyle w:val="5"/>
        <w:spacing w:before="97" w:after="97"/>
        <w:ind w:firstLine="640"/>
      </w:pPr>
      <w:r>
        <w:rPr>
          <w:rFonts w:hint="eastAsia"/>
        </w:rPr>
        <w:t>生态保护红线划定</w:t>
      </w:r>
    </w:p>
    <w:p>
      <w:pPr>
        <w:spacing w:before="65" w:after="120"/>
        <w:ind w:firstLine="640"/>
      </w:pPr>
      <w:bookmarkStart w:id="43" w:name="_Hlk150442329"/>
      <w:r>
        <w:rPr>
          <w:rFonts w:hint="eastAsia"/>
        </w:rPr>
        <w:t>根据上位规划传导，全镇无生态保护红线</w:t>
      </w:r>
      <w:r>
        <w:t>。</w:t>
      </w:r>
    </w:p>
    <w:bookmarkEnd w:id="43"/>
    <w:p>
      <w:pPr>
        <w:pStyle w:val="4"/>
        <w:spacing w:before="195" w:after="195"/>
      </w:pPr>
      <w:r>
        <w:rPr>
          <w:rFonts w:hint="eastAsia"/>
        </w:rPr>
        <w:t>严格落实城镇开发边界</w:t>
      </w:r>
    </w:p>
    <w:p>
      <w:pPr>
        <w:pStyle w:val="5"/>
        <w:spacing w:before="97" w:after="97"/>
        <w:ind w:firstLine="640"/>
      </w:pPr>
      <w:r>
        <w:rPr>
          <w:rFonts w:hint="eastAsia"/>
        </w:rPr>
        <w:t>城镇开发边界划定</w:t>
      </w:r>
    </w:p>
    <w:p>
      <w:pPr>
        <w:spacing w:before="65" w:after="120"/>
        <w:ind w:firstLine="640"/>
      </w:pPr>
      <w:bookmarkStart w:id="44" w:name="_Hlk207121258"/>
      <w:r>
        <w:rPr>
          <w:u w:val="single"/>
        </w:rPr>
        <w:t>内乡县</w:t>
      </w:r>
      <w:r>
        <w:rPr>
          <w:rFonts w:hint="eastAsia"/>
          <w:u w:val="single"/>
        </w:rPr>
        <w:t>上位传导城镇开发边界面积为128.56</w:t>
      </w:r>
      <w:r>
        <w:rPr>
          <w:u w:val="single"/>
        </w:rPr>
        <w:t>公顷</w:t>
      </w:r>
      <w:bookmarkEnd w:id="44"/>
      <w:r>
        <w:rPr>
          <w:rFonts w:hint="eastAsia"/>
          <w:u w:val="single"/>
        </w:rPr>
        <w:t>。</w:t>
      </w:r>
    </w:p>
    <w:p>
      <w:pPr>
        <w:pStyle w:val="3"/>
      </w:pPr>
      <w:bookmarkStart w:id="45" w:name="_Hlk142575005"/>
      <w:r>
        <w:rPr>
          <w:rFonts w:hint="eastAsia"/>
        </w:rPr>
        <w:t>核准落实其他控制线</w:t>
      </w:r>
    </w:p>
    <w:p>
      <w:pPr>
        <w:pStyle w:val="4"/>
        <w:spacing w:before="195" w:after="195"/>
      </w:pPr>
      <w:r>
        <w:rPr>
          <w:rFonts w:hint="eastAsia"/>
        </w:rPr>
        <w:t>历史文化保护线</w:t>
      </w:r>
    </w:p>
    <w:p>
      <w:pPr>
        <w:spacing w:before="65"/>
        <w:ind w:firstLine="640"/>
      </w:pPr>
      <w:bookmarkStart w:id="46" w:name="_Hlk207121275"/>
      <w:bookmarkStart w:id="47" w:name="_Hlk152257056"/>
      <w:r>
        <w:rPr>
          <w:rFonts w:hint="eastAsia"/>
          <w:u w:val="single"/>
        </w:rPr>
        <w:t>根据上位规划传导，全镇划定历史文化保护线1</w:t>
      </w:r>
      <w:r>
        <w:rPr>
          <w:u w:val="single"/>
        </w:rPr>
        <w:t>处，为</w:t>
      </w:r>
      <w:bookmarkStart w:id="48" w:name="_Hlk207810703"/>
      <w:r>
        <w:rPr>
          <w:rFonts w:hint="eastAsia"/>
          <w:u w:val="single"/>
        </w:rPr>
        <w:t>县级文物保护单位（麦子山石寨遗址）的文物保护范围</w:t>
      </w:r>
      <w:bookmarkEnd w:id="46"/>
      <w:bookmarkEnd w:id="48"/>
      <w:r>
        <w:rPr>
          <w:u w:val="single"/>
        </w:rPr>
        <w:t>，</w:t>
      </w:r>
      <w:bookmarkStart w:id="49" w:name="_Hlk206602832"/>
      <w:r>
        <w:rPr>
          <w:rFonts w:hint="eastAsia"/>
        </w:rPr>
        <w:t>余关镇历史文化保护线结合镇域历史文化遗产保护范围和建设控制地带的划定情况，及时落实动态补划，纳入国土空间规划“一张图”进行管控。</w:t>
      </w:r>
    </w:p>
    <w:bookmarkEnd w:id="47"/>
    <w:bookmarkEnd w:id="49"/>
    <w:p>
      <w:pPr>
        <w:pStyle w:val="4"/>
        <w:spacing w:before="195" w:after="195"/>
      </w:pPr>
      <w:r>
        <w:rPr>
          <w:rFonts w:hint="eastAsia"/>
        </w:rPr>
        <w:t>洪涝风险控制线</w:t>
      </w:r>
    </w:p>
    <w:p>
      <w:pPr>
        <w:spacing w:before="65" w:after="156"/>
        <w:ind w:firstLine="640"/>
      </w:pPr>
      <w:bookmarkStart w:id="50" w:name="_Hlk209013079"/>
      <w:bookmarkStart w:id="51" w:name="_Hlk206602877"/>
      <w:bookmarkStart w:id="52" w:name="_Hlk207121376"/>
      <w:bookmarkStart w:id="53" w:name="_Hlk152257166"/>
      <w:r>
        <w:rPr>
          <w:rFonts w:hint="eastAsia"/>
        </w:rPr>
        <w:t>根据上位规划传导</w:t>
      </w:r>
      <w:bookmarkEnd w:id="50"/>
      <w:r>
        <w:rPr>
          <w:rFonts w:hint="eastAsia"/>
        </w:rPr>
        <w:t>，</w:t>
      </w:r>
      <w:bookmarkEnd w:id="51"/>
      <w:r>
        <w:rPr>
          <w:rFonts w:hint="eastAsia"/>
        </w:rPr>
        <w:t>落实洪涝风险控制线，主要为板桥河的洪涝风险控制线</w:t>
      </w:r>
      <w:r>
        <w:t>。洪涝风险控制线内禁止新增城乡建设用地，确需新增的，需经得水利部门的意见后落实</w:t>
      </w:r>
      <w:bookmarkEnd w:id="52"/>
      <w:r>
        <w:rPr>
          <w:rFonts w:hint="eastAsia"/>
        </w:rPr>
        <w:t>。</w:t>
      </w:r>
    </w:p>
    <w:bookmarkEnd w:id="53"/>
    <w:p>
      <w:pPr>
        <w:pStyle w:val="4"/>
      </w:pPr>
      <w:r>
        <w:rPr>
          <w:rFonts w:hint="eastAsia"/>
        </w:rPr>
        <w:t>矿产资源开采保护线</w:t>
      </w:r>
    </w:p>
    <w:p>
      <w:pPr>
        <w:spacing w:before="65" w:after="156"/>
        <w:ind w:firstLine="640"/>
      </w:pPr>
      <w:bookmarkStart w:id="54" w:name="_Hlk207810731"/>
      <w:bookmarkStart w:id="55" w:name="_Hlk152257181"/>
      <w:r>
        <w:rPr>
          <w:rFonts w:hint="eastAsia"/>
        </w:rPr>
        <w:t>全镇划定矿产资源开采保护线1</w:t>
      </w:r>
      <w:r>
        <w:t>处，为</w:t>
      </w:r>
      <w:r>
        <w:rPr>
          <w:rFonts w:hint="eastAsia"/>
        </w:rPr>
        <w:t>内乡横梁山金多金属矿普查</w:t>
      </w:r>
      <w:r>
        <w:t>，涉及规模</w:t>
      </w:r>
      <w:r>
        <w:rPr>
          <w:rFonts w:hint="eastAsia"/>
        </w:rPr>
        <w:t>1289.26</w:t>
      </w:r>
      <w:r>
        <w:t>公顷。</w:t>
      </w:r>
      <w:bookmarkEnd w:id="54"/>
    </w:p>
    <w:bookmarkEnd w:id="55"/>
    <w:p>
      <w:pPr>
        <w:pStyle w:val="4"/>
        <w:spacing w:before="195" w:after="195"/>
      </w:pPr>
      <w:r>
        <w:rPr>
          <w:rFonts w:hint="eastAsia"/>
        </w:rPr>
        <w:t>交通廊道控制线</w:t>
      </w:r>
    </w:p>
    <w:p>
      <w:pPr>
        <w:spacing w:before="65"/>
        <w:ind w:firstLine="640"/>
      </w:pPr>
      <w:bookmarkStart w:id="56" w:name="_Hlk207810742"/>
      <w:bookmarkStart w:id="57" w:name="_Hlk209620739"/>
      <w:r>
        <w:t>根据《公路安全保护条例》，</w:t>
      </w:r>
      <w:r>
        <w:rPr>
          <w:rFonts w:hint="eastAsia"/>
        </w:rPr>
        <w:t>全镇G312等国道</w:t>
      </w:r>
      <w:r>
        <w:t>两侧修建</w:t>
      </w:r>
      <w:r>
        <w:rPr>
          <w:rFonts w:hint="eastAsia"/>
        </w:rPr>
        <w:t>的</w:t>
      </w:r>
      <w:r>
        <w:t>永久性工程设施建筑物边缘与公路边沟外缘的间距不少于20米</w:t>
      </w:r>
      <w:r>
        <w:rPr>
          <w:rFonts w:hint="eastAsia"/>
        </w:rPr>
        <w:t>，</w:t>
      </w:r>
      <w:r>
        <w:t>省道</w:t>
      </w:r>
      <w:r>
        <w:rPr>
          <w:rFonts w:hint="eastAsia"/>
        </w:rPr>
        <w:t>S243、S329</w:t>
      </w:r>
      <w:r>
        <w:t>不少于15米</w:t>
      </w:r>
      <w:bookmarkEnd w:id="56"/>
      <w:r>
        <w:rPr>
          <w:rFonts w:hint="eastAsia"/>
        </w:rPr>
        <w:t>，县道不少于10米。</w:t>
      </w:r>
    </w:p>
    <w:bookmarkEnd w:id="57"/>
    <w:p>
      <w:pPr>
        <w:pStyle w:val="4"/>
      </w:pPr>
      <w:bookmarkStart w:id="58" w:name="_Hlk193116571"/>
      <w:bookmarkStart w:id="59" w:name="_Hlk207461823"/>
      <w:r>
        <w:rPr>
          <w:rFonts w:hint="eastAsia"/>
        </w:rPr>
        <w:t>高压电力线路廊道控制线</w:t>
      </w:r>
    </w:p>
    <w:p>
      <w:pPr>
        <w:ind w:firstLine="640"/>
      </w:pPr>
      <w:r>
        <w:rPr>
          <w:rFonts w:hint="eastAsia"/>
        </w:rPr>
        <w:t>余关镇镇域内高压电力线路廊道以</w:t>
      </w:r>
      <w:r>
        <w:t>110kV及其以上电力线为主。根据《城市电力规划规范》（GB/T50293-2014）及《电力设施保护条例》的要求，</w:t>
      </w:r>
      <w:bookmarkStart w:id="60" w:name="_Hlk209013114"/>
      <w:r>
        <w:t>本次规划</w:t>
      </w:r>
      <w:r>
        <w:rPr>
          <w:rFonts w:hint="eastAsia"/>
        </w:rPr>
        <w:t>±8</w:t>
      </w:r>
      <w:r>
        <w:t>00kV</w:t>
      </w:r>
      <w:r>
        <w:rPr>
          <w:rFonts w:hint="eastAsia"/>
        </w:rPr>
        <w:t>直流特高压线路廊道控制线宽度80-90米，</w:t>
      </w:r>
      <w:r>
        <w:t>500kV高压电力线路廊道控制线宽度60-75米，220kV高压电力线路廊道控制线宽度30-40米，110kV高压电力线路廊道控制线宽度15-25米</w:t>
      </w:r>
      <w:bookmarkEnd w:id="60"/>
      <w:r>
        <w:t>。</w:t>
      </w:r>
    </w:p>
    <w:bookmarkEnd w:id="58"/>
    <w:bookmarkEnd w:id="59"/>
    <w:p>
      <w:pPr>
        <w:pStyle w:val="3"/>
      </w:pPr>
      <w:r>
        <w:rPr>
          <w:rFonts w:hint="eastAsia"/>
        </w:rPr>
        <w:t>划定村庄建设边界</w:t>
      </w:r>
    </w:p>
    <w:p>
      <w:pPr>
        <w:pStyle w:val="4"/>
        <w:spacing w:before="195" w:after="195"/>
      </w:pPr>
      <w:r>
        <w:rPr>
          <w:rFonts w:hint="eastAsia"/>
        </w:rPr>
        <w:t>村庄建设边界</w:t>
      </w:r>
      <w:r>
        <w:t>划定</w:t>
      </w:r>
    </w:p>
    <w:p>
      <w:pPr>
        <w:spacing w:before="65" w:after="120"/>
        <w:ind w:firstLine="640"/>
      </w:pPr>
      <w:r>
        <w:rPr>
          <w:rFonts w:hint="eastAsia"/>
        </w:rPr>
        <w:t>全镇</w:t>
      </w:r>
      <w:r>
        <w:t>划定</w:t>
      </w:r>
      <w:bookmarkStart w:id="61" w:name="_Hlk207810826"/>
      <w:r>
        <w:t>村庄建设边界</w:t>
      </w:r>
      <w:r>
        <w:rPr>
          <w:rFonts w:hint="eastAsia"/>
        </w:rPr>
        <w:t>764.19公顷</w:t>
      </w:r>
      <w:bookmarkStart w:id="62" w:name="_Hlk207121484"/>
      <w:r>
        <w:rPr>
          <w:rFonts w:hint="eastAsia"/>
        </w:rPr>
        <w:t>，其中，机动指标为3.93公顷</w:t>
      </w:r>
      <w:bookmarkEnd w:id="61"/>
      <w:bookmarkEnd w:id="62"/>
      <w:r>
        <w:rPr>
          <w:rFonts w:hint="eastAsia"/>
        </w:rPr>
        <w:t>。</w:t>
      </w:r>
    </w:p>
    <w:p>
      <w:pPr>
        <w:ind w:firstLine="640"/>
      </w:pPr>
      <w:r>
        <w:br w:type="page"/>
      </w:r>
    </w:p>
    <w:p>
      <w:pPr>
        <w:ind w:firstLine="640"/>
      </w:pPr>
    </w:p>
    <w:p>
      <w:pPr>
        <w:pStyle w:val="2"/>
        <w:spacing w:before="489" w:after="489"/>
      </w:pPr>
      <w:bookmarkStart w:id="63" w:name="_Toc207114515"/>
      <w:r>
        <w:rPr>
          <w:rFonts w:hint="eastAsia"/>
        </w:rPr>
        <w:t>规划分区</w:t>
      </w:r>
      <w:bookmarkEnd w:id="63"/>
    </w:p>
    <w:p>
      <w:pPr>
        <w:pStyle w:val="3"/>
      </w:pPr>
      <w:r>
        <w:rPr>
          <w:rFonts w:hint="eastAsia"/>
        </w:rPr>
        <w:t>国土空间开发保护总体格局</w:t>
      </w:r>
    </w:p>
    <w:p>
      <w:pPr>
        <w:pStyle w:val="4"/>
        <w:spacing w:before="195" w:after="195"/>
      </w:pPr>
      <w:r>
        <w:rPr>
          <w:rFonts w:hint="eastAsia"/>
        </w:rPr>
        <w:t>国土空间开发保护总体格局</w:t>
      </w:r>
    </w:p>
    <w:p>
      <w:pPr>
        <w:spacing w:before="65" w:after="120"/>
        <w:ind w:firstLine="640"/>
      </w:pPr>
      <w:bookmarkStart w:id="64" w:name="_Hlk207811048"/>
      <w:r>
        <w:rPr>
          <w:rFonts w:hint="eastAsia"/>
        </w:rPr>
        <w:t>融合三生空间，兼顾保护与发展，构建“</w:t>
      </w:r>
      <w:bookmarkStart w:id="65" w:name="_Hlk209013149"/>
      <w:r>
        <w:rPr>
          <w:rFonts w:hint="eastAsia"/>
        </w:rPr>
        <w:t>一纵一横，一核多点，三区三带三心</w:t>
      </w:r>
      <w:bookmarkEnd w:id="65"/>
      <w:r>
        <w:rPr>
          <w:rFonts w:hint="eastAsia"/>
        </w:rPr>
        <w:t>”的生态化集约化的国土空间开发保护总体格局。</w:t>
      </w:r>
    </w:p>
    <w:p>
      <w:pPr>
        <w:spacing w:before="65" w:after="120"/>
        <w:ind w:firstLine="640"/>
      </w:pPr>
      <w:bookmarkStart w:id="66" w:name="_Hlk209013157"/>
      <w:r>
        <w:rPr>
          <w:rFonts w:hint="eastAsia"/>
        </w:rPr>
        <w:t>一纵一横：依托S243形成全镇发展主轴，依托X011形成全镇的发展次轴。</w:t>
      </w:r>
    </w:p>
    <w:p>
      <w:pPr>
        <w:spacing w:before="65" w:after="120"/>
        <w:ind w:firstLine="640"/>
      </w:pPr>
      <w:r>
        <w:rPr>
          <w:rFonts w:hint="eastAsia"/>
        </w:rPr>
        <w:t>一核多点：以镇区为基础的城镇发展核心，以王沟村、报事滩村、子育村、东孙沟村为全镇重要发展节点。</w:t>
      </w:r>
    </w:p>
    <w:p>
      <w:pPr>
        <w:spacing w:before="65" w:after="120"/>
        <w:ind w:firstLine="640"/>
        <w:sectPr>
          <w:headerReference r:id="rId11" w:type="default"/>
          <w:footerReference r:id="rId12" w:type="default"/>
          <w:pgSz w:w="11907" w:h="16839"/>
          <w:pgMar w:top="1440" w:right="1800" w:bottom="1440" w:left="1800" w:header="851" w:footer="680" w:gutter="0"/>
          <w:pgNumType w:start="1"/>
          <w:cols w:space="1135" w:num="1"/>
          <w:docGrid w:type="lines" w:linePitch="326" w:charSpace="0"/>
        </w:sectPr>
      </w:pPr>
      <w:r>
        <w:rPr>
          <w:rFonts w:hint="eastAsia"/>
        </w:rPr>
        <w:t>三区三带三心：“三区”以北部伏牛山生态保育区、西部代军岭生态农业发展区和东部浅丘平原高效农业发展区三个区域为基地；“三带”以代军河、余关庙河、板桥河为生态廊道；“三心”以代军河水库、王庄水库、杨洼水库为生态节点，形成“三区三带三心”的集农业、生态保护发展格局</w:t>
      </w:r>
      <w:bookmarkEnd w:id="64"/>
      <w:bookmarkEnd w:id="66"/>
      <w:r>
        <w:rPr>
          <w:rFonts w:hint="eastAsia"/>
        </w:rPr>
        <w:t>。</w:t>
      </w:r>
    </w:p>
    <w:p>
      <w:pPr>
        <w:pStyle w:val="3"/>
      </w:pPr>
      <w:r>
        <w:rPr>
          <w:rFonts w:hint="eastAsia"/>
        </w:rPr>
        <w:t>规划分区与用途管制</w:t>
      </w:r>
    </w:p>
    <w:p>
      <w:pPr>
        <w:pStyle w:val="4"/>
        <w:spacing w:before="195" w:after="195"/>
      </w:pPr>
      <w:r>
        <w:rPr>
          <w:rFonts w:hint="eastAsia"/>
        </w:rPr>
        <w:t>生态控制区</w:t>
      </w:r>
    </w:p>
    <w:p>
      <w:pPr>
        <w:ind w:firstLine="640"/>
      </w:pPr>
      <w:r>
        <w:rPr>
          <w:rFonts w:hint="eastAsia"/>
        </w:rPr>
        <w:t>1</w:t>
      </w:r>
      <w:r>
        <w:t>.生态控制区划定</w:t>
      </w:r>
    </w:p>
    <w:p>
      <w:pPr>
        <w:spacing w:before="65"/>
        <w:ind w:firstLine="640"/>
      </w:pPr>
      <w:bookmarkStart w:id="67" w:name="_Hlk206603536"/>
      <w:r>
        <w:rPr>
          <w:rFonts w:hint="eastAsia"/>
          <w:lang w:bidi="ar"/>
        </w:rPr>
        <w:t>依据上位规划传导，并结合余关镇实际情况，局部进行优化，</w:t>
      </w:r>
      <w:bookmarkEnd w:id="67"/>
      <w:r>
        <w:rPr>
          <w:rFonts w:hint="eastAsia"/>
          <w:lang w:bidi="ar"/>
        </w:rPr>
        <w:t>全镇划定生态控制区面积</w:t>
      </w:r>
      <w:bookmarkStart w:id="68" w:name="_Hlk207811071"/>
      <w:r>
        <w:rPr>
          <w:rFonts w:hint="eastAsia"/>
          <w:lang w:bidi="ar"/>
        </w:rPr>
        <w:t>1250.02</w:t>
      </w:r>
      <w:bookmarkEnd w:id="68"/>
      <w:r>
        <w:rPr>
          <w:lang w:bidi="ar"/>
        </w:rPr>
        <w:t>公顷，占全域面积的</w:t>
      </w:r>
      <w:bookmarkStart w:id="69" w:name="_Hlk207811079"/>
      <w:r>
        <w:rPr>
          <w:rFonts w:hint="eastAsia"/>
          <w:lang w:bidi="ar"/>
        </w:rPr>
        <w:t>11.09</w:t>
      </w:r>
      <w:bookmarkEnd w:id="69"/>
      <w:r>
        <w:rPr>
          <w:lang w:bidi="ar"/>
        </w:rPr>
        <w:t>%</w:t>
      </w:r>
      <w:r>
        <w:rPr>
          <w:rFonts w:hint="eastAsia"/>
          <w:lang w:bidi="ar"/>
        </w:rPr>
        <w:t>。</w:t>
      </w:r>
    </w:p>
    <w:p>
      <w:pPr>
        <w:ind w:firstLine="640"/>
      </w:pPr>
      <w:r>
        <w:rPr>
          <w:rFonts w:hint="eastAsia"/>
        </w:rPr>
        <w:t>2</w:t>
      </w:r>
      <w:r>
        <w:t>.管控规则</w:t>
      </w:r>
    </w:p>
    <w:p>
      <w:pPr>
        <w:spacing w:before="65"/>
        <w:ind w:firstLine="640"/>
      </w:pPr>
      <w:r>
        <w:rPr>
          <w:rFonts w:hint="eastAsia"/>
          <w:lang w:bidi="ar"/>
        </w:rPr>
        <w:t>（1）用途准入</w:t>
      </w:r>
    </w:p>
    <w:p>
      <w:pPr>
        <w:spacing w:before="65"/>
        <w:ind w:firstLine="640"/>
      </w:pPr>
      <w:r>
        <w:rPr>
          <w:rFonts w:hint="eastAsia"/>
          <w:lang w:bidi="ar"/>
        </w:rPr>
        <w:t>鼓励依据国土空间规划及其他相关规划，按照自然恢复为主、人工修复为辅的原则，实施生态修复工程，提升生态功能。严格限制农业开发占用生态控制区，在不涉及</w:t>
      </w:r>
      <w:r>
        <w:rPr>
          <w:lang w:bidi="ar"/>
        </w:rPr>
        <w:t>天然林、公益林</w:t>
      </w:r>
      <w:r>
        <w:rPr>
          <w:rFonts w:hint="eastAsia"/>
          <w:lang w:bidi="ar"/>
        </w:rPr>
        <w:t>、水域的前提下，经评估有利于提升生态功能的，可依据国土空间规划或其他相关规划开展土地整治新增耕地。</w:t>
      </w:r>
    </w:p>
    <w:p>
      <w:pPr>
        <w:spacing w:before="65"/>
        <w:ind w:firstLine="640"/>
      </w:pPr>
      <w:r>
        <w:rPr>
          <w:rFonts w:hint="eastAsia"/>
          <w:lang w:bidi="ar"/>
        </w:rPr>
        <w:t>严控新增建设占用生态控制区，建设用途准入应符合国土空间规划和其他相关规划。各类风景名胜区等必要的配套设施建设、符合区域功能定位的旅游服务设施、道路交通基础设施、水利市政基础设施、公益性设施以及其他必要的特殊设施建设必须占用的，需做好选址论证，严格控制建筑规模与开发强度。</w:t>
      </w:r>
    </w:p>
    <w:p>
      <w:pPr>
        <w:spacing w:before="65"/>
        <w:ind w:firstLine="640"/>
      </w:pPr>
      <w:r>
        <w:rPr>
          <w:rFonts w:hint="eastAsia"/>
          <w:lang w:bidi="ar"/>
        </w:rPr>
        <w:t>（2）用途退出</w:t>
      </w:r>
    </w:p>
    <w:p>
      <w:pPr>
        <w:spacing w:before="65"/>
        <w:ind w:firstLine="640"/>
        <w:rPr>
          <w:lang w:bidi="ar"/>
        </w:rPr>
      </w:pPr>
      <w:r>
        <w:rPr>
          <w:rFonts w:hint="eastAsia"/>
          <w:lang w:bidi="ar"/>
        </w:rPr>
        <w:t>生态控制区内原有的各种不符合生态保护要求、防洪安全的生产、开发活动应当逐步退出，并进行生态修复，退出不应对生态环境造成重大影响；对区内主要保护对象及其栖息地环境造成的负面影响轻微或可控制；符合国土空间规划和其他相关规划。对国有林场和坡度25度以上已经开垦种植的林地要逐步还林。对于现状建设，应当进行评估后制定分类处置方案：对于违法建设和经评估对生态保护存在不利影响的，应当逐步退出；对于历史形成的合法现状建设用地，经评估对生态环境无影响的，可予以保留，但不得随意改变用途或进行改扩建。</w:t>
      </w:r>
    </w:p>
    <w:p>
      <w:pPr>
        <w:spacing w:before="65"/>
        <w:ind w:firstLine="640"/>
      </w:pPr>
      <w:r>
        <w:rPr>
          <w:rFonts w:hint="eastAsia"/>
        </w:rPr>
        <w:t>“三线一单”生态环境分区管控划定的一般生态空间管控要求：禁止在公益林内放牧、开垦、采石、挖沙取土、堆放废弃物，以及违反操作技术规程采脂、挖笋、掘根、剥树皮、过度修枝等毁林行为。禁止向公益林内排放污染物。</w:t>
      </w:r>
    </w:p>
    <w:p>
      <w:pPr>
        <w:pStyle w:val="4"/>
        <w:spacing w:before="195" w:after="195"/>
      </w:pPr>
      <w:r>
        <w:rPr>
          <w:rFonts w:hint="eastAsia"/>
        </w:rPr>
        <w:t>农田保护区</w:t>
      </w:r>
    </w:p>
    <w:p>
      <w:pPr>
        <w:ind w:firstLine="640"/>
      </w:pPr>
      <w:r>
        <w:rPr>
          <w:rFonts w:hint="eastAsia"/>
        </w:rPr>
        <w:t>1</w:t>
      </w:r>
      <w:r>
        <w:t>.农田保护区划定</w:t>
      </w:r>
    </w:p>
    <w:p>
      <w:pPr>
        <w:spacing w:before="65"/>
        <w:ind w:firstLine="640"/>
      </w:pPr>
      <w:bookmarkStart w:id="70" w:name="_Hlk152319961"/>
      <w:r>
        <w:rPr>
          <w:rFonts w:hint="eastAsia"/>
          <w:lang w:bidi="ar"/>
        </w:rPr>
        <w:t>全镇划定农田保护区面积</w:t>
      </w:r>
      <w:bookmarkStart w:id="71" w:name="_Hlk207811124"/>
      <w:r>
        <w:rPr>
          <w:rFonts w:hint="eastAsia"/>
          <w:lang w:bidi="ar"/>
        </w:rPr>
        <w:t>5245.18</w:t>
      </w:r>
      <w:bookmarkEnd w:id="71"/>
      <w:r>
        <w:rPr>
          <w:lang w:bidi="ar"/>
        </w:rPr>
        <w:t>公顷，占全域面积的</w:t>
      </w:r>
      <w:bookmarkStart w:id="72" w:name="_Hlk207811130"/>
      <w:r>
        <w:rPr>
          <w:rFonts w:hint="eastAsia"/>
          <w:lang w:bidi="ar"/>
        </w:rPr>
        <w:t>46.53</w:t>
      </w:r>
      <w:bookmarkEnd w:id="72"/>
      <w:r>
        <w:rPr>
          <w:lang w:bidi="ar"/>
        </w:rPr>
        <w:t>%</w:t>
      </w:r>
      <w:r>
        <w:rPr>
          <w:rFonts w:hint="eastAsia"/>
          <w:lang w:bidi="ar"/>
        </w:rPr>
        <w:t>。</w:t>
      </w:r>
    </w:p>
    <w:bookmarkEnd w:id="70"/>
    <w:p>
      <w:pPr>
        <w:ind w:firstLine="640"/>
      </w:pPr>
      <w:r>
        <w:rPr>
          <w:rFonts w:hint="eastAsia"/>
        </w:rPr>
        <w:t>2</w:t>
      </w:r>
      <w:r>
        <w:t>.管控规则</w:t>
      </w:r>
    </w:p>
    <w:p>
      <w:pPr>
        <w:spacing w:before="65"/>
        <w:ind w:firstLine="640"/>
      </w:pPr>
      <w:r>
        <w:rPr>
          <w:rFonts w:hint="eastAsia"/>
          <w:lang w:bidi="ar"/>
        </w:rPr>
        <w:t>（1）用途准入</w:t>
      </w:r>
    </w:p>
    <w:p>
      <w:pPr>
        <w:spacing w:before="65"/>
        <w:ind w:firstLine="640"/>
      </w:pPr>
      <w:r>
        <w:rPr>
          <w:rFonts w:hint="eastAsia"/>
        </w:rPr>
        <w:t>农田保护区应重点用于粮食生产，按照《自然资源部 农业农村部关于加强和改进永久基本农田保护工作的通知》第（六）款的规定严格规范永久基本农田上的农业生产活动。</w:t>
      </w:r>
    </w:p>
    <w:p>
      <w:pPr>
        <w:spacing w:before="65"/>
        <w:ind w:firstLine="640"/>
      </w:pPr>
      <w:r>
        <w:rPr>
          <w:rFonts w:hint="eastAsia"/>
        </w:rPr>
        <w:t>农田保护区内鼓励依据国土空间规划、土地整治规划等相关规划开展高标准农田建设、永久基本农田集中连片整治、即可恢复属性地类耕地功能恢复等整治活动，提高永久基本农田质量，引导区内废弃建设用地、其他农用地整治为耕地，区内符合条件的一般耕地应优先划入永久基本农田储备区。</w:t>
      </w:r>
    </w:p>
    <w:p>
      <w:pPr>
        <w:spacing w:before="65"/>
        <w:ind w:firstLine="640"/>
      </w:pPr>
      <w:r>
        <w:rPr>
          <w:rFonts w:hint="eastAsia"/>
        </w:rPr>
        <w:t>农田保护区内限制准入农业设施建设用地，农业设施建设用地不再使用的，必须恢复原用途。</w:t>
      </w:r>
    </w:p>
    <w:p>
      <w:pPr>
        <w:spacing w:before="65"/>
        <w:ind w:firstLine="640"/>
      </w:pPr>
      <w:r>
        <w:rPr>
          <w:rFonts w:hint="eastAsia"/>
        </w:rPr>
        <w:t>农田保护区限制转变为林地、湿地、水域等用途，按照《自然资源部 农业农村部关于加强和改进永久基本农田保护工作的通知》第（九）款的规定协调安排生态建设项目。</w:t>
      </w:r>
    </w:p>
    <w:p>
      <w:pPr>
        <w:spacing w:before="65"/>
        <w:ind w:firstLine="640"/>
      </w:pPr>
      <w:r>
        <w:rPr>
          <w:rFonts w:hint="eastAsia"/>
        </w:rPr>
        <w:t>农田保护区内的永久基本农田实行正面清单准入，在符合国土空间规划和其他相关规划的前提下，允许占用永久基本农田的重大项目、临时用地和矿业权按照《自然资源部关于做好占用永久基本农田重大建设项目用地预审的通知》第一款以及《自然资源部 农业农村部关于加强和改进永久基本农田保护工作的通知》第（七）款、第（八）款执行。</w:t>
      </w:r>
    </w:p>
    <w:p>
      <w:pPr>
        <w:spacing w:before="65"/>
        <w:ind w:firstLine="640"/>
      </w:pPr>
      <w:r>
        <w:rPr>
          <w:rFonts w:hint="eastAsia"/>
          <w:lang w:bidi="ar"/>
        </w:rPr>
        <w:t>（2）用途退出</w:t>
      </w:r>
    </w:p>
    <w:p>
      <w:pPr>
        <w:spacing w:before="65"/>
        <w:ind w:firstLine="640"/>
      </w:pPr>
      <w:r>
        <w:rPr>
          <w:rFonts w:hint="eastAsia"/>
          <w:lang w:bidi="ar"/>
        </w:rPr>
        <w:t>不符合农田保护区准入规则、违法违规占用永久基本农田的用途，应按照国土空间规划、土地整治规划等相关规划有序退出，并限期恢复种植条件，规划期间确实不能恢复种植条件的，经多部门联合论证，允许保留现状用途，但不得扩大面积，并补划相同数量、相当质量的永久基本农田。</w:t>
      </w:r>
    </w:p>
    <w:p>
      <w:pPr>
        <w:pStyle w:val="4"/>
        <w:spacing w:before="195" w:after="195"/>
      </w:pPr>
      <w:r>
        <w:rPr>
          <w:rFonts w:hint="eastAsia"/>
        </w:rPr>
        <w:t>城镇发展区</w:t>
      </w:r>
    </w:p>
    <w:p>
      <w:pPr>
        <w:ind w:firstLine="640"/>
      </w:pPr>
      <w:r>
        <w:rPr>
          <w:rFonts w:hint="eastAsia"/>
        </w:rPr>
        <w:t>1</w:t>
      </w:r>
      <w:r>
        <w:t>.城镇发展区划定</w:t>
      </w:r>
    </w:p>
    <w:p>
      <w:pPr>
        <w:spacing w:before="65"/>
        <w:ind w:firstLine="640"/>
      </w:pPr>
      <w:bookmarkStart w:id="73" w:name="_Hlk207122376"/>
      <w:bookmarkStart w:id="74" w:name="_Hlk152319991"/>
      <w:r>
        <w:rPr>
          <w:rFonts w:hint="eastAsia"/>
        </w:rPr>
        <w:t>全镇划定城镇发展区面积</w:t>
      </w:r>
      <w:bookmarkStart w:id="75" w:name="_Hlk207811155"/>
      <w:r>
        <w:rPr>
          <w:rFonts w:hint="eastAsia"/>
        </w:rPr>
        <w:t>128.56</w:t>
      </w:r>
      <w:bookmarkEnd w:id="75"/>
      <w:r>
        <w:t>公顷，全部为集中建设区，占全域面积的</w:t>
      </w:r>
      <w:bookmarkStart w:id="76" w:name="_Hlk207811165"/>
      <w:r>
        <w:rPr>
          <w:rFonts w:hint="eastAsia"/>
        </w:rPr>
        <w:t>1.14</w:t>
      </w:r>
      <w:bookmarkEnd w:id="76"/>
      <w:r>
        <w:t>%</w:t>
      </w:r>
      <w:r>
        <w:rPr>
          <w:rFonts w:hint="eastAsia"/>
        </w:rPr>
        <w:t>。城镇发展区主要用于城镇建设，是开展城镇开发建设行为的核心区域</w:t>
      </w:r>
      <w:bookmarkEnd w:id="73"/>
      <w:r>
        <w:rPr>
          <w:rFonts w:hint="eastAsia"/>
        </w:rPr>
        <w:t>。</w:t>
      </w:r>
    </w:p>
    <w:p>
      <w:pPr>
        <w:spacing w:before="65"/>
        <w:ind w:firstLine="640"/>
      </w:pPr>
      <w:bookmarkStart w:id="77" w:name="_Hlk209013187"/>
      <w:r>
        <w:rPr>
          <w:rFonts w:hint="eastAsia"/>
        </w:rPr>
        <w:t>内乡县中心城区范围内的用地管控依据《内乡县国土空间总体规划（2021-2035年）》进行用地管控。在内乡县中心城区之外，镇区规划范围内集中建设区50.94公顷，划分为七个功能分区。城镇功能区采用“详细规划+规划许可”的方式进行管理</w:t>
      </w:r>
      <w:bookmarkEnd w:id="77"/>
      <w:r>
        <w:rPr>
          <w:rFonts w:hint="eastAsia"/>
        </w:rPr>
        <w:t>。</w:t>
      </w:r>
    </w:p>
    <w:p>
      <w:pPr>
        <w:spacing w:before="48"/>
        <w:ind w:firstLine="640"/>
      </w:pPr>
      <w:bookmarkStart w:id="78" w:name="_Hlk207122449"/>
      <w:r>
        <w:t>（1）</w:t>
      </w:r>
      <w:r>
        <w:rPr>
          <w:rFonts w:hint="eastAsia"/>
        </w:rPr>
        <w:t>居住生活区</w:t>
      </w:r>
    </w:p>
    <w:p>
      <w:pPr>
        <w:spacing w:before="48"/>
        <w:ind w:firstLine="640"/>
      </w:pPr>
      <w:bookmarkStart w:id="79" w:name="_Hlk207811198"/>
      <w:r>
        <w:rPr>
          <w:rFonts w:hint="eastAsia"/>
        </w:rPr>
        <w:t>居住生活区面积约为25.35公顷，以居住和生活服务配套为主要功能。完善公共服务设施和绿地与开敞空间建设，优化提升居住区功能和环境，在保障主要功能导向的前提下，鼓励多元功能的适度混合，避免重大妨害功能的干扰</w:t>
      </w:r>
      <w:bookmarkEnd w:id="79"/>
      <w:r>
        <w:rPr>
          <w:rFonts w:hint="eastAsia"/>
        </w:rPr>
        <w:t>。</w:t>
      </w:r>
    </w:p>
    <w:p>
      <w:pPr>
        <w:spacing w:before="48"/>
        <w:ind w:firstLine="640"/>
      </w:pPr>
      <w:r>
        <w:t>（2）</w:t>
      </w:r>
      <w:r>
        <w:rPr>
          <w:rFonts w:hint="eastAsia"/>
        </w:rPr>
        <w:t>综合服务区</w:t>
      </w:r>
    </w:p>
    <w:p>
      <w:pPr>
        <w:spacing w:before="48"/>
        <w:ind w:firstLine="640"/>
      </w:pPr>
      <w:bookmarkStart w:id="80" w:name="_Hlk207811212"/>
      <w:r>
        <w:rPr>
          <w:rFonts w:hint="eastAsia"/>
        </w:rPr>
        <w:t>综合服务区面积约为12.66公顷，以提供行政办公、文化体育、教育、医疗等服务为主要功能导向的区域，主要为镇区北侧的医疗服务、中部的综合服务、西侧的文化服务、南侧的教育片区。强化文化、体育、商贸商务等功能的合理配置，建立创新服务平台，植入公共空间，提升公共活动中心空间覆盖</w:t>
      </w:r>
      <w:bookmarkEnd w:id="80"/>
      <w:r>
        <w:rPr>
          <w:rFonts w:hint="eastAsia"/>
        </w:rPr>
        <w:t>。</w:t>
      </w:r>
    </w:p>
    <w:p>
      <w:pPr>
        <w:spacing w:before="48"/>
        <w:ind w:firstLine="640"/>
      </w:pPr>
      <w:r>
        <w:t>（3）</w:t>
      </w:r>
      <w:r>
        <w:rPr>
          <w:rFonts w:hint="eastAsia"/>
        </w:rPr>
        <w:t>商业商务区</w:t>
      </w:r>
    </w:p>
    <w:p>
      <w:pPr>
        <w:spacing w:before="48"/>
        <w:ind w:firstLine="640"/>
      </w:pPr>
      <w:bookmarkStart w:id="81" w:name="_Hlk207811224"/>
      <w:r>
        <w:rPr>
          <w:rFonts w:hint="eastAsia"/>
        </w:rPr>
        <w:t>商业商务区面积约为2.47公顷，以商业商贸为主要功能，承载现代消费、休闲娱乐、金融服务等服务业态，综合服务功能应集约紧凑，满足服务等级、规模及类型要求</w:t>
      </w:r>
      <w:bookmarkEnd w:id="81"/>
      <w:r>
        <w:rPr>
          <w:rFonts w:hint="eastAsia"/>
        </w:rPr>
        <w:t>。</w:t>
      </w:r>
    </w:p>
    <w:p>
      <w:pPr>
        <w:spacing w:before="48"/>
        <w:ind w:firstLine="640"/>
      </w:pPr>
      <w:r>
        <w:rPr>
          <w:rFonts w:hint="eastAsia"/>
        </w:rPr>
        <w:t>（4</w:t>
      </w:r>
      <w:r>
        <w:t>）物流仓储区</w:t>
      </w:r>
    </w:p>
    <w:p>
      <w:pPr>
        <w:spacing w:before="48"/>
        <w:ind w:firstLine="640"/>
      </w:pPr>
      <w:bookmarkStart w:id="82" w:name="_Hlk207811238"/>
      <w:r>
        <w:rPr>
          <w:rFonts w:hint="eastAsia"/>
        </w:rPr>
        <w:t>物流仓储区面积约为1.42公顷，以仓储用地为主；物流仓储区应与周边其他功能区协调好安全防护关系，降低物流仓储功能对居住、公共环境等的干扰，保障镇区其他功能有序运行</w:t>
      </w:r>
      <w:bookmarkEnd w:id="82"/>
      <w:r>
        <w:t>。</w:t>
      </w:r>
    </w:p>
    <w:p>
      <w:pPr>
        <w:spacing w:before="48"/>
        <w:ind w:firstLine="640"/>
      </w:pPr>
      <w:r>
        <w:rPr>
          <w:rFonts w:hint="eastAsia"/>
        </w:rPr>
        <w:t>（5</w:t>
      </w:r>
      <w:r>
        <w:t>）绿地休闲区</w:t>
      </w:r>
    </w:p>
    <w:bookmarkEnd w:id="78"/>
    <w:p>
      <w:pPr>
        <w:spacing w:before="48"/>
        <w:ind w:firstLine="640"/>
      </w:pPr>
      <w:bookmarkStart w:id="83" w:name="_Hlk207811251"/>
      <w:r>
        <w:rPr>
          <w:rFonts w:hint="eastAsia"/>
        </w:rPr>
        <w:t>绿地休闲区面积约为2.21公顷，可兼容少量商服用地、公共管理与公共服务设施用地。绿地休闲区应安排好“点、线、面”结合的绿地系统结构，为市民提供便捷可达、充足友好的游憩休闲空间，并确保相互干扰的功能区的防护隔离；对公园绿地、广场用地、防护绿地的总体规模与服务半径提出控制要求</w:t>
      </w:r>
      <w:bookmarkEnd w:id="83"/>
      <w:r>
        <w:rPr>
          <w:rFonts w:hint="eastAsia"/>
        </w:rPr>
        <w:t>。</w:t>
      </w:r>
    </w:p>
    <w:p>
      <w:pPr>
        <w:spacing w:before="48"/>
        <w:ind w:firstLine="640"/>
      </w:pPr>
      <w:bookmarkStart w:id="84" w:name="_Hlk207811262"/>
      <w:r>
        <w:rPr>
          <w:rFonts w:hint="eastAsia"/>
        </w:rPr>
        <w:t>（6）交通枢纽区</w:t>
      </w:r>
    </w:p>
    <w:p>
      <w:pPr>
        <w:spacing w:before="48"/>
        <w:ind w:firstLine="640"/>
      </w:pPr>
      <w:r>
        <w:rPr>
          <w:rFonts w:hint="eastAsia"/>
        </w:rPr>
        <w:t>交通枢纽区面积约为0.27公顷，以汽车客运站为主，该分区应尽可能降低交通噪音等对居住、公共环境的干扰。</w:t>
      </w:r>
    </w:p>
    <w:p>
      <w:pPr>
        <w:spacing w:before="48"/>
        <w:ind w:firstLine="640"/>
      </w:pPr>
      <w:r>
        <w:rPr>
          <w:rFonts w:hint="eastAsia"/>
        </w:rPr>
        <w:t>（7）战略预留区</w:t>
      </w:r>
    </w:p>
    <w:p>
      <w:pPr>
        <w:spacing w:before="48"/>
        <w:ind w:firstLine="640"/>
      </w:pPr>
      <w:r>
        <w:rPr>
          <w:rFonts w:hint="eastAsia"/>
        </w:rPr>
        <w:t>战略预留区面积约为0.72公顷；战略预留区是对镇区发展产生重大影响的、尚具有不确定性的战略性功能进行空间预留，并应加强区内一切建设行为的预先管控。以用途待定用地及现状用地为主</w:t>
      </w:r>
      <w:bookmarkEnd w:id="84"/>
      <w:r>
        <w:rPr>
          <w:rFonts w:hint="eastAsia"/>
        </w:rPr>
        <w:t>。</w:t>
      </w:r>
    </w:p>
    <w:bookmarkEnd w:id="74"/>
    <w:p>
      <w:pPr>
        <w:ind w:firstLine="640"/>
      </w:pPr>
      <w:r>
        <w:rPr>
          <w:rFonts w:hint="eastAsia"/>
        </w:rPr>
        <w:t>2</w:t>
      </w:r>
      <w:r>
        <w:t>.管控规则</w:t>
      </w:r>
    </w:p>
    <w:p>
      <w:pPr>
        <w:spacing w:before="65"/>
        <w:ind w:firstLine="640"/>
      </w:pPr>
      <w:r>
        <w:rPr>
          <w:rFonts w:hint="eastAsia"/>
        </w:rPr>
        <w:t>功能区采用“用途准入</w:t>
      </w:r>
      <w:r>
        <w:t>+指标控制+原则指引”的方式进行管理，明确开发强度分区、各类用地的强度指标，如容积率、建筑密度等；提出用地兼容比例控制要求，鼓励用地功能混合使用，营造镇区的多样性；结合地方文化和特色，提出高度、风貌等空间形态控制要求。</w:t>
      </w:r>
    </w:p>
    <w:p>
      <w:pPr>
        <w:spacing w:before="65"/>
        <w:ind w:firstLine="640"/>
      </w:pPr>
      <w:r>
        <w:rPr>
          <w:rFonts w:hint="eastAsia"/>
          <w:lang w:bidi="ar"/>
        </w:rPr>
        <w:t>（1）用途准入</w:t>
      </w:r>
    </w:p>
    <w:p>
      <w:pPr>
        <w:spacing w:before="65"/>
        <w:ind w:firstLine="640"/>
      </w:pPr>
      <w:r>
        <w:rPr>
          <w:rFonts w:hint="eastAsia"/>
          <w:lang w:bidi="ar"/>
        </w:rPr>
        <w:t>城镇集中建设区各类城镇建设用途的准入应符合国土空间规划和其他相关规划，优先使用存量建设用地，引导城镇低效用地再开发，提高建设用地使用效率，落实建设用地标准控制制度，开展节约集约用地评价，推广应用节地技术和节地模式。</w:t>
      </w:r>
    </w:p>
    <w:p>
      <w:pPr>
        <w:spacing w:before="65"/>
        <w:ind w:firstLine="640"/>
      </w:pPr>
      <w:r>
        <w:rPr>
          <w:rFonts w:hint="eastAsia"/>
          <w:lang w:bidi="ar"/>
        </w:rPr>
        <w:t>鼓励建设用地的复合性开发，按照用途相近、功能兼容、互无干扰、基础设施共享的原则，研究制定有助于生活便利、各类用途相互促进的兼容性地类和相关控制指标。</w:t>
      </w:r>
    </w:p>
    <w:p>
      <w:pPr>
        <w:spacing w:before="65"/>
        <w:ind w:firstLine="640"/>
      </w:pPr>
      <w:r>
        <w:rPr>
          <w:rFonts w:hint="eastAsia"/>
          <w:lang w:bidi="ar"/>
        </w:rPr>
        <w:t>（2）用途退出</w:t>
      </w:r>
    </w:p>
    <w:p>
      <w:pPr>
        <w:spacing w:before="65"/>
        <w:ind w:firstLine="640"/>
      </w:pPr>
      <w:r>
        <w:rPr>
          <w:rFonts w:hint="eastAsia"/>
          <w:lang w:bidi="ar"/>
        </w:rPr>
        <w:t>对用途分区主导功能产生负面影响的用途应通过国土空间规划的编制和实施逐步退出。</w:t>
      </w:r>
    </w:p>
    <w:p>
      <w:pPr>
        <w:pStyle w:val="4"/>
      </w:pPr>
      <w:r>
        <w:rPr>
          <w:rFonts w:hint="eastAsia"/>
        </w:rPr>
        <w:t>乡村发展区</w:t>
      </w:r>
    </w:p>
    <w:p>
      <w:pPr>
        <w:spacing w:before="65"/>
        <w:ind w:firstLine="640"/>
      </w:pPr>
      <w:bookmarkStart w:id="85" w:name="_Hlk152837370"/>
      <w:r>
        <w:rPr>
          <w:rFonts w:hint="eastAsia"/>
          <w:lang w:bidi="ar"/>
        </w:rPr>
        <w:t>全镇划定乡村发展区面积</w:t>
      </w:r>
      <w:bookmarkStart w:id="86" w:name="_Hlk207811282"/>
      <w:r>
        <w:rPr>
          <w:rFonts w:hint="eastAsia"/>
          <w:lang w:bidi="ar"/>
        </w:rPr>
        <w:t>4236.15</w:t>
      </w:r>
      <w:bookmarkEnd w:id="86"/>
      <w:r>
        <w:rPr>
          <w:lang w:bidi="ar"/>
        </w:rPr>
        <w:t>公顷，占全域面积的</w:t>
      </w:r>
      <w:bookmarkStart w:id="87" w:name="_Hlk207811290"/>
      <w:r>
        <w:rPr>
          <w:rFonts w:hint="eastAsia"/>
          <w:lang w:bidi="ar"/>
        </w:rPr>
        <w:t>37.58</w:t>
      </w:r>
      <w:bookmarkEnd w:id="87"/>
      <w:r>
        <w:rPr>
          <w:lang w:bidi="ar"/>
        </w:rPr>
        <w:t>%</w:t>
      </w:r>
      <w:r>
        <w:rPr>
          <w:rFonts w:hint="eastAsia"/>
          <w:lang w:bidi="ar"/>
        </w:rPr>
        <w:t>。乡村发展区包含村庄建设区、一般农业区等二级规划分区。</w:t>
      </w:r>
    </w:p>
    <w:bookmarkEnd w:id="85"/>
    <w:p>
      <w:pPr>
        <w:ind w:firstLine="640"/>
      </w:pPr>
      <w:bookmarkStart w:id="88" w:name="_Hlk200561984"/>
      <w:r>
        <w:rPr>
          <w:rFonts w:hint="eastAsia"/>
        </w:rPr>
        <w:t>1</w:t>
      </w:r>
      <w:r>
        <w:t>.</w:t>
      </w:r>
      <w:r>
        <w:rPr>
          <w:rFonts w:hint="eastAsia"/>
        </w:rPr>
        <w:t>村庄建设区</w:t>
      </w:r>
    </w:p>
    <w:p>
      <w:pPr>
        <w:spacing w:before="65"/>
        <w:ind w:firstLine="640"/>
      </w:pPr>
      <w:bookmarkStart w:id="89" w:name="_Hlk207122809"/>
      <w:r>
        <w:rPr>
          <w:rFonts w:hint="eastAsia"/>
        </w:rPr>
        <w:t>全镇划定村庄建设区面积</w:t>
      </w:r>
      <w:bookmarkStart w:id="90" w:name="_Hlk207811309"/>
      <w:r>
        <w:rPr>
          <w:rFonts w:hint="eastAsia"/>
        </w:rPr>
        <w:t>764.19</w:t>
      </w:r>
      <w:bookmarkEnd w:id="90"/>
      <w:r>
        <w:t>公顷，占全域</w:t>
      </w:r>
      <w:r>
        <w:rPr>
          <w:rFonts w:hint="eastAsia"/>
        </w:rPr>
        <w:t>乡村发展区</w:t>
      </w:r>
      <w:r>
        <w:t>面积的</w:t>
      </w:r>
      <w:bookmarkStart w:id="91" w:name="_Hlk207811322"/>
      <w:r>
        <w:rPr>
          <w:rFonts w:hint="eastAsia"/>
        </w:rPr>
        <w:t>18.04</w:t>
      </w:r>
      <w:bookmarkEnd w:id="91"/>
      <w:r>
        <w:t>%</w:t>
      </w:r>
      <w:bookmarkEnd w:id="89"/>
      <w:r>
        <w:t>。</w:t>
      </w:r>
    </w:p>
    <w:bookmarkEnd w:id="88"/>
    <w:p>
      <w:pPr>
        <w:spacing w:before="65"/>
        <w:ind w:firstLine="640"/>
      </w:pPr>
      <w:r>
        <w:rPr>
          <w:lang w:bidi="ar"/>
        </w:rPr>
        <w:t>（</w:t>
      </w:r>
      <w:r>
        <w:rPr>
          <w:rFonts w:hint="eastAsia"/>
          <w:lang w:bidi="ar"/>
        </w:rPr>
        <w:t>1）用途准入</w:t>
      </w:r>
    </w:p>
    <w:p>
      <w:pPr>
        <w:spacing w:before="65"/>
        <w:ind w:firstLine="640"/>
      </w:pPr>
      <w:r>
        <w:rPr>
          <w:rFonts w:hint="eastAsia"/>
          <w:lang w:bidi="ar"/>
        </w:rPr>
        <w:t>村庄建设区的准入应符合国土空间规划和其他相关规划。在符合国土空间规划和其他相关规划的前提下，村庄建设区准入宅基地、农村公共服务设施、交通市政基础设施、农产品加工仓储、农家乐、民宿、创意办公、休闲农业、乡村旅游配套设施等农村生产、生活相关的用途。</w:t>
      </w:r>
    </w:p>
    <w:p>
      <w:pPr>
        <w:spacing w:before="65"/>
        <w:ind w:firstLine="640"/>
      </w:pPr>
      <w:r>
        <w:rPr>
          <w:rFonts w:hint="eastAsia"/>
          <w:lang w:bidi="ar"/>
        </w:rPr>
        <w:t>已批准村庄规划覆盖的区域，村庄建设区的准入应符合村庄规划的要求，优先保障农村宅基地和公共服务设施用地的建设需求，宅基地建设应依法落实“一户一宅”要求，遵守地方宅基地建设标准；公共服务设施应严格按照国土空间规划明确的公共服务设施建设标准和布局要求进行建设。</w:t>
      </w:r>
    </w:p>
    <w:p>
      <w:pPr>
        <w:spacing w:before="65"/>
        <w:ind w:firstLine="640"/>
      </w:pPr>
      <w:r>
        <w:rPr>
          <w:lang w:bidi="ar"/>
        </w:rPr>
        <w:t>（</w:t>
      </w:r>
      <w:r>
        <w:rPr>
          <w:rFonts w:hint="eastAsia"/>
          <w:lang w:bidi="ar"/>
        </w:rPr>
        <w:t>2）用途退出</w:t>
      </w:r>
    </w:p>
    <w:p>
      <w:pPr>
        <w:spacing w:before="65"/>
        <w:ind w:firstLine="640"/>
      </w:pPr>
      <w:r>
        <w:rPr>
          <w:rFonts w:hint="eastAsia"/>
          <w:lang w:bidi="ar"/>
        </w:rPr>
        <w:t>对村民生产、生活有负面影响的生产、开发活动应当通过国土空间规划的编制和实施逐步退出。</w:t>
      </w:r>
    </w:p>
    <w:p>
      <w:pPr>
        <w:ind w:firstLine="640"/>
      </w:pPr>
      <w:bookmarkStart w:id="92" w:name="_Hlk200561993"/>
    </w:p>
    <w:p>
      <w:pPr>
        <w:ind w:firstLine="640"/>
      </w:pPr>
      <w:r>
        <w:rPr>
          <w:rFonts w:hint="eastAsia"/>
        </w:rPr>
        <w:t>2</w:t>
      </w:r>
      <w:r>
        <w:t>.</w:t>
      </w:r>
      <w:r>
        <w:rPr>
          <w:rFonts w:hint="eastAsia"/>
        </w:rPr>
        <w:t>一般农业区</w:t>
      </w:r>
    </w:p>
    <w:p>
      <w:pPr>
        <w:spacing w:before="65"/>
        <w:ind w:firstLine="640"/>
      </w:pPr>
      <w:bookmarkStart w:id="93" w:name="_Hlk207122888"/>
      <w:r>
        <w:rPr>
          <w:rFonts w:hint="eastAsia"/>
          <w:lang w:bidi="ar"/>
        </w:rPr>
        <w:t>全镇划定一般农业区面积</w:t>
      </w:r>
      <w:bookmarkStart w:id="94" w:name="_Hlk207811337"/>
      <w:r>
        <w:rPr>
          <w:rFonts w:hint="eastAsia"/>
          <w:lang w:bidi="ar"/>
        </w:rPr>
        <w:t>3471.96</w:t>
      </w:r>
      <w:bookmarkEnd w:id="94"/>
      <w:r>
        <w:rPr>
          <w:lang w:bidi="ar"/>
        </w:rPr>
        <w:t>公顷，占全域乡村发展区面积的</w:t>
      </w:r>
      <w:bookmarkStart w:id="95" w:name="_Hlk207811345"/>
      <w:r>
        <w:rPr>
          <w:rFonts w:hint="eastAsia"/>
          <w:lang w:bidi="ar"/>
        </w:rPr>
        <w:t>81.96</w:t>
      </w:r>
      <w:bookmarkEnd w:id="95"/>
      <w:r>
        <w:rPr>
          <w:lang w:bidi="ar"/>
        </w:rPr>
        <w:t>%</w:t>
      </w:r>
      <w:bookmarkEnd w:id="93"/>
      <w:r>
        <w:rPr>
          <w:lang w:bidi="ar"/>
        </w:rPr>
        <w:t>。</w:t>
      </w:r>
    </w:p>
    <w:bookmarkEnd w:id="92"/>
    <w:p>
      <w:pPr>
        <w:spacing w:before="65"/>
        <w:ind w:firstLine="640"/>
      </w:pPr>
      <w:r>
        <w:rPr>
          <w:lang w:bidi="ar"/>
        </w:rPr>
        <w:t>（</w:t>
      </w:r>
      <w:r>
        <w:rPr>
          <w:rFonts w:hint="eastAsia"/>
          <w:lang w:bidi="ar"/>
        </w:rPr>
        <w:t>1）用途准入</w:t>
      </w:r>
    </w:p>
    <w:p>
      <w:pPr>
        <w:spacing w:before="65"/>
        <w:ind w:firstLine="640"/>
        <w:rPr>
          <w:lang w:bidi="ar"/>
        </w:rPr>
      </w:pPr>
      <w:r>
        <w:rPr>
          <w:rFonts w:hint="eastAsia"/>
          <w:lang w:bidi="ar"/>
        </w:rPr>
        <w:t>一般农业区中的耕地按照《土地管理法》、《土地管理法实施条例》、《关于坚决制止耕地“非农化”防止耕地“非粮化”稳定发展粮食生产的意见》等法律法规、文件的要求进行管控。</w:t>
      </w:r>
    </w:p>
    <w:p>
      <w:pPr>
        <w:spacing w:before="65"/>
        <w:ind w:firstLine="640"/>
        <w:rPr>
          <w:lang w:bidi="ar"/>
        </w:rPr>
      </w:pPr>
      <w:r>
        <w:rPr>
          <w:rFonts w:hint="eastAsia"/>
          <w:lang w:bidi="ar"/>
        </w:rPr>
        <w:t>一般农业区内的耕地优先用于粮食和棉、油、糖、蔬菜等农产品生产。一般农业区内鼓励依据国土空间规划、全域土地综合整治规划等相关规划开展土地整治，提升耕地质量，促进区内建设用地、其他农用地整治为耕地。</w:t>
      </w:r>
    </w:p>
    <w:p>
      <w:pPr>
        <w:spacing w:before="65"/>
        <w:ind w:firstLine="640"/>
        <w:rPr>
          <w:lang w:bidi="ar"/>
        </w:rPr>
      </w:pPr>
      <w:r>
        <w:rPr>
          <w:rFonts w:hint="eastAsia"/>
          <w:lang w:bidi="ar"/>
        </w:rPr>
        <w:t>在符合国土空间规划和其他相关规划的前提下，一般农业区允许农业设施建设用地准入，使用后必须恢复原用途。严格控制农业设施建设用地转化为非农建设用地。</w:t>
      </w:r>
    </w:p>
    <w:p>
      <w:pPr>
        <w:spacing w:before="65"/>
        <w:ind w:firstLine="640"/>
      </w:pPr>
      <w:r>
        <w:rPr>
          <w:rFonts w:hint="eastAsia"/>
          <w:lang w:bidi="ar"/>
        </w:rPr>
        <w:t>一般农业区中的永久基本农田储备耕地在补划为永久基本农田前，按照一般耕地管理和使用，并及时进行补充更新。重大建设项目或整改补划永久基本农田的，可直接在永久基本农田储备耕地中进行补划。</w:t>
      </w:r>
    </w:p>
    <w:p>
      <w:pPr>
        <w:spacing w:before="65"/>
        <w:ind w:firstLine="640"/>
      </w:pPr>
      <w:r>
        <w:rPr>
          <w:lang w:bidi="ar"/>
        </w:rPr>
        <w:t>（</w:t>
      </w:r>
      <w:r>
        <w:rPr>
          <w:rFonts w:hint="eastAsia"/>
          <w:lang w:bidi="ar"/>
        </w:rPr>
        <w:t>2）用途退出</w:t>
      </w:r>
    </w:p>
    <w:p>
      <w:pPr>
        <w:spacing w:before="65"/>
        <w:ind w:firstLine="640"/>
      </w:pPr>
      <w:r>
        <w:rPr>
          <w:rFonts w:hint="eastAsia"/>
          <w:lang w:bidi="ar"/>
        </w:rPr>
        <w:t>下列用途应通过国土空间规划的编制和实施有序退出，并限期恢复种植条件，规划期间确实不能恢复种植条件的，允许保留现状用途，但不得扩大面积。包括：一般农业区内破坏、污染耕地的开发生产活动；违法违规占用耕地的用途；零星的建设用地等用途。</w:t>
      </w:r>
    </w:p>
    <w:p>
      <w:pPr>
        <w:pStyle w:val="4"/>
      </w:pPr>
      <w:r>
        <w:rPr>
          <w:rFonts w:hint="eastAsia"/>
        </w:rPr>
        <w:t>矿产能源发展区</w:t>
      </w:r>
    </w:p>
    <w:p>
      <w:pPr>
        <w:ind w:firstLine="640"/>
      </w:pPr>
      <w:r>
        <w:rPr>
          <w:rFonts w:hint="eastAsia"/>
        </w:rPr>
        <w:t>1</w:t>
      </w:r>
      <w:r>
        <w:t>.矿产能源发展区划定</w:t>
      </w:r>
    </w:p>
    <w:p>
      <w:pPr>
        <w:spacing w:before="65"/>
        <w:ind w:firstLine="640"/>
      </w:pPr>
      <w:r>
        <w:rPr>
          <w:rFonts w:hint="eastAsia"/>
          <w:lang w:bidi="ar"/>
        </w:rPr>
        <w:t>全镇划定矿产能源发展区面积</w:t>
      </w:r>
      <w:bookmarkStart w:id="96" w:name="_Hlk207811368"/>
      <w:r>
        <w:rPr>
          <w:rFonts w:hint="eastAsia"/>
          <w:lang w:bidi="ar"/>
        </w:rPr>
        <w:t>411.79</w:t>
      </w:r>
      <w:bookmarkEnd w:id="96"/>
      <w:r>
        <w:rPr>
          <w:lang w:bidi="ar"/>
        </w:rPr>
        <w:t>公顷，占全域面积的</w:t>
      </w:r>
      <w:bookmarkStart w:id="97" w:name="_Hlk207811374"/>
      <w:r>
        <w:rPr>
          <w:rFonts w:hint="eastAsia"/>
          <w:lang w:bidi="ar"/>
        </w:rPr>
        <w:t>3.65</w:t>
      </w:r>
      <w:bookmarkEnd w:id="97"/>
      <w:r>
        <w:rPr>
          <w:lang w:bidi="ar"/>
        </w:rPr>
        <w:t>%</w:t>
      </w:r>
      <w:r>
        <w:rPr>
          <w:rFonts w:hint="eastAsia"/>
          <w:lang w:bidi="ar"/>
        </w:rPr>
        <w:t>。</w:t>
      </w:r>
    </w:p>
    <w:p>
      <w:pPr>
        <w:ind w:firstLine="640"/>
      </w:pPr>
      <w:r>
        <w:rPr>
          <w:rFonts w:hint="eastAsia"/>
        </w:rPr>
        <w:t>2</w:t>
      </w:r>
      <w:r>
        <w:t>.管控规则</w:t>
      </w:r>
    </w:p>
    <w:p>
      <w:pPr>
        <w:spacing w:before="65"/>
        <w:ind w:firstLine="640"/>
      </w:pPr>
      <w:r>
        <w:rPr>
          <w:lang w:bidi="ar"/>
        </w:rPr>
        <w:t>（</w:t>
      </w:r>
      <w:r>
        <w:rPr>
          <w:rFonts w:hint="eastAsia"/>
          <w:lang w:bidi="ar"/>
        </w:rPr>
        <w:t>1）用途准入</w:t>
      </w:r>
    </w:p>
    <w:p>
      <w:pPr>
        <w:spacing w:before="65"/>
        <w:ind w:firstLine="640"/>
      </w:pPr>
      <w:r>
        <w:rPr>
          <w:rFonts w:hint="eastAsia"/>
          <w:lang w:bidi="ar"/>
        </w:rPr>
        <w:t>在符合国土空间规划和其他相关规划的前提下，矿产能源发展区允许矿产资源的勘探、开采、初加工以及相关的配套设施建设，禁止大规模的城镇建设。</w:t>
      </w:r>
    </w:p>
    <w:p>
      <w:pPr>
        <w:spacing w:before="65"/>
        <w:ind w:firstLine="640"/>
      </w:pPr>
      <w:r>
        <w:rPr>
          <w:rFonts w:hint="eastAsia"/>
          <w:lang w:bidi="ar"/>
        </w:rPr>
        <w:t>在符合国土空间规划和其他相关规划的前提下，矿产能源发展区允许开展农用地整理和其他土地整治工程的实施，鼓励生态修复和生态建设工程。</w:t>
      </w:r>
    </w:p>
    <w:p>
      <w:pPr>
        <w:spacing w:before="65"/>
        <w:ind w:firstLine="640"/>
      </w:pPr>
      <w:r>
        <w:rPr>
          <w:lang w:bidi="ar"/>
        </w:rPr>
        <w:t>（</w:t>
      </w:r>
      <w:r>
        <w:rPr>
          <w:rFonts w:hint="eastAsia"/>
          <w:lang w:bidi="ar"/>
        </w:rPr>
        <w:t>2）用途退出</w:t>
      </w:r>
    </w:p>
    <w:p>
      <w:pPr>
        <w:spacing w:before="65"/>
        <w:ind w:firstLine="640"/>
        <w:rPr>
          <w:lang w:bidi="ar"/>
        </w:rPr>
      </w:pPr>
      <w:r>
        <w:rPr>
          <w:rFonts w:hint="eastAsia"/>
          <w:lang w:bidi="ar"/>
        </w:rPr>
        <w:t>在符合国土空间规划和其他相关规划的前提下，不符合准入规则、影响矿产能源勘探和开采的用途应有序退出。</w:t>
      </w:r>
      <w:r>
        <w:rPr>
          <w:lang w:bidi="ar"/>
        </w:rPr>
        <w:br w:type="page"/>
      </w:r>
    </w:p>
    <w:p>
      <w:pPr>
        <w:spacing w:before="65"/>
        <w:ind w:firstLine="640"/>
        <w:rPr>
          <w:lang w:bidi="ar"/>
        </w:rPr>
      </w:pPr>
    </w:p>
    <w:p>
      <w:pPr>
        <w:pStyle w:val="2"/>
        <w:spacing w:before="489" w:after="489"/>
        <w:rPr>
          <w:lang w:bidi="ar"/>
        </w:rPr>
      </w:pPr>
      <w:bookmarkStart w:id="98" w:name="_Toc207114516"/>
      <w:r>
        <w:rPr>
          <w:lang w:bidi="ar"/>
        </w:rPr>
        <w:t>国土空间功能结构调整</w:t>
      </w:r>
      <w:bookmarkEnd w:id="98"/>
    </w:p>
    <w:p>
      <w:pPr>
        <w:pStyle w:val="3"/>
      </w:pPr>
      <w:r>
        <w:rPr>
          <w:rFonts w:hint="eastAsia"/>
        </w:rPr>
        <w:t>国土空间功能结构调整</w:t>
      </w:r>
    </w:p>
    <w:bookmarkEnd w:id="45"/>
    <w:p>
      <w:pPr>
        <w:pStyle w:val="4"/>
        <w:spacing w:before="195" w:after="195"/>
      </w:pPr>
      <w:r>
        <w:rPr>
          <w:rFonts w:hint="eastAsia"/>
        </w:rPr>
        <w:t>优化国土空间功能结构调整</w:t>
      </w:r>
    </w:p>
    <w:p>
      <w:pPr>
        <w:widowControl w:val="0"/>
        <w:spacing w:before="48" w:after="163" w:afterLines="50"/>
        <w:ind w:firstLine="640"/>
        <w:rPr>
          <w:lang w:bidi="ar"/>
        </w:rPr>
      </w:pPr>
      <w:r>
        <w:rPr>
          <w:rFonts w:hint="eastAsia" w:ascii="Times New Roman" w:cs="宋体"/>
          <w:lang w:bidi="ar"/>
        </w:rPr>
        <w:t>规划</w:t>
      </w:r>
      <w:r>
        <w:rPr>
          <w:rFonts w:ascii="Times New Roman" w:cs="宋体"/>
          <w:lang w:bidi="ar"/>
        </w:rPr>
        <w:t>期内</w:t>
      </w:r>
      <w:r>
        <w:rPr>
          <w:rFonts w:hint="eastAsia" w:ascii="Times New Roman" w:cs="宋体"/>
          <w:lang w:bidi="ar"/>
        </w:rPr>
        <w:t>，耕地面积不低于</w:t>
      </w:r>
      <w:r>
        <w:rPr>
          <w:rFonts w:hint="eastAsia"/>
        </w:rPr>
        <w:t>5376.79</w:t>
      </w:r>
      <w:r>
        <w:rPr>
          <w:rFonts w:hint="eastAsia" w:ascii="Times New Roman" w:cs="宋体"/>
          <w:lang w:bidi="ar"/>
        </w:rPr>
        <w:t>公顷（耕地保有量）；</w:t>
      </w:r>
      <w:r>
        <w:rPr>
          <w:rFonts w:ascii="Times New Roman" w:cs="宋体"/>
          <w:lang w:bidi="ar"/>
        </w:rPr>
        <w:t>规划至2035年</w:t>
      </w:r>
      <w:r>
        <w:rPr>
          <w:rFonts w:hint="eastAsia" w:ascii="Times New Roman" w:cs="宋体"/>
          <w:lang w:bidi="ar"/>
        </w:rPr>
        <w:t>园地面积适量减少，</w:t>
      </w:r>
      <w:bookmarkStart w:id="99" w:name="_Hlk209013244"/>
      <w:r>
        <w:rPr>
          <w:rFonts w:hint="eastAsia" w:ascii="Times New Roman" w:cs="宋体"/>
          <w:lang w:bidi="ar"/>
        </w:rPr>
        <w:t>林地面积保持稳定</w:t>
      </w:r>
      <w:bookmarkEnd w:id="99"/>
      <w:r>
        <w:rPr>
          <w:rFonts w:hint="eastAsia" w:ascii="Times New Roman" w:cs="宋体"/>
          <w:lang w:bidi="ar"/>
        </w:rPr>
        <w:t>；草地面积适量减少；湿地保持稳定；</w:t>
      </w:r>
      <w:bookmarkStart w:id="100" w:name="_Hlk209621199"/>
      <w:r>
        <w:rPr>
          <w:rFonts w:hint="eastAsia" w:ascii="Times New Roman" w:cs="宋体"/>
          <w:lang w:bidi="ar"/>
        </w:rPr>
        <w:t>农业设施建设用地面积适量增加；</w:t>
      </w:r>
      <w:bookmarkEnd w:id="100"/>
      <w:r>
        <w:rPr>
          <w:rFonts w:hint="eastAsia" w:ascii="Times New Roman" w:cs="宋体"/>
          <w:lang w:bidi="ar"/>
        </w:rPr>
        <w:t>城镇用地面积小于等于</w:t>
      </w:r>
      <w:r>
        <w:rPr>
          <w:rFonts w:hint="eastAsia"/>
        </w:rPr>
        <w:t>128.60</w:t>
      </w:r>
      <w:r>
        <w:rPr>
          <w:rFonts w:hint="eastAsia" w:ascii="Times New Roman" w:cs="宋体"/>
          <w:lang w:bidi="ar"/>
        </w:rPr>
        <w:t>公顷；</w:t>
      </w:r>
      <w:r>
        <w:rPr>
          <w:rFonts w:hint="eastAsia"/>
        </w:rPr>
        <w:t>村庄用地规模不得超过城镇开发边界外村庄用地总规模764.19</w:t>
      </w:r>
      <w:r>
        <w:t>公顷</w:t>
      </w:r>
      <w:r>
        <w:rPr>
          <w:rFonts w:hint="eastAsia" w:ascii="Times New Roman" w:cs="宋体"/>
          <w:lang w:bidi="ar"/>
        </w:rPr>
        <w:t>；区域基础设施用地面积持续增加；其他建设用地面积适量增加；陆地水域</w:t>
      </w:r>
      <w:r>
        <w:rPr>
          <w:rFonts w:hint="eastAsia"/>
          <w:lang w:bidi="ar"/>
        </w:rPr>
        <w:t>保持稳定</w:t>
      </w:r>
      <w:r>
        <w:rPr>
          <w:rFonts w:hint="eastAsia" w:ascii="Times New Roman" w:cs="宋体"/>
          <w:lang w:bidi="ar"/>
        </w:rPr>
        <w:t>。</w:t>
      </w:r>
    </w:p>
    <w:p>
      <w:pPr>
        <w:pStyle w:val="5"/>
        <w:ind w:firstLine="640"/>
      </w:pPr>
      <w:bookmarkStart w:id="101" w:name="_Hlk206605833"/>
      <w:r>
        <w:rPr>
          <w:rFonts w:hint="eastAsia"/>
        </w:rPr>
        <w:t>优化农用地结构</w:t>
      </w:r>
    </w:p>
    <w:bookmarkEnd w:id="101"/>
    <w:p>
      <w:pPr>
        <w:widowControl w:val="0"/>
        <w:spacing w:before="48" w:after="163" w:afterLines="50"/>
        <w:ind w:firstLine="640"/>
        <w:rPr>
          <w:lang w:bidi="ar"/>
        </w:rPr>
      </w:pPr>
      <w:r>
        <w:rPr>
          <w:rFonts w:hint="eastAsia"/>
          <w:lang w:bidi="ar"/>
        </w:rPr>
        <w:t>耕地：规划期内全镇耕地面积不低于在“三区三线”划定成果中确定的耕地保护目标</w:t>
      </w:r>
      <w:bookmarkStart w:id="102" w:name="_Hlk207811510"/>
      <w:r>
        <w:rPr>
          <w:rFonts w:hint="eastAsia"/>
        </w:rPr>
        <w:t>5376.79</w:t>
      </w:r>
      <w:bookmarkEnd w:id="102"/>
      <w:r>
        <w:rPr>
          <w:rFonts w:hint="eastAsia"/>
          <w:lang w:bidi="ar"/>
        </w:rPr>
        <w:t>公顷。</w:t>
      </w:r>
    </w:p>
    <w:p>
      <w:pPr>
        <w:widowControl w:val="0"/>
        <w:spacing w:before="48" w:after="163" w:afterLines="50"/>
        <w:ind w:firstLine="640"/>
        <w:rPr>
          <w:lang w:bidi="ar"/>
        </w:rPr>
      </w:pPr>
      <w:r>
        <w:rPr>
          <w:rFonts w:hint="eastAsia"/>
          <w:lang w:bidi="ar"/>
        </w:rPr>
        <w:t>园地：规划至2035年，</w:t>
      </w:r>
      <w:bookmarkStart w:id="103" w:name="_Hlk207811521"/>
      <w:r>
        <w:rPr>
          <w:rFonts w:hint="eastAsia"/>
          <w:lang w:bidi="ar"/>
        </w:rPr>
        <w:t>园地面积</w:t>
      </w:r>
      <w:r>
        <w:rPr>
          <w:rFonts w:hint="eastAsia" w:ascii="Times New Roman" w:cs="宋体"/>
          <w:lang w:bidi="ar"/>
        </w:rPr>
        <w:t>适量</w:t>
      </w:r>
      <w:r>
        <w:rPr>
          <w:rFonts w:hint="eastAsia"/>
          <w:lang w:bidi="ar"/>
        </w:rPr>
        <w:t>减少</w:t>
      </w:r>
      <w:bookmarkEnd w:id="103"/>
      <w:r>
        <w:rPr>
          <w:rFonts w:hint="eastAsia"/>
          <w:lang w:bidi="ar"/>
        </w:rPr>
        <w:t>。</w:t>
      </w:r>
    </w:p>
    <w:p>
      <w:pPr>
        <w:widowControl w:val="0"/>
        <w:spacing w:before="48" w:after="163" w:afterLines="50"/>
        <w:ind w:firstLine="640"/>
        <w:rPr>
          <w:lang w:bidi="ar"/>
        </w:rPr>
      </w:pPr>
      <w:r>
        <w:rPr>
          <w:rFonts w:hint="eastAsia"/>
          <w:lang w:bidi="ar"/>
        </w:rPr>
        <w:t>林地：规划期内，林地面积保持稳定。</w:t>
      </w:r>
    </w:p>
    <w:p>
      <w:pPr>
        <w:widowControl w:val="0"/>
        <w:spacing w:before="48" w:after="163" w:afterLines="50"/>
        <w:ind w:firstLine="640"/>
        <w:rPr>
          <w:lang w:bidi="ar"/>
        </w:rPr>
      </w:pPr>
      <w:r>
        <w:rPr>
          <w:rFonts w:hint="eastAsia"/>
          <w:lang w:bidi="ar"/>
        </w:rPr>
        <w:t>草地：</w:t>
      </w:r>
      <w:bookmarkStart w:id="104" w:name="_Hlk152851885"/>
      <w:r>
        <w:rPr>
          <w:rFonts w:hint="eastAsia"/>
          <w:lang w:bidi="ar"/>
        </w:rPr>
        <w:t>规划至2035年，</w:t>
      </w:r>
      <w:bookmarkStart w:id="105" w:name="_Hlk207811577"/>
      <w:r>
        <w:rPr>
          <w:rFonts w:hint="eastAsia"/>
          <w:lang w:bidi="ar"/>
        </w:rPr>
        <w:t>草地面积</w:t>
      </w:r>
      <w:r>
        <w:rPr>
          <w:rFonts w:hint="eastAsia" w:ascii="Times New Roman" w:cs="宋体"/>
          <w:lang w:bidi="ar"/>
        </w:rPr>
        <w:t>适量减少</w:t>
      </w:r>
      <w:bookmarkEnd w:id="105"/>
      <w:r>
        <w:rPr>
          <w:rFonts w:hint="eastAsia"/>
          <w:lang w:bidi="ar"/>
        </w:rPr>
        <w:t>。</w:t>
      </w:r>
    </w:p>
    <w:bookmarkEnd w:id="104"/>
    <w:p>
      <w:pPr>
        <w:widowControl w:val="0"/>
        <w:spacing w:before="48" w:after="163" w:afterLines="50"/>
        <w:ind w:firstLine="640"/>
        <w:rPr>
          <w:lang w:bidi="ar"/>
        </w:rPr>
      </w:pPr>
      <w:r>
        <w:rPr>
          <w:rFonts w:hint="eastAsia"/>
          <w:lang w:bidi="ar"/>
        </w:rPr>
        <w:t>湿地：规划至</w:t>
      </w:r>
      <w:r>
        <w:rPr>
          <w:lang w:bidi="ar"/>
        </w:rPr>
        <w:t>2035年，</w:t>
      </w:r>
      <w:r>
        <w:rPr>
          <w:rFonts w:hint="eastAsia"/>
          <w:lang w:bidi="ar"/>
        </w:rPr>
        <w:t>湿地</w:t>
      </w:r>
      <w:r>
        <w:rPr>
          <w:lang w:bidi="ar"/>
        </w:rPr>
        <w:t>面积</w:t>
      </w:r>
      <w:r>
        <w:rPr>
          <w:rFonts w:hint="eastAsia"/>
          <w:lang w:bidi="ar"/>
        </w:rPr>
        <w:t>保持稳定。</w:t>
      </w:r>
    </w:p>
    <w:p>
      <w:pPr>
        <w:ind w:firstLine="640"/>
      </w:pPr>
      <w:r>
        <w:rPr>
          <w:rFonts w:hint="eastAsia"/>
        </w:rPr>
        <w:t>农业设施建设用地：根据《河南省人民政府办公厅关于印发河南省因地制宜发展设施种植业促进农民增收三年行动方案（2025—2027年）的通知》，结合每个行政村的实际需求，分批分步安排100亩左右相对集中的一般耕地，保障设施种植业稳步发展。因此农业设施建设用地</w:t>
      </w:r>
      <w:bookmarkStart w:id="106" w:name="_Hlk207811602"/>
      <w:r>
        <w:rPr>
          <w:rFonts w:hint="eastAsia"/>
        </w:rPr>
        <w:t>适量</w:t>
      </w:r>
      <w:bookmarkEnd w:id="106"/>
      <w:r>
        <w:rPr>
          <w:rFonts w:hint="eastAsia"/>
        </w:rPr>
        <w:t>增加。</w:t>
      </w:r>
    </w:p>
    <w:p>
      <w:pPr>
        <w:pStyle w:val="5"/>
        <w:ind w:firstLine="640"/>
      </w:pPr>
      <w:bookmarkStart w:id="107" w:name="_Hlk206605851"/>
      <w:r>
        <w:rPr>
          <w:rFonts w:hint="eastAsia"/>
        </w:rPr>
        <w:t>优化建设用地结构</w:t>
      </w:r>
      <w:bookmarkEnd w:id="107"/>
    </w:p>
    <w:p>
      <w:pPr>
        <w:spacing w:before="48"/>
        <w:ind w:firstLine="640"/>
        <w:rPr>
          <w:lang w:bidi="ar"/>
        </w:rPr>
      </w:pPr>
      <w:r>
        <w:rPr>
          <w:rFonts w:hint="eastAsia"/>
          <w:lang w:bidi="ar"/>
        </w:rPr>
        <w:t>城镇用地：</w:t>
      </w:r>
      <w:r>
        <w:rPr>
          <w:lang w:bidi="ar"/>
        </w:rPr>
        <w:t>规划至2035年城镇用地规模不得超过</w:t>
      </w:r>
      <w:bookmarkStart w:id="108" w:name="_Hlk207811616"/>
      <w:r>
        <w:rPr>
          <w:rFonts w:hint="eastAsia"/>
        </w:rPr>
        <w:t>128.60</w:t>
      </w:r>
      <w:bookmarkEnd w:id="108"/>
      <w:r>
        <w:rPr>
          <w:lang w:bidi="ar"/>
        </w:rPr>
        <w:t>公顷</w:t>
      </w:r>
      <w:r>
        <w:rPr>
          <w:rFonts w:hint="eastAsia"/>
          <w:lang w:bidi="ar"/>
        </w:rPr>
        <w:t>。</w:t>
      </w:r>
    </w:p>
    <w:p>
      <w:pPr>
        <w:spacing w:before="48"/>
        <w:ind w:firstLine="640"/>
      </w:pPr>
      <w:r>
        <w:rPr>
          <w:rFonts w:hint="eastAsia"/>
          <w:lang w:bidi="ar"/>
        </w:rPr>
        <w:t>村庄用地：规划至2</w:t>
      </w:r>
      <w:r>
        <w:rPr>
          <w:lang w:bidi="ar"/>
        </w:rPr>
        <w:t>035</w:t>
      </w:r>
      <w:r>
        <w:rPr>
          <w:rFonts w:hint="eastAsia"/>
          <w:lang w:bidi="ar"/>
        </w:rPr>
        <w:t>年村庄用地</w:t>
      </w:r>
      <w:r>
        <w:rPr>
          <w:lang w:bidi="ar"/>
        </w:rPr>
        <w:t>规模不得超过城镇开发边界外村庄用地总规模</w:t>
      </w:r>
      <w:bookmarkStart w:id="109" w:name="_Hlk207811624"/>
      <w:r>
        <w:rPr>
          <w:rFonts w:hint="eastAsia"/>
        </w:rPr>
        <w:t>764.19</w:t>
      </w:r>
      <w:bookmarkEnd w:id="109"/>
      <w:r>
        <w:rPr>
          <w:lang w:bidi="ar"/>
        </w:rPr>
        <w:t>公顷</w:t>
      </w:r>
      <w:r>
        <w:rPr>
          <w:rFonts w:hint="eastAsia"/>
          <w:lang w:bidi="ar"/>
        </w:rPr>
        <w:t>。</w:t>
      </w:r>
    </w:p>
    <w:p>
      <w:pPr>
        <w:spacing w:before="48"/>
        <w:ind w:firstLine="640"/>
      </w:pPr>
      <w:bookmarkStart w:id="110" w:name="_Hlk206605887"/>
      <w:r>
        <w:rPr>
          <w:rFonts w:hint="eastAsia"/>
          <w:lang w:bidi="ar"/>
        </w:rPr>
        <w:t>区域基础设施用地：</w:t>
      </w:r>
      <w:bookmarkEnd w:id="110"/>
      <w:r>
        <w:rPr>
          <w:rFonts w:hint="eastAsia"/>
          <w:lang w:bidi="ar"/>
        </w:rPr>
        <w:t>规划期内，严格落实国家、省、市级重点项目用地需求，规划期内区域基础设施用地根据实际需求增加。</w:t>
      </w:r>
    </w:p>
    <w:p>
      <w:pPr>
        <w:ind w:firstLine="640"/>
      </w:pPr>
      <w:bookmarkStart w:id="111" w:name="_Hlk206605897"/>
      <w:r>
        <w:t>其他建设用地</w:t>
      </w:r>
      <w:r>
        <w:rPr>
          <w:rFonts w:hint="eastAsia"/>
        </w:rPr>
        <w:t>：</w:t>
      </w:r>
      <w:r>
        <w:rPr>
          <w:rFonts w:hint="eastAsia"/>
          <w:lang w:bidi="ar"/>
        </w:rPr>
        <w:t>落实部门</w:t>
      </w:r>
      <w:r>
        <w:rPr>
          <w:lang w:bidi="ar"/>
        </w:rPr>
        <w:t>相关</w:t>
      </w:r>
      <w:r>
        <w:rPr>
          <w:rFonts w:hint="eastAsia"/>
          <w:lang w:bidi="ar"/>
        </w:rPr>
        <w:t>规划，矿产、旅游、民生等用地需求，规划期内其他建设用地</w:t>
      </w:r>
      <w:bookmarkStart w:id="112" w:name="_Hlk207811668"/>
      <w:r>
        <w:rPr>
          <w:rFonts w:hint="eastAsia"/>
          <w:lang w:bidi="ar"/>
        </w:rPr>
        <w:t>适量</w:t>
      </w:r>
      <w:bookmarkEnd w:id="112"/>
      <w:r>
        <w:rPr>
          <w:rFonts w:hint="eastAsia"/>
          <w:lang w:bidi="ar"/>
        </w:rPr>
        <w:t>增加。</w:t>
      </w:r>
    </w:p>
    <w:bookmarkEnd w:id="111"/>
    <w:p>
      <w:pPr>
        <w:pStyle w:val="5"/>
        <w:ind w:firstLine="640"/>
      </w:pPr>
      <w:bookmarkStart w:id="113" w:name="_Hlk206605870"/>
      <w:r>
        <w:rPr>
          <w:rFonts w:hint="eastAsia"/>
        </w:rPr>
        <w:t>合理利用其他土地</w:t>
      </w:r>
      <w:bookmarkEnd w:id="113"/>
    </w:p>
    <w:p>
      <w:pPr>
        <w:ind w:firstLine="640"/>
        <w:rPr>
          <w:lang w:bidi="ar"/>
        </w:rPr>
      </w:pPr>
      <w:r>
        <w:rPr>
          <w:rFonts w:hint="eastAsia"/>
          <w:lang w:bidi="ar"/>
        </w:rPr>
        <w:t>严格河湖水域岸线管理保护，积极开展板桥河、代军河以及农村</w:t>
      </w:r>
      <w:r>
        <w:rPr>
          <w:lang w:bidi="ar"/>
        </w:rPr>
        <w:t>水系沟渠连通治理工程，提高河道防洪能力，规划期末陆地水域面积保持稳定</w:t>
      </w:r>
      <w:r>
        <w:rPr>
          <w:rFonts w:hint="eastAsia"/>
          <w:lang w:bidi="ar"/>
        </w:rPr>
        <w:t>。</w:t>
      </w:r>
    </w:p>
    <w:p>
      <w:pPr>
        <w:pStyle w:val="3"/>
      </w:pPr>
      <w:r>
        <w:rPr>
          <w:rFonts w:hint="eastAsia"/>
        </w:rPr>
        <w:t>留白用地</w:t>
      </w:r>
    </w:p>
    <w:p>
      <w:pPr>
        <w:pStyle w:val="4"/>
        <w:spacing w:before="195" w:after="195"/>
      </w:pPr>
      <w:r>
        <w:rPr>
          <w:rFonts w:hint="eastAsia"/>
        </w:rPr>
        <w:t>留白用地</w:t>
      </w:r>
    </w:p>
    <w:p>
      <w:pPr>
        <w:spacing w:before="65"/>
        <w:ind w:firstLine="640"/>
      </w:pPr>
      <w:r>
        <w:rPr>
          <w:rFonts w:hint="eastAsia"/>
        </w:rPr>
        <w:t>村庄规划阶段可按照现状村庄建设用地的</w:t>
      </w:r>
      <w:r>
        <w:t>5%作为规划留白，用于暂时无法确定用途或位置的乡镇域内农村公益设施、乡村文旅设施、农村一二三产融合发展用地等。规划留白不得占用永久基本农田、生态保护红线。</w:t>
      </w:r>
    </w:p>
    <w:p>
      <w:pPr>
        <w:spacing w:before="65"/>
        <w:ind w:firstLine="640"/>
      </w:pPr>
      <w:r>
        <w:br w:type="page"/>
      </w:r>
    </w:p>
    <w:p>
      <w:pPr>
        <w:spacing w:before="65"/>
        <w:ind w:firstLine="640"/>
      </w:pPr>
    </w:p>
    <w:p>
      <w:pPr>
        <w:pStyle w:val="2"/>
        <w:spacing w:before="489" w:after="489"/>
      </w:pPr>
      <w:bookmarkStart w:id="114" w:name="_Toc207114517"/>
      <w:r>
        <w:rPr>
          <w:rFonts w:hint="eastAsia"/>
        </w:rPr>
        <w:t>自然资源保护利用</w:t>
      </w:r>
      <w:bookmarkEnd w:id="114"/>
    </w:p>
    <w:p>
      <w:pPr>
        <w:pStyle w:val="3"/>
      </w:pPr>
      <w:r>
        <w:rPr>
          <w:rFonts w:hint="eastAsia"/>
        </w:rPr>
        <w:t>耕地资源保护与利用</w:t>
      </w:r>
    </w:p>
    <w:p>
      <w:pPr>
        <w:pStyle w:val="4"/>
        <w:spacing w:before="195" w:after="195"/>
      </w:pPr>
      <w:r>
        <w:rPr>
          <w:rFonts w:hint="eastAsia"/>
        </w:rPr>
        <w:t>严格落实耕地保护责任</w:t>
      </w:r>
    </w:p>
    <w:p>
      <w:pPr>
        <w:spacing w:before="65"/>
        <w:ind w:firstLine="640"/>
        <w:rPr>
          <w:lang w:bidi="ar"/>
        </w:rPr>
      </w:pPr>
      <w:r>
        <w:rPr>
          <w:rFonts w:hint="eastAsia"/>
          <w:lang w:bidi="ar"/>
        </w:rPr>
        <w:t>落实“合理利用土地、切实保护耕地”的基本国策，落实耕地保护目标，严守耕地保护红线，保证面积不减少、质量有提升、生态有改善。</w:t>
      </w:r>
      <w:r>
        <w:rPr>
          <w:rFonts w:hint="eastAsia"/>
          <w:u w:val="single"/>
          <w:lang w:bidi="ar"/>
        </w:rPr>
        <w:t>规划至2035年，全镇耕地保有量不低于5376.79公顷</w:t>
      </w:r>
      <w:r>
        <w:rPr>
          <w:u w:val="single"/>
          <w:lang w:bidi="ar"/>
        </w:rPr>
        <w:t>，</w:t>
      </w:r>
      <w:bookmarkStart w:id="115" w:name="_Hlk207123644"/>
      <w:r>
        <w:rPr>
          <w:rFonts w:hint="eastAsia"/>
          <w:u w:val="single"/>
          <w:lang w:bidi="ar"/>
        </w:rPr>
        <w:t>根据上位规划，永久基本农田保护面积不低于5233.17</w:t>
      </w:r>
      <w:r>
        <w:rPr>
          <w:u w:val="single"/>
          <w:lang w:bidi="ar"/>
        </w:rPr>
        <w:t>公顷，根据永久基本农田核实处置成果，实际落实永久基本农田保护红线面积</w:t>
      </w:r>
      <w:r>
        <w:rPr>
          <w:rFonts w:hint="eastAsia"/>
          <w:u w:val="single"/>
          <w:lang w:bidi="ar"/>
        </w:rPr>
        <w:t>5245.18</w:t>
      </w:r>
      <w:r>
        <w:rPr>
          <w:u w:val="single"/>
          <w:lang w:bidi="ar"/>
        </w:rPr>
        <w:t>公顷</w:t>
      </w:r>
      <w:bookmarkEnd w:id="115"/>
      <w:r>
        <w:rPr>
          <w:u w:val="single"/>
          <w:lang w:bidi="ar"/>
        </w:rPr>
        <w:t>。</w:t>
      </w:r>
      <w:r>
        <w:rPr>
          <w:rFonts w:hint="eastAsia"/>
          <w:lang w:bidi="ar"/>
        </w:rPr>
        <w:t>严格落实</w:t>
      </w:r>
      <w:r>
        <w:rPr>
          <w:lang w:bidi="ar"/>
        </w:rPr>
        <w:t>划定</w:t>
      </w:r>
      <w:r>
        <w:rPr>
          <w:rFonts w:hint="eastAsia"/>
          <w:lang w:bidi="ar"/>
        </w:rPr>
        <w:t>的耕地保护图斑，</w:t>
      </w:r>
      <w:r>
        <w:t>足额带位置</w:t>
      </w:r>
      <w:r>
        <w:rPr>
          <w:rFonts w:hint="eastAsia"/>
        </w:rPr>
        <w:t>落实</w:t>
      </w:r>
      <w:r>
        <w:t>到</w:t>
      </w:r>
      <w:r>
        <w:rPr>
          <w:rFonts w:hint="eastAsia"/>
        </w:rPr>
        <w:t>村庄</w:t>
      </w:r>
      <w:r>
        <w:t>、到地块，上图入库、建档立卡，守住耕地保护和粮食安全底线。</w:t>
      </w:r>
      <w:r>
        <w:rPr>
          <w:rFonts w:hint="eastAsia"/>
          <w:lang w:bidi="ar"/>
        </w:rPr>
        <w:t>落实“长牙齿”的耕地保护措施，</w:t>
      </w:r>
      <w:r>
        <w:rPr>
          <w:lang w:bidi="ar"/>
        </w:rPr>
        <w:t>落实</w:t>
      </w:r>
      <w:r>
        <w:rPr>
          <w:rFonts w:hint="eastAsia"/>
          <w:lang w:bidi="ar"/>
        </w:rPr>
        <w:t>耕地保护责任目标考核机制，</w:t>
      </w:r>
      <w:r>
        <w:rPr>
          <w:lang w:bidi="ar"/>
        </w:rPr>
        <w:t>落实</w:t>
      </w:r>
      <w:r>
        <w:rPr>
          <w:rFonts w:hint="eastAsia"/>
          <w:lang w:bidi="ar"/>
        </w:rPr>
        <w:t>耕地保护党政同责、终生追责。</w:t>
      </w:r>
      <w:r>
        <w:rPr>
          <w:lang w:bidi="ar"/>
        </w:rPr>
        <w:t>严格落实</w:t>
      </w:r>
      <w:r>
        <w:rPr>
          <w:rFonts w:hint="eastAsia"/>
          <w:lang w:bidi="ar"/>
        </w:rPr>
        <w:t>推进“非农化”问题排查整治，严格控制耕地转为林地、草地、园地等其他农用地。</w:t>
      </w:r>
    </w:p>
    <w:p>
      <w:pPr>
        <w:pStyle w:val="4"/>
        <w:spacing w:before="195" w:after="195"/>
      </w:pPr>
      <w:r>
        <w:t>严格落实耕地种植用途管控</w:t>
      </w:r>
    </w:p>
    <w:p>
      <w:pPr>
        <w:spacing w:before="65"/>
        <w:ind w:firstLine="640"/>
        <w:rPr>
          <w:lang w:bidi="ar"/>
        </w:rPr>
      </w:pPr>
      <w:r>
        <w:rPr>
          <w:lang w:bidi="ar"/>
        </w:rPr>
        <w:t>落实耕地种植制度，耕地主要用于粮食和棉、油、糖、蔬菜等农产品生产以及饲草饲料生产，永久基本农田重点用于粮食生产，高标准农田原则上全部用于粮食生产。严守永久基本农田保护红线，严禁擅自占用和改变用途。全面落实田长制，建立多层级网格化管理的耕地保护监督机制，加强耕地执法监督,坚决遏制耕地“非农化”、防止“非粮化”。</w:t>
      </w:r>
    </w:p>
    <w:p>
      <w:pPr>
        <w:pStyle w:val="4"/>
        <w:spacing w:before="195" w:after="195"/>
      </w:pPr>
      <w:r>
        <w:rPr>
          <w:rFonts w:hint="eastAsia"/>
        </w:rPr>
        <w:t>严格落实占补平衡</w:t>
      </w:r>
    </w:p>
    <w:p>
      <w:pPr>
        <w:spacing w:before="48"/>
        <w:ind w:firstLine="640"/>
        <w:rPr>
          <w:lang w:bidi="ar"/>
        </w:rPr>
      </w:pPr>
      <w:r>
        <w:rPr>
          <w:rFonts w:hint="eastAsia"/>
          <w:lang w:bidi="ar"/>
        </w:rPr>
        <w:t>严格实行“以补定占”，在实现耕地总量动态平衡前提下，将镇域内稳定利用耕地净增加量作为下年度非农建设允许占用耕地规模上限控制，对违法建设占用耕地相应冻结补充耕地指标。将非农建设、造林种树、种果种茶等各类占用耕地行为统一纳入耕地占补平衡管理；补充耕地坚持以恢复优质耕地为主、新开垦耕地为辅的原则，在符合国土空间规划和生态环境保护要求的前提下，优先将适宜恢复为优质耕地的园地、林地、草地等其他农用地以及低效闲置建设用地统筹作为补充耕地来源。各类实施主体将非耕地垦造、恢复为耕地的，符合规定的可作为补充耕地。</w:t>
      </w:r>
    </w:p>
    <w:p>
      <w:pPr>
        <w:spacing w:before="48"/>
        <w:ind w:firstLine="640"/>
        <w:rPr>
          <w:lang w:bidi="ar"/>
        </w:rPr>
      </w:pPr>
      <w:r>
        <w:rPr>
          <w:rFonts w:hint="eastAsia"/>
          <w:lang w:bidi="ar"/>
        </w:rPr>
        <w:t>拓宽补充耕地来源，规划期内积极稳妥有序开展农村</w:t>
      </w:r>
      <w:r>
        <w:rPr>
          <w:lang w:bidi="ar"/>
        </w:rPr>
        <w:t>建设用地整治，重点推进镇域内“空心村”、闲置宅基地整治，</w:t>
      </w:r>
      <w:bookmarkStart w:id="116" w:name="_Hlk207812385"/>
      <w:r>
        <w:rPr>
          <w:lang w:bidi="ar"/>
        </w:rPr>
        <w:t>规划期内通过农村建设用地整治补充耕地</w:t>
      </w:r>
      <w:r>
        <w:rPr>
          <w:rFonts w:hint="eastAsia"/>
          <w:lang w:bidi="ar"/>
        </w:rPr>
        <w:t>16.00</w:t>
      </w:r>
      <w:r>
        <w:rPr>
          <w:lang w:bidi="ar"/>
        </w:rPr>
        <w:t>公顷。规划期内通过农用地整治可补充耕地</w:t>
      </w:r>
      <w:r>
        <w:rPr>
          <w:rFonts w:hint="eastAsia"/>
          <w:lang w:bidi="ar"/>
        </w:rPr>
        <w:t>20.00</w:t>
      </w:r>
      <w:r>
        <w:rPr>
          <w:lang w:bidi="ar"/>
        </w:rPr>
        <w:t>公顷</w:t>
      </w:r>
      <w:bookmarkEnd w:id="116"/>
      <w:r>
        <w:rPr>
          <w:rFonts w:hint="eastAsia"/>
          <w:lang w:bidi="ar"/>
        </w:rPr>
        <w:t>。</w:t>
      </w:r>
    </w:p>
    <w:p>
      <w:pPr>
        <w:pStyle w:val="4"/>
        <w:spacing w:before="195" w:after="195"/>
      </w:pPr>
      <w:bookmarkStart w:id="117" w:name="_Hlk142899495"/>
      <w:bookmarkStart w:id="118" w:name="_Hlk142899869"/>
      <w:r>
        <w:rPr>
          <w:rFonts w:hint="eastAsia"/>
        </w:rPr>
        <w:t>加强耕地质量建设</w:t>
      </w:r>
    </w:p>
    <w:bookmarkEnd w:id="117"/>
    <w:p>
      <w:pPr>
        <w:spacing w:before="65"/>
        <w:ind w:firstLine="640"/>
        <w:rPr>
          <w:lang w:bidi="ar"/>
        </w:rPr>
      </w:pPr>
      <w:r>
        <w:rPr>
          <w:rFonts w:hint="eastAsia"/>
          <w:lang w:bidi="ar"/>
        </w:rPr>
        <w:t>积极开展土地整治项目，推进耕地质量保护与提升，落</w:t>
      </w:r>
      <w:r>
        <w:rPr>
          <w:lang w:bidi="ar"/>
        </w:rPr>
        <w:t>实</w:t>
      </w:r>
      <w:r>
        <w:rPr>
          <w:rFonts w:hint="eastAsia"/>
          <w:lang w:bidi="ar"/>
        </w:rPr>
        <w:t>“</w:t>
      </w:r>
      <w:r>
        <w:rPr>
          <w:lang w:bidi="ar"/>
        </w:rPr>
        <w:t>藏粮于地、藏粮于技</w:t>
      </w:r>
      <w:r>
        <w:rPr>
          <w:rFonts w:hint="eastAsia"/>
          <w:lang w:bidi="ar"/>
        </w:rPr>
        <w:t>”</w:t>
      </w:r>
      <w:r>
        <w:rPr>
          <w:lang w:bidi="ar"/>
        </w:rPr>
        <w:t>战略，加快农业生产配套田网、渠网、路网、电网等建设，提高农田抗灾减灾能力、农田排灌能力和农机作业能力，大力推进高标准农田建设，通过实施土地平整、土壤改良、地力培肥等措施，逐步把永久基本农田全部建成高标准农田。</w:t>
      </w:r>
      <w:r>
        <w:rPr>
          <w:rFonts w:hint="eastAsia"/>
          <w:lang w:bidi="ar"/>
        </w:rPr>
        <w:t>规划期内，确保集中连片的永久基本农田全部建成为高标准农田。</w:t>
      </w:r>
    </w:p>
    <w:p>
      <w:pPr>
        <w:pStyle w:val="4"/>
        <w:rPr>
          <w:lang w:bidi="ar"/>
        </w:rPr>
      </w:pPr>
      <w:r>
        <w:rPr>
          <w:rFonts w:hint="eastAsia"/>
          <w:lang w:bidi="ar"/>
        </w:rPr>
        <w:t>强化耕地生态保护</w:t>
      </w:r>
    </w:p>
    <w:p>
      <w:pPr>
        <w:spacing w:before="65"/>
        <w:ind w:firstLine="640"/>
        <w:rPr>
          <w:lang w:bidi="ar"/>
        </w:rPr>
      </w:pPr>
      <w:r>
        <w:rPr>
          <w:rFonts w:hint="eastAsia"/>
          <w:lang w:bidi="ar"/>
        </w:rPr>
        <w:t>合理利用水土资源，持续改善耕地生态环境，实现耕地</w:t>
      </w:r>
      <w:r>
        <w:rPr>
          <w:lang w:bidi="ar"/>
        </w:rPr>
        <w:t>数量、质量、生态的协调统一。大力发展绿色农业，持续推进测土配方施肥，实现化肥农药减量增效，促进农村地区畜禽粪污、地膜和农作物秸秆资源化利用，防治土壤退化。</w:t>
      </w:r>
    </w:p>
    <w:p>
      <w:pPr>
        <w:spacing w:before="65"/>
        <w:ind w:firstLine="640"/>
        <w:rPr>
          <w:lang w:bidi="ar"/>
        </w:rPr>
      </w:pPr>
      <w:r>
        <w:rPr>
          <w:rFonts w:hint="eastAsia"/>
          <w:lang w:bidi="ar"/>
        </w:rPr>
        <w:t>加大农业节水力度，扩大低耗水、高耐旱作物种植比例，</w:t>
      </w:r>
      <w:r>
        <w:rPr>
          <w:lang w:bidi="ar"/>
        </w:rPr>
        <w:t>开展大中型灌区高效节水灌溉配套建设，提高灌溉水利用效率。加强农田水利基础设施建设，提高耕地防灾减灾能力，及时整治复垦灾毁耕地，保障农业生产秩序。强化耕地与周边生态系统协同保护，修复完善农田防护林网和耕地生态功能，恢复田间生物群落和生态链，建设健康稳定田园生态系统。</w:t>
      </w:r>
    </w:p>
    <w:bookmarkEnd w:id="118"/>
    <w:p>
      <w:pPr>
        <w:pStyle w:val="3"/>
      </w:pPr>
      <w:r>
        <w:rPr>
          <w:rFonts w:hint="eastAsia"/>
        </w:rPr>
        <w:t>森林资源保护与利用</w:t>
      </w:r>
    </w:p>
    <w:p>
      <w:pPr>
        <w:pStyle w:val="4"/>
        <w:spacing w:before="195" w:after="195"/>
      </w:pPr>
      <w:r>
        <w:rPr>
          <w:rFonts w:hint="eastAsia"/>
        </w:rPr>
        <w:t>落实</w:t>
      </w:r>
      <w:r>
        <w:t>森林资源</w:t>
      </w:r>
      <w:r>
        <w:rPr>
          <w:rFonts w:hint="eastAsia"/>
        </w:rPr>
        <w:t>保护任务</w:t>
      </w:r>
    </w:p>
    <w:p>
      <w:pPr>
        <w:spacing w:before="65"/>
        <w:ind w:firstLine="640"/>
      </w:pPr>
      <w:r>
        <w:rPr>
          <w:rFonts w:hint="eastAsia"/>
        </w:rPr>
        <w:t>加强镇域森林资源的保护，全面建立实施林长制，压实森林管理与保护责任，稳定林地保有量，提高森林覆盖率。重点完善板桥河、代军河、庙河和道路两侧防护林带及农田林网等重要的森林源地建设，促使余关镇生态系统质量和稳定性进一步提升。</w:t>
      </w:r>
    </w:p>
    <w:p>
      <w:pPr>
        <w:spacing w:before="65"/>
        <w:ind w:firstLine="640"/>
      </w:pPr>
      <w:r>
        <w:rPr>
          <w:rFonts w:hint="eastAsia"/>
        </w:rPr>
        <w:t>优化林业生产布局，针对镇域梁坪村、东王庄村、麦山村、麦西村等重点区域，精准落实绿化空间、科学开展国土绿化。至</w:t>
      </w:r>
      <w:r>
        <w:t>2035年，落实造林绿化空间</w:t>
      </w:r>
      <w:r>
        <w:rPr>
          <w:rFonts w:hint="eastAsia"/>
        </w:rPr>
        <w:t>328.16</w:t>
      </w:r>
      <w:r>
        <w:t>公顷。</w:t>
      </w:r>
    </w:p>
    <w:p>
      <w:pPr>
        <w:pStyle w:val="4"/>
        <w:spacing w:before="195" w:after="195"/>
      </w:pPr>
      <w:r>
        <w:rPr>
          <w:rFonts w:hint="eastAsia"/>
        </w:rPr>
        <w:t>落实完善</w:t>
      </w:r>
      <w:r>
        <w:t>林地分类保护</w:t>
      </w:r>
      <w:r>
        <w:rPr>
          <w:rFonts w:hint="eastAsia"/>
        </w:rPr>
        <w:t>机制</w:t>
      </w:r>
    </w:p>
    <w:p>
      <w:pPr>
        <w:spacing w:before="65"/>
        <w:ind w:firstLine="640"/>
      </w:pPr>
      <w:r>
        <w:rPr>
          <w:rFonts w:hint="eastAsia"/>
        </w:rPr>
        <w:t>全镇天然林面积1529.27</w:t>
      </w:r>
      <w:r>
        <w:t>公顷，占镇域面积的</w:t>
      </w:r>
      <w:r>
        <w:rPr>
          <w:rFonts w:hint="eastAsia"/>
        </w:rPr>
        <w:t>13.57</w:t>
      </w:r>
      <w:r>
        <w:t>%，主要分布于</w:t>
      </w:r>
      <w:r>
        <w:rPr>
          <w:rFonts w:hint="eastAsia"/>
        </w:rPr>
        <w:t>独树村、梁坪村、麦西村、石庙村、麦山村、东王庄村、等</w:t>
      </w:r>
      <w:r>
        <w:t>北部</w:t>
      </w:r>
      <w:r>
        <w:rPr>
          <w:rFonts w:hint="eastAsia"/>
        </w:rPr>
        <w:t>山区区域</w:t>
      </w:r>
      <w:r>
        <w:t>；全镇生态公益林面积</w:t>
      </w:r>
      <w:r>
        <w:rPr>
          <w:rFonts w:hint="eastAsia"/>
        </w:rPr>
        <w:t>63.82</w:t>
      </w:r>
      <w:r>
        <w:t>公顷，占镇域面积的</w:t>
      </w:r>
      <w:r>
        <w:rPr>
          <w:rFonts w:hint="eastAsia"/>
        </w:rPr>
        <w:t>0.57</w:t>
      </w:r>
      <w:r>
        <w:t>%，分布于</w:t>
      </w:r>
      <w:r>
        <w:rPr>
          <w:rFonts w:hint="eastAsia"/>
        </w:rPr>
        <w:t>独树村、梁坪村、子育村等</w:t>
      </w:r>
      <w:r>
        <w:t>北部</w:t>
      </w:r>
      <w:r>
        <w:rPr>
          <w:rFonts w:hint="eastAsia"/>
        </w:rPr>
        <w:t>山区区域。</w:t>
      </w:r>
    </w:p>
    <w:p>
      <w:pPr>
        <w:spacing w:before="65"/>
        <w:ind w:firstLine="640"/>
      </w:pPr>
      <w:r>
        <w:rPr>
          <w:rFonts w:hint="eastAsia"/>
        </w:rPr>
        <w:t>科学合理进行森林经营，严格遵守限额采伐和凭证采伐的管理制度，全面停止天然林商业性采伐，不得将天然林改造为人工林，不得擅自将公益林改为商品林。巩固提升生态系统碳汇能力，加强重大林业有害生物防治，保护古树名木及其自然环境。</w:t>
      </w:r>
    </w:p>
    <w:p>
      <w:pPr>
        <w:spacing w:before="65"/>
        <w:ind w:firstLine="640"/>
      </w:pPr>
      <w:r>
        <w:rPr>
          <w:rFonts w:hint="eastAsia"/>
        </w:rPr>
        <w:t>依托余关镇丰富的森林资源，重点在镇域西部和北部推进特色经济林、林下经济、森林旅游等产业化集群建设。以余关镇传统林果特色产业为依托，推动传统产业优化升级，高标准打造麦子山、子育村等森林生产基地。努力推进布局区域化、经营规模化、生产标准化、发展产业化，整合优势资源，以基地建设为载体，围绕“绿色、有机”特色，发展中药材、食用菌、禽类养殖等林下经济。构建以“十万亩核桃”为主体的森林旅游体系，重点打造核桃观光旅游体验，建设和完善接待、餐饮、消防、环卫等设施，提高服务保障能力，加快森林旅游产业发展。推进林业一二三产业融合发展，加快林业产业绿色化、优质化、特色化、品牌化建设</w:t>
      </w:r>
      <w:r>
        <w:t>。</w:t>
      </w:r>
    </w:p>
    <w:p>
      <w:pPr>
        <w:pStyle w:val="3"/>
        <w:spacing w:before="326" w:beforeLines="100" w:after="326" w:afterLines="100"/>
      </w:pPr>
      <w:bookmarkStart w:id="119" w:name="_Toc186276996"/>
      <w:r>
        <w:rPr>
          <w:rFonts w:hint="eastAsia"/>
        </w:rPr>
        <w:t>湿地资源保护与利用</w:t>
      </w:r>
      <w:bookmarkEnd w:id="119"/>
    </w:p>
    <w:p>
      <w:pPr>
        <w:pStyle w:val="4"/>
        <w:spacing w:before="195" w:after="195"/>
      </w:pPr>
      <w:r>
        <w:rPr>
          <w:rFonts w:hint="eastAsia"/>
        </w:rPr>
        <w:t>落实湿地资源保护责任</w:t>
      </w:r>
    </w:p>
    <w:p>
      <w:pPr>
        <w:spacing w:before="48"/>
        <w:ind w:firstLine="640"/>
      </w:pPr>
      <w:r>
        <w:t>加强</w:t>
      </w:r>
      <w:r>
        <w:rPr>
          <w:rFonts w:hint="eastAsia"/>
        </w:rPr>
        <w:t>镇</w:t>
      </w:r>
      <w:r>
        <w:t>域湿地资源保护</w:t>
      </w:r>
      <w:r>
        <w:rPr>
          <w:rFonts w:hint="eastAsia"/>
        </w:rPr>
        <w:t>，严格保障湿地生态空间，落实</w:t>
      </w:r>
      <w:r>
        <w:t>湿地资源</w:t>
      </w:r>
      <w:r>
        <w:rPr>
          <w:rFonts w:hint="eastAsia"/>
        </w:rPr>
        <w:t>保护</w:t>
      </w:r>
      <w:r>
        <w:t>责任。</w:t>
      </w:r>
      <w:r>
        <w:rPr>
          <w:rFonts w:hint="eastAsia"/>
        </w:rPr>
        <w:t>全镇</w:t>
      </w:r>
      <w:r>
        <w:t>湿地面积</w:t>
      </w:r>
      <w:r>
        <w:rPr>
          <w:rFonts w:hint="eastAsia"/>
        </w:rPr>
        <w:t>3.13公顷，</w:t>
      </w:r>
      <w:r>
        <w:t>主要</w:t>
      </w:r>
      <w:r>
        <w:rPr>
          <w:rFonts w:hint="eastAsia"/>
        </w:rPr>
        <w:t>分布于</w:t>
      </w:r>
      <w:r>
        <w:rPr>
          <w:rFonts w:hint="eastAsia" w:cs="宋体"/>
        </w:rPr>
        <w:t>代军河、余关庙河、板桥河及王庄水库、代军河水库、杨洼水库等河湖水库周边</w:t>
      </w:r>
      <w:r>
        <w:rPr>
          <w:rFonts w:cs="宋体"/>
        </w:rPr>
        <w:t>。</w:t>
      </w:r>
    </w:p>
    <w:p>
      <w:pPr>
        <w:pStyle w:val="4"/>
        <w:spacing w:before="195" w:after="195"/>
      </w:pPr>
      <w:r>
        <w:rPr>
          <w:rFonts w:hint="eastAsia"/>
        </w:rPr>
        <w:t>加强湿地保护</w:t>
      </w:r>
      <w:r>
        <w:t>管理</w:t>
      </w:r>
    </w:p>
    <w:p>
      <w:pPr>
        <w:spacing w:before="48"/>
        <w:ind w:firstLine="640"/>
      </w:pPr>
      <w:r>
        <w:rPr>
          <w:rFonts w:hint="eastAsia" w:cs="宋体"/>
        </w:rPr>
        <w:t>加强</w:t>
      </w:r>
      <w:r>
        <w:rPr>
          <w:rFonts w:cs="宋体"/>
        </w:rPr>
        <w:t>湿地管理、</w:t>
      </w:r>
      <w:r>
        <w:rPr>
          <w:rFonts w:hint="eastAsia" w:cs="宋体"/>
        </w:rPr>
        <w:t>监测和</w:t>
      </w:r>
      <w:r>
        <w:rPr>
          <w:rFonts w:cs="宋体"/>
        </w:rPr>
        <w:t>科普宣教</w:t>
      </w:r>
      <w:r>
        <w:rPr>
          <w:rFonts w:hint="eastAsia" w:cs="宋体"/>
        </w:rPr>
        <w:t>，着力</w:t>
      </w:r>
      <w:r>
        <w:rPr>
          <w:rFonts w:cs="宋体"/>
        </w:rPr>
        <w:t>保护与恢复，提升湿地生态系统多样性、稳定性、持续性，层层落实湿地管理保护责任。严格控制</w:t>
      </w:r>
      <w:r>
        <w:rPr>
          <w:rFonts w:hint="eastAsia" w:cs="宋体"/>
        </w:rPr>
        <w:t>板桥河、代军河、余关庙河、代军河水库、王庄水库、杨洼水库</w:t>
      </w:r>
      <w:r>
        <w:rPr>
          <w:rFonts w:cs="宋体"/>
        </w:rPr>
        <w:t>等河湖湿地</w:t>
      </w:r>
      <w:r>
        <w:rPr>
          <w:rFonts w:hint="eastAsia" w:cs="宋体"/>
        </w:rPr>
        <w:t>周边</w:t>
      </w:r>
      <w:r>
        <w:rPr>
          <w:rFonts w:cs="宋体"/>
        </w:rPr>
        <w:t>农业面源</w:t>
      </w:r>
      <w:r>
        <w:rPr>
          <w:rFonts w:hint="eastAsia" w:cs="宋体"/>
        </w:rPr>
        <w:t>污染</w:t>
      </w:r>
      <w:r>
        <w:rPr>
          <w:rFonts w:cs="宋体"/>
        </w:rPr>
        <w:t>、工业污染和城镇生活生产污染，定期对湿地周边区域的废弃物进行清理和集中处理，合理有序开展湿地资源生态化利用，全面保护湿地资源和实现可持续发展。</w:t>
      </w:r>
    </w:p>
    <w:p>
      <w:pPr>
        <w:pStyle w:val="3"/>
      </w:pPr>
      <w:r>
        <w:t>建设用地节约集约利用</w:t>
      </w:r>
    </w:p>
    <w:p>
      <w:pPr>
        <w:pStyle w:val="4"/>
        <w:spacing w:before="195" w:after="195"/>
      </w:pPr>
      <w:r>
        <w:rPr>
          <w:rFonts w:hint="eastAsia"/>
        </w:rPr>
        <w:t>实行总量控制，保障建设</w:t>
      </w:r>
      <w:r>
        <w:t>用地需求。</w:t>
      </w:r>
    </w:p>
    <w:p>
      <w:pPr>
        <w:spacing w:before="48" w:after="163" w:afterLines="50"/>
        <w:ind w:firstLine="640"/>
        <w:rPr>
          <w:rFonts w:cs="宋体"/>
          <w:lang w:bidi="ar"/>
        </w:rPr>
      </w:pPr>
      <w:bookmarkStart w:id="120" w:name="_Hlk207123797"/>
      <w:r>
        <w:rPr>
          <w:rFonts w:hint="eastAsia" w:cs="宋体"/>
          <w:lang w:bidi="ar"/>
        </w:rPr>
        <w:t>严控新增城乡用地规模。规划期末，城镇建设用地规模不超过128.60公顷，村庄建设用地不超过764.19公顷。严格按照城镇开发边界范围开展集中建设，凡不符合国土空间规划、国家区域政策、产业政策和供地政策的建设项目，不得开展城镇建设利用活动</w:t>
      </w:r>
      <w:r>
        <w:rPr>
          <w:rFonts w:cs="宋体"/>
          <w:lang w:bidi="ar"/>
        </w:rPr>
        <w:t>。</w:t>
      </w:r>
      <w:r>
        <w:rPr>
          <w:rFonts w:hint="eastAsia" w:cs="宋体"/>
          <w:lang w:bidi="ar"/>
        </w:rPr>
        <w:t>精准</w:t>
      </w:r>
      <w:r>
        <w:rPr>
          <w:rFonts w:cs="宋体"/>
          <w:lang w:bidi="ar"/>
        </w:rPr>
        <w:t>有效配置新增指标，实现</w:t>
      </w:r>
      <w:r>
        <w:rPr>
          <w:rFonts w:hint="eastAsia" w:cs="宋体"/>
          <w:lang w:bidi="ar"/>
        </w:rPr>
        <w:t>“优地</w:t>
      </w:r>
      <w:r>
        <w:rPr>
          <w:rFonts w:cs="宋体"/>
          <w:lang w:bidi="ar"/>
        </w:rPr>
        <w:t>优用</w:t>
      </w:r>
      <w:r>
        <w:rPr>
          <w:rFonts w:hint="eastAsia" w:cs="宋体"/>
          <w:lang w:bidi="ar"/>
        </w:rPr>
        <w:t>”，</w:t>
      </w:r>
      <w:r>
        <w:rPr>
          <w:rFonts w:cs="宋体"/>
          <w:lang w:bidi="ar"/>
        </w:rPr>
        <w:t>加大存量挖掘潜力，推进城镇建设用地混合开发和空间复合利用。</w:t>
      </w:r>
      <w:r>
        <w:rPr>
          <w:rFonts w:hint="eastAsia" w:cs="宋体"/>
          <w:lang w:bidi="ar"/>
        </w:rPr>
        <w:t>规范</w:t>
      </w:r>
      <w:r>
        <w:rPr>
          <w:rFonts w:cs="宋体"/>
          <w:lang w:bidi="ar"/>
        </w:rPr>
        <w:t>利用，盘活村庄建设用地。</w:t>
      </w:r>
      <w:r>
        <w:rPr>
          <w:rFonts w:hint="eastAsia" w:cs="宋体"/>
          <w:lang w:bidi="ar"/>
        </w:rPr>
        <w:t>有序</w:t>
      </w:r>
      <w:r>
        <w:rPr>
          <w:rFonts w:cs="宋体"/>
          <w:lang w:bidi="ar"/>
        </w:rPr>
        <w:t>引导、稳妥推进村庄建设用地节约集约利用，完善鼓励机制，鼓励农村</w:t>
      </w:r>
      <w:r>
        <w:rPr>
          <w:rFonts w:hint="eastAsia" w:cs="宋体"/>
          <w:lang w:bidi="ar"/>
        </w:rPr>
        <w:t>闲置</w:t>
      </w:r>
      <w:r>
        <w:rPr>
          <w:rFonts w:cs="宋体"/>
          <w:lang w:bidi="ar"/>
        </w:rPr>
        <w:t>宅基地有偿退出和村庄低效建设用地</w:t>
      </w:r>
      <w:r>
        <w:rPr>
          <w:rFonts w:hint="eastAsia" w:cs="宋体"/>
          <w:lang w:bidi="ar"/>
        </w:rPr>
        <w:t>再利用</w:t>
      </w:r>
      <w:r>
        <w:rPr>
          <w:rFonts w:cs="宋体"/>
          <w:lang w:bidi="ar"/>
        </w:rPr>
        <w:t>。鼓励</w:t>
      </w:r>
      <w:r>
        <w:rPr>
          <w:rFonts w:hint="eastAsia" w:cs="宋体"/>
          <w:lang w:bidi="ar"/>
        </w:rPr>
        <w:t>对</w:t>
      </w:r>
      <w:r>
        <w:rPr>
          <w:rFonts w:cs="宋体"/>
          <w:lang w:bidi="ar"/>
        </w:rPr>
        <w:t>依法登记</w:t>
      </w:r>
      <w:r>
        <w:rPr>
          <w:rFonts w:hint="eastAsia" w:cs="宋体"/>
          <w:lang w:bidi="ar"/>
        </w:rPr>
        <w:t>的村庄建设</w:t>
      </w:r>
      <w:r>
        <w:rPr>
          <w:rFonts w:cs="宋体"/>
          <w:lang w:bidi="ar"/>
        </w:rPr>
        <w:t>用地进行</w:t>
      </w:r>
      <w:r>
        <w:rPr>
          <w:rFonts w:hint="eastAsia" w:cs="宋体"/>
          <w:lang w:bidi="ar"/>
        </w:rPr>
        <w:t>复合</w:t>
      </w:r>
      <w:r>
        <w:rPr>
          <w:rFonts w:cs="宋体"/>
          <w:lang w:bidi="ar"/>
        </w:rPr>
        <w:t>利用，发展乡村振兴产业，提高经济收益。</w:t>
      </w:r>
    </w:p>
    <w:p>
      <w:pPr>
        <w:spacing w:before="65" w:after="163" w:afterLines="50"/>
        <w:ind w:firstLine="640"/>
        <w:rPr>
          <w:rFonts w:cs="宋体"/>
          <w:kern w:val="0"/>
          <w:lang w:bidi="ar"/>
        </w:rPr>
      </w:pPr>
      <w:r>
        <w:rPr>
          <w:rFonts w:hint="eastAsia" w:cs="宋体"/>
          <w:lang w:bidi="ar"/>
        </w:rPr>
        <w:t>保障区域基础设施用地和其他建设用地需求</w:t>
      </w:r>
      <w:r>
        <w:rPr>
          <w:rFonts w:cs="宋体"/>
          <w:lang w:bidi="ar"/>
        </w:rPr>
        <w:t>。</w:t>
      </w:r>
      <w:r>
        <w:rPr>
          <w:rFonts w:hint="eastAsia" w:cs="宋体"/>
          <w:lang w:bidi="ar"/>
        </w:rPr>
        <w:t>强化保障交通</w:t>
      </w:r>
      <w:r>
        <w:rPr>
          <w:rFonts w:cs="宋体"/>
          <w:lang w:bidi="ar"/>
        </w:rPr>
        <w:t>、水利、</w:t>
      </w:r>
      <w:r>
        <w:rPr>
          <w:rFonts w:hint="eastAsia" w:cs="宋体"/>
          <w:lang w:bidi="ar"/>
        </w:rPr>
        <w:t>能源等基础</w:t>
      </w:r>
      <w:r>
        <w:rPr>
          <w:rFonts w:cs="宋体"/>
          <w:lang w:bidi="ar"/>
        </w:rPr>
        <w:t>设施用地</w:t>
      </w:r>
      <w:r>
        <w:rPr>
          <w:rFonts w:hint="eastAsia" w:cs="宋体"/>
          <w:lang w:bidi="ar"/>
        </w:rPr>
        <w:t>需求，全力</w:t>
      </w:r>
      <w:r>
        <w:rPr>
          <w:rFonts w:cs="宋体"/>
          <w:lang w:bidi="ar"/>
        </w:rPr>
        <w:t>提升自然资源要素保障能力</w:t>
      </w:r>
      <w:r>
        <w:rPr>
          <w:rFonts w:hint="eastAsia" w:cs="宋体"/>
          <w:lang w:bidi="ar"/>
        </w:rPr>
        <w:t>；加强</w:t>
      </w:r>
      <w:r>
        <w:rPr>
          <w:rFonts w:cs="宋体"/>
          <w:lang w:bidi="ar"/>
        </w:rPr>
        <w:t>殡葬用地保障力度，</w:t>
      </w:r>
      <w:r>
        <w:rPr>
          <w:rFonts w:hint="eastAsia" w:cs="宋体"/>
          <w:lang w:bidi="ar"/>
        </w:rPr>
        <w:t>镇域</w:t>
      </w:r>
      <w:r>
        <w:rPr>
          <w:rFonts w:cs="宋体"/>
          <w:lang w:bidi="ar"/>
        </w:rPr>
        <w:t>范围内预留不少于</w:t>
      </w:r>
      <w:r>
        <w:rPr>
          <w:rFonts w:hint="eastAsia" w:cs="宋体"/>
          <w:lang w:bidi="ar"/>
        </w:rPr>
        <w:t>3.33公顷</w:t>
      </w:r>
      <w:r>
        <w:rPr>
          <w:rFonts w:cs="宋体"/>
          <w:lang w:bidi="ar"/>
        </w:rPr>
        <w:t>（</w:t>
      </w:r>
      <w:r>
        <w:rPr>
          <w:rFonts w:hint="eastAsia" w:cs="宋体"/>
          <w:lang w:bidi="ar"/>
        </w:rPr>
        <w:t>50亩</w:t>
      </w:r>
      <w:r>
        <w:rPr>
          <w:rFonts w:cs="宋体"/>
          <w:lang w:bidi="ar"/>
        </w:rPr>
        <w:t>）</w:t>
      </w:r>
      <w:r>
        <w:rPr>
          <w:rFonts w:hint="eastAsia" w:cs="宋体"/>
          <w:lang w:bidi="ar"/>
        </w:rPr>
        <w:t>的</w:t>
      </w:r>
      <w:r>
        <w:rPr>
          <w:rFonts w:cs="宋体"/>
          <w:lang w:bidi="ar"/>
        </w:rPr>
        <w:t>公益性公墓用地，鼓励与其他乡镇</w:t>
      </w:r>
      <w:r>
        <w:rPr>
          <w:rFonts w:hint="eastAsia" w:cs="宋体"/>
          <w:lang w:bidi="ar"/>
        </w:rPr>
        <w:t>联合</w:t>
      </w:r>
      <w:r>
        <w:rPr>
          <w:rFonts w:cs="宋体"/>
          <w:lang w:bidi="ar"/>
        </w:rPr>
        <w:t>建立</w:t>
      </w:r>
      <w:r>
        <w:rPr>
          <w:rFonts w:hint="eastAsia" w:cs="宋体"/>
          <w:lang w:bidi="ar"/>
        </w:rPr>
        <w:t>公墓</w:t>
      </w:r>
      <w:bookmarkEnd w:id="120"/>
      <w:r>
        <w:rPr>
          <w:rFonts w:cs="宋体"/>
          <w:lang w:bidi="ar"/>
        </w:rPr>
        <w:t>。</w:t>
      </w:r>
    </w:p>
    <w:p>
      <w:pPr>
        <w:pStyle w:val="4"/>
        <w:rPr>
          <w:color w:val="000000" w:themeColor="text1"/>
          <w14:textFill>
            <w14:solidFill>
              <w14:schemeClr w14:val="tx1"/>
            </w14:solidFill>
          </w14:textFill>
        </w:rPr>
      </w:pPr>
      <w:r>
        <w:rPr>
          <w:color w:val="000000" w:themeColor="text1"/>
          <w14:textFill>
            <w14:solidFill>
              <w14:schemeClr w14:val="tx1"/>
            </w14:solidFill>
          </w14:textFill>
        </w:rPr>
        <w:t>优配增量，精准新增建设用地</w:t>
      </w:r>
    </w:p>
    <w:p>
      <w:pPr>
        <w:ind w:firstLine="640"/>
        <w:rPr>
          <w:color w:val="000000" w:themeColor="text1"/>
          <w14:textFill>
            <w14:solidFill>
              <w14:schemeClr w14:val="tx1"/>
            </w14:solidFill>
          </w14:textFill>
        </w:rPr>
      </w:pPr>
      <w:bookmarkStart w:id="121" w:name="_Hlk207812984"/>
      <w:bookmarkStart w:id="122" w:name="_Hlk207123773"/>
      <w:r>
        <w:rPr>
          <w:rFonts w:hint="eastAsia"/>
          <w:color w:val="000000" w:themeColor="text1"/>
          <w14:textFill>
            <w14:solidFill>
              <w14:schemeClr w14:val="tx1"/>
            </w14:solidFill>
          </w14:textFill>
        </w:rPr>
        <w:t>余关镇新增城镇建设用地60.54</w:t>
      </w:r>
      <w:r>
        <w:rPr>
          <w:color w:val="000000" w:themeColor="text1"/>
          <w14:textFill>
            <w14:solidFill>
              <w14:schemeClr w14:val="tx1"/>
            </w14:solidFill>
          </w14:textFill>
        </w:rPr>
        <w:t>公顷</w:t>
      </w:r>
      <w:r>
        <w:rPr>
          <w:rFonts w:hint="eastAsia"/>
          <w:color w:val="000000" w:themeColor="text1"/>
          <w14:textFill>
            <w14:solidFill>
              <w14:schemeClr w14:val="tx1"/>
            </w14:solidFill>
          </w14:textFill>
        </w:rPr>
        <w:t>，主要</w:t>
      </w:r>
      <w:r>
        <w:rPr>
          <w:color w:val="000000" w:themeColor="text1"/>
          <w14:textFill>
            <w14:solidFill>
              <w14:schemeClr w14:val="tx1"/>
            </w14:solidFill>
          </w14:textFill>
        </w:rPr>
        <w:t>位于</w:t>
      </w:r>
      <w:r>
        <w:rPr>
          <w:rFonts w:hint="eastAsia"/>
          <w:color w:val="000000" w:themeColor="text1"/>
          <w14:textFill>
            <w14:solidFill>
              <w14:schemeClr w14:val="tx1"/>
            </w14:solidFill>
          </w14:textFill>
        </w:rPr>
        <w:t>大桦岭村</w:t>
      </w:r>
      <w:r>
        <w:rPr>
          <w:color w:val="000000" w:themeColor="text1"/>
          <w14:textFill>
            <w14:solidFill>
              <w14:schemeClr w14:val="tx1"/>
            </w14:solidFill>
          </w14:textFill>
        </w:rPr>
        <w:t>，主要用于新兴产业等用地</w:t>
      </w:r>
      <w:bookmarkEnd w:id="121"/>
      <w:r>
        <w:rPr>
          <w:color w:val="000000" w:themeColor="text1"/>
          <w14:textFill>
            <w14:solidFill>
              <w14:schemeClr w14:val="tx1"/>
            </w14:solidFill>
          </w14:textFill>
        </w:rPr>
        <w:t>。</w:t>
      </w:r>
    </w:p>
    <w:p>
      <w:pPr>
        <w:ind w:firstLine="640"/>
        <w:rPr>
          <w:color w:val="000000" w:themeColor="text1"/>
          <w14:textFill>
            <w14:solidFill>
              <w14:schemeClr w14:val="tx1"/>
            </w14:solidFill>
          </w14:textFill>
        </w:rPr>
      </w:pPr>
      <w:bookmarkStart w:id="123" w:name="_Hlk207812995"/>
      <w:r>
        <w:rPr>
          <w:rFonts w:hint="eastAsia"/>
          <w:color w:val="000000" w:themeColor="text1"/>
          <w14:textFill>
            <w14:solidFill>
              <w14:schemeClr w14:val="tx1"/>
            </w14:solidFill>
          </w14:textFill>
        </w:rPr>
        <w:t>在村庄建设边界划定中，余关镇调入的村庄建设边界指标主要用于满足乡村振兴的产业用地需求和合理的宅基地需求，在镇域调入的42.44</w:t>
      </w:r>
      <w:r>
        <w:rPr>
          <w:color w:val="000000" w:themeColor="text1"/>
          <w14:textFill>
            <w14:solidFill>
              <w14:schemeClr w14:val="tx1"/>
            </w14:solidFill>
          </w14:textFill>
        </w:rPr>
        <w:t>公顷村庄建设边界指标中，</w:t>
      </w:r>
      <w:bookmarkStart w:id="124" w:name="_Hlk207382745"/>
      <w:bookmarkStart w:id="125" w:name="_Hlk207122170"/>
      <w:r>
        <w:rPr>
          <w:color w:val="000000" w:themeColor="text1"/>
          <w14:textFill>
            <w14:solidFill>
              <w14:schemeClr w14:val="tx1"/>
            </w14:solidFill>
          </w14:textFill>
        </w:rPr>
        <w:t>产业用地面积为</w:t>
      </w:r>
      <w:r>
        <w:rPr>
          <w:rFonts w:hint="eastAsia"/>
          <w:color w:val="000000" w:themeColor="text1"/>
          <w14:textFill>
            <w14:solidFill>
              <w14:schemeClr w14:val="tx1"/>
            </w14:solidFill>
          </w14:textFill>
        </w:rPr>
        <w:t>29.43</w:t>
      </w:r>
      <w:r>
        <w:rPr>
          <w:color w:val="000000" w:themeColor="text1"/>
          <w14:textFill>
            <w14:solidFill>
              <w14:schemeClr w14:val="tx1"/>
            </w14:solidFill>
          </w14:textFill>
        </w:rPr>
        <w:t>公顷</w:t>
      </w:r>
      <w:bookmarkEnd w:id="124"/>
      <w:r>
        <w:rPr>
          <w:color w:val="000000" w:themeColor="text1"/>
          <w14:textFill>
            <w14:solidFill>
              <w14:schemeClr w14:val="tx1"/>
            </w14:solidFill>
          </w14:textFill>
        </w:rPr>
        <w:t>，宅基地面积为</w:t>
      </w:r>
      <w:r>
        <w:rPr>
          <w:rFonts w:hint="eastAsia"/>
          <w:color w:val="000000" w:themeColor="text1"/>
          <w14:textFill>
            <w14:solidFill>
              <w14:schemeClr w14:val="tx1"/>
            </w14:solidFill>
          </w14:textFill>
        </w:rPr>
        <w:t>8.79</w:t>
      </w:r>
      <w:r>
        <w:rPr>
          <w:color w:val="000000" w:themeColor="text1"/>
          <w14:textFill>
            <w14:solidFill>
              <w14:schemeClr w14:val="tx1"/>
            </w14:solidFill>
          </w14:textFill>
        </w:rPr>
        <w:t>公顷，基础设施、公共服务设施和未明确用途的用地面积为</w:t>
      </w:r>
      <w:r>
        <w:rPr>
          <w:rFonts w:hint="eastAsia"/>
          <w:color w:val="000000" w:themeColor="text1"/>
          <w14:textFill>
            <w14:solidFill>
              <w14:schemeClr w14:val="tx1"/>
            </w14:solidFill>
          </w14:textFill>
        </w:rPr>
        <w:t>4.22</w:t>
      </w:r>
      <w:r>
        <w:rPr>
          <w:color w:val="000000" w:themeColor="text1"/>
          <w14:textFill>
            <w14:solidFill>
              <w14:schemeClr w14:val="tx1"/>
            </w14:solidFill>
          </w14:textFill>
        </w:rPr>
        <w:t>公顷</w:t>
      </w:r>
      <w:r>
        <w:rPr>
          <w:rFonts w:hint="eastAsia"/>
          <w:color w:val="000000" w:themeColor="text1"/>
          <w14:textFill>
            <w14:solidFill>
              <w14:schemeClr w14:val="tx1"/>
            </w14:solidFill>
          </w14:textFill>
        </w:rPr>
        <w:t>。</w:t>
      </w:r>
      <w:bookmarkEnd w:id="125"/>
      <w:r>
        <w:rPr>
          <w:color w:val="000000" w:themeColor="text1"/>
          <w14:textFill>
            <w14:solidFill>
              <w14:schemeClr w14:val="tx1"/>
            </w14:solidFill>
          </w14:textFill>
        </w:rPr>
        <w:t>在空间位置分布上，</w:t>
      </w:r>
      <w:r>
        <w:rPr>
          <w:rFonts w:hint="eastAsia"/>
          <w:color w:val="000000" w:themeColor="text1"/>
          <w14:textFill>
            <w14:solidFill>
              <w14:schemeClr w14:val="tx1"/>
            </w14:solidFill>
          </w14:textFill>
        </w:rPr>
        <w:t>余关镇</w:t>
      </w:r>
      <w:r>
        <w:rPr>
          <w:color w:val="000000" w:themeColor="text1"/>
          <w14:textFill>
            <w14:solidFill>
              <w14:schemeClr w14:val="tx1"/>
            </w14:solidFill>
          </w14:textFill>
        </w:rPr>
        <w:t>调入的村庄建设边界指标重点向</w:t>
      </w:r>
      <w:r>
        <w:rPr>
          <w:rFonts w:hint="eastAsia"/>
          <w:color w:val="000000" w:themeColor="text1"/>
          <w14:textFill>
            <w14:solidFill>
              <w14:schemeClr w14:val="tx1"/>
            </w14:solidFill>
          </w14:textFill>
        </w:rPr>
        <w:t>镇区附近的余关村和谢寨村</w:t>
      </w:r>
      <w:r>
        <w:rPr>
          <w:color w:val="000000" w:themeColor="text1"/>
          <w14:textFill>
            <w14:solidFill>
              <w14:schemeClr w14:val="tx1"/>
            </w14:solidFill>
          </w14:textFill>
        </w:rPr>
        <w:t>等区域集聚，其中镇区范围内调入的村庄建设边界指标为</w:t>
      </w:r>
      <w:r>
        <w:rPr>
          <w:rFonts w:hint="eastAsia"/>
          <w:color w:val="000000" w:themeColor="text1"/>
          <w14:textFill>
            <w14:solidFill>
              <w14:schemeClr w14:val="tx1"/>
            </w14:solidFill>
          </w14:textFill>
        </w:rPr>
        <w:t>14.08</w:t>
      </w:r>
      <w:r>
        <w:rPr>
          <w:color w:val="000000" w:themeColor="text1"/>
          <w14:textFill>
            <w14:solidFill>
              <w14:schemeClr w14:val="tx1"/>
            </w14:solidFill>
          </w14:textFill>
        </w:rPr>
        <w:t>公顷，约占镇域调入村庄建设边界指标总量的</w:t>
      </w:r>
      <w:r>
        <w:rPr>
          <w:rFonts w:hint="eastAsia"/>
          <w:color w:val="000000" w:themeColor="text1"/>
          <w14:textFill>
            <w14:solidFill>
              <w14:schemeClr w14:val="tx1"/>
            </w14:solidFill>
          </w14:textFill>
        </w:rPr>
        <w:t>33.18</w:t>
      </w:r>
      <w:r>
        <w:rPr>
          <w:color w:val="000000" w:themeColor="text1"/>
          <w14:textFill>
            <w14:solidFill>
              <w14:schemeClr w14:val="tx1"/>
            </w14:solidFill>
          </w14:textFill>
        </w:rPr>
        <w:t>%</w:t>
      </w:r>
      <w:bookmarkEnd w:id="123"/>
      <w:r>
        <w:rPr>
          <w:rFonts w:hint="eastAsia"/>
          <w:color w:val="000000" w:themeColor="text1"/>
          <w14:textFill>
            <w14:solidFill>
              <w14:schemeClr w14:val="tx1"/>
            </w14:solidFill>
          </w14:textFill>
        </w:rPr>
        <w:t>。</w:t>
      </w:r>
    </w:p>
    <w:p>
      <w:pPr>
        <w:ind w:firstLine="640"/>
      </w:pPr>
      <w:bookmarkStart w:id="126" w:name="_Hlk207813005"/>
      <w:r>
        <w:rPr>
          <w:rFonts w:hint="eastAsia"/>
        </w:rPr>
        <w:t>余关镇村庄建设边界预留机动指标3.93</w:t>
      </w:r>
      <w:r>
        <w:t>公顷</w:t>
      </w:r>
      <w:r>
        <w:rPr>
          <w:rFonts w:hint="eastAsia"/>
        </w:rPr>
        <w:t>，</w:t>
      </w:r>
      <w:r>
        <w:t>暂</w:t>
      </w:r>
      <w:r>
        <w:rPr>
          <w:rFonts w:hint="eastAsia"/>
        </w:rPr>
        <w:t>不上图落位，通过台账进行管理，用于保障暂时无法确定位置的村民居住、农村公共公益设施以及零星分散的农（矿）产品初加工、乡村文旅设施、农村新产业新业态等一二三产业融合发展用地需求。在不占用永久基本农田和生态保护红线、不破坏历史风貌和影响自然环境安全的前提下使用机动指标，可暂不做规划调整，待办理农用地转用时明确规划用地性质、规模和布局，农用地转用批准后更新国土空间规划“一张图”</w:t>
      </w:r>
      <w:bookmarkEnd w:id="126"/>
      <w:r>
        <w:rPr>
          <w:rFonts w:hint="eastAsia"/>
        </w:rPr>
        <w:t>。</w:t>
      </w:r>
    </w:p>
    <w:p>
      <w:pPr>
        <w:pStyle w:val="4"/>
      </w:pPr>
      <w:r>
        <w:t>盘活建设用地存量</w:t>
      </w:r>
    </w:p>
    <w:p>
      <w:pPr>
        <w:ind w:firstLine="640"/>
        <w:rPr>
          <w:rFonts w:ascii="仿宋_GB2312"/>
        </w:rPr>
      </w:pPr>
      <w:r>
        <w:rPr>
          <w:rFonts w:hint="eastAsia" w:ascii="仿宋_GB2312"/>
        </w:rPr>
        <w:t>推进闲置地、废弃地等存量建设用地盘活利用，遏制村庄用地“沿路跑”和“空心化”现象，鼓励村民在旧房屋原址上新建房屋。分类施策，实施存量建设用地功能转换，对闲置宅基地和住宅进行整理，因地制宜盘活利用。闲置宅基地可建成游园、文化广场，闲置住宅可建成村史馆、图书室、活动室等村民活动场所，对有利用价值的闲置住宅倡导发展文化旅游和开展农事体验活动等。对低效城镇用地进行用地调整，满足商业服务、公共服务设施、城镇住宅等用地需求，提高存量建设用地使用效率。</w:t>
      </w:r>
    </w:p>
    <w:p>
      <w:pPr>
        <w:pStyle w:val="4"/>
      </w:pPr>
      <w:r>
        <w:t>提升建设用地节约集约利用水平</w:t>
      </w:r>
    </w:p>
    <w:p>
      <w:pPr>
        <w:ind w:firstLine="640"/>
      </w:pPr>
      <w:r>
        <w:rPr>
          <w:rFonts w:hint="eastAsia"/>
        </w:rPr>
        <w:t>落实农村宅基地“一户一宅”规定，新增宅基地应优先利</w:t>
      </w:r>
      <w:r>
        <w:t>用原有宅基地和村内空闲地，建立健全闲置宅基地退出机制和再利用机制。对于农村新建、改建、扩建、翻建住房的，按照</w:t>
      </w:r>
      <w:bookmarkStart w:id="127" w:name="_Hlk209621366"/>
      <w:r>
        <w:rPr>
          <w:rFonts w:hint="eastAsia"/>
        </w:rPr>
        <w:t>《内乡县农村宅基地管理办法（试行）》、《内乡县村民自建住房管理办法（试行）》(内政〔2022〕7号)</w:t>
      </w:r>
      <w:bookmarkEnd w:id="127"/>
      <w:r>
        <w:t>规定执行。村民自建住房原则上以不超过三层的低层住宅为主</w:t>
      </w:r>
      <w:r>
        <w:rPr>
          <w:rFonts w:hint="eastAsia"/>
        </w:rPr>
        <w:t>。城填郊区和人均耕地少于</w:t>
      </w:r>
      <w:r>
        <w:t>667平方米的平原地区，每户宅基地面积不得超过134平方米；人均耕地667平方米以上的平原地区，每户宅基地面积不得超过167平方米；</w:t>
      </w:r>
      <w:r>
        <w:rPr>
          <w:rFonts w:hint="eastAsia"/>
        </w:rPr>
        <w:t>山区、丘陵地区</w:t>
      </w:r>
      <w:r>
        <w:t>每户宅基地面积不得超过200平方米。按照村庄规划引导农民依法建房，优化农村居民点布局，提高土地利用效益。严格</w:t>
      </w:r>
      <w:r>
        <w:rPr>
          <w:rFonts w:hint="eastAsia"/>
        </w:rPr>
        <w:t>执行建设项目用地标准控制制度，合理提高建设用地开发强度，创新节地模式，推广节地技术。</w:t>
      </w:r>
    </w:p>
    <w:bookmarkEnd w:id="122"/>
    <w:p>
      <w:pPr>
        <w:pStyle w:val="3"/>
      </w:pPr>
      <w:r>
        <w:rPr>
          <w:rFonts w:hint="eastAsia"/>
        </w:rPr>
        <w:t>水资源保护与利用</w:t>
      </w:r>
    </w:p>
    <w:p>
      <w:pPr>
        <w:pStyle w:val="4"/>
        <w:spacing w:before="195" w:after="195"/>
      </w:pPr>
      <w:r>
        <w:rPr>
          <w:rFonts w:hint="eastAsia"/>
        </w:rPr>
        <w:t>加强河湖水域岸线空间管控及水生态治理</w:t>
      </w:r>
    </w:p>
    <w:p>
      <w:pPr>
        <w:spacing w:before="65"/>
        <w:ind w:firstLine="640"/>
      </w:pPr>
      <w:bookmarkStart w:id="128" w:name="OLE_LINK4"/>
      <w:r>
        <w:rPr>
          <w:rFonts w:hint="eastAsia"/>
        </w:rPr>
        <w:t>落实河湖水系管理范围，包括牧珠河、代军河、余关庙河、板桥河及代军河水库、杨洼水库、王庄水库，管理范围面积4.33平方千米，水库保护范围面积1.95平方千米。</w:t>
      </w:r>
      <w:r>
        <w:t>严格河湖水域岸线用途管制，强化涉河建设项目管理，规范各类涉水行为，限制或禁止各种损害生态系统水源涵养功能的经济社会活动和生产方式。</w:t>
      </w:r>
      <w:bookmarkEnd w:id="128"/>
      <w:r>
        <w:t>开展妨碍河道行洪突出问题排查整治，全面落实采砂管理责任，规范河道砂石利用管理，开展河道非法采砂专项整治。加快水生态修复，开展北金堤滞洪区生态修复及安全建设项目、骨干河道水环境综合治理项目等生态修复工作，全面推进河湖水域岸线生态修复，保障河流生态水量，建设沿岸生态廊道。</w:t>
      </w:r>
    </w:p>
    <w:p>
      <w:pPr>
        <w:pStyle w:val="4"/>
        <w:spacing w:before="195" w:after="195"/>
      </w:pPr>
      <w:r>
        <w:rPr>
          <w:rFonts w:hint="eastAsia"/>
        </w:rPr>
        <w:t>加强水资源节约利用</w:t>
      </w:r>
    </w:p>
    <w:p>
      <w:pPr>
        <w:spacing w:before="65"/>
        <w:ind w:firstLine="640"/>
      </w:pPr>
      <w:r>
        <w:rPr>
          <w:rFonts w:hint="eastAsia"/>
        </w:rPr>
        <w:t>优先保障城乡居民生活用水，合理安排工业和农业用水，建立多种水源联合调配机制，优先利地表水，在保证乡镇生活用水的前提下，严格控制地下水开采程度，加大再生水和雨水资源化利用。加快城镇供水管网节水改造，减低供水管网漏损率。全面开展节水型单位、居民小区创建活动，持续推广普及生活节水器具，加强学校、医院、宾馆、餐饮、洗浴等重点行业节水技术改造。</w:t>
      </w:r>
    </w:p>
    <w:p>
      <w:pPr>
        <w:spacing w:before="65"/>
        <w:ind w:firstLine="640"/>
      </w:pPr>
      <w:r>
        <w:rPr>
          <w:rFonts w:hint="eastAsia"/>
        </w:rPr>
        <w:t>坚持节水优先，推进节水型社会建设。优化调整产业结构与布局，按照清洁生产和循环经济的标准，凡是生产规模、工艺不符合国家产业政策要求的企业，应坚决予以关停。加强农业节水建设，大力发展高效节水灌溉农业。加强供水管网维护管理，大力推广普及节水器具和产品，提高水资源利用效率。重点做好生态水系工程等重点项目，创建一批节水型示范企业。加快灌溉工程的配套、挖潜与改造，推广管道输水灌溉、喷灌、微灌等高效节水灌溉技术。</w:t>
      </w:r>
    </w:p>
    <w:p>
      <w:pPr>
        <w:pStyle w:val="4"/>
        <w:spacing w:before="195" w:after="195"/>
      </w:pPr>
      <w:r>
        <w:rPr>
          <w:rFonts w:hint="eastAsia"/>
        </w:rPr>
        <w:t>加强水污染防治</w:t>
      </w:r>
    </w:p>
    <w:p>
      <w:pPr>
        <w:spacing w:before="65"/>
        <w:ind w:firstLine="640"/>
      </w:pPr>
      <w:r>
        <w:rPr>
          <w:rFonts w:hint="eastAsia"/>
        </w:rPr>
        <w:t>强化水污染治理</w:t>
      </w:r>
      <w:r>
        <w:t>。推进农村生活污水处理设施和管网建设。持续推进化肥、农药的减量化，积极开展试点地块实施化肥农药利用率测算。严控涉水工业项目，加强企业监管。</w:t>
      </w:r>
    </w:p>
    <w:p>
      <w:pPr>
        <w:spacing w:before="65"/>
        <w:ind w:firstLine="640"/>
      </w:pPr>
      <w:r>
        <w:rPr>
          <w:rFonts w:hint="eastAsia"/>
        </w:rPr>
        <w:t>保障饮用水水源水质安全。强化饮用水水源风险防控，完善饮用水水源污染事故应急预案，确保镇集中式饮用水源地取水、供水厂、用水水龙头水质达标率</w:t>
      </w:r>
      <w:r>
        <w:t>100%，集中式饮用水源地水质优良比例100%，农村饮用水达标人口覆盖率100%。</w:t>
      </w:r>
    </w:p>
    <w:p>
      <w:pPr>
        <w:spacing w:before="65"/>
        <w:ind w:firstLine="640"/>
      </w:pPr>
      <w:r>
        <w:rPr>
          <w:rFonts w:hint="eastAsia"/>
        </w:rPr>
        <w:t>控制工业水污染物排放。切实执行排污许可证制度。强化工业企业水污染深度治理和工艺技术改造力度，配合完善先进制造业开发区污水处理管网，大力开展污水深度处理。</w:t>
      </w:r>
    </w:p>
    <w:p>
      <w:pPr>
        <w:spacing w:before="65"/>
        <w:ind w:firstLine="640"/>
      </w:pPr>
      <w:r>
        <w:rPr>
          <w:rFonts w:hint="eastAsia"/>
        </w:rPr>
        <w:t>强化河流综合整治力度。以“河长制”落实“河常治”，对于纳入河长制管理范围的</w:t>
      </w:r>
      <w:r>
        <w:t>河流，保持巡河力度，强化日常监管。持续开展河湖库塘清淤，加强淤泥检测、清理、排放、运输、处置的全过程管理，探索建立清淤轮疏长效机制。</w:t>
      </w:r>
    </w:p>
    <w:p>
      <w:pPr>
        <w:spacing w:before="65"/>
        <w:ind w:firstLine="640"/>
      </w:pPr>
      <w:r>
        <w:rPr>
          <w:rFonts w:hint="eastAsia"/>
        </w:rPr>
        <w:t>开展农村黑臭水体排查与整治。积极开展农村黑臭水体综合整治专项行动，对镇域内黑臭水体进行梳理盘点、实地勘查，通过集体研究、分类施策。切实加强对黑臭水体的日常管理和巡查管控，严管向黑臭水体倾倒垃圾、污水、废弃物等不文明行为，并通过村级公示栏、村民微信群进行曝光，增强群众爱护环境的思想意识和行为自觉，确保黑臭水体有人清、有人管，实现水环境的长期干净、整洁。到</w:t>
      </w:r>
      <w:r>
        <w:t>2025年，实现</w:t>
      </w:r>
      <w:r>
        <w:rPr>
          <w:rFonts w:hint="eastAsia"/>
        </w:rPr>
        <w:t>全镇</w:t>
      </w:r>
      <w:r>
        <w:t>农村黑臭水体得到治理；规划期，确保农村黑臭水体动态清零。</w:t>
      </w:r>
    </w:p>
    <w:p>
      <w:pPr>
        <w:spacing w:before="65"/>
        <w:ind w:firstLine="640"/>
      </w:pPr>
      <w:r>
        <w:rPr>
          <w:rFonts w:hint="eastAsia"/>
        </w:rPr>
        <w:t>提高农村无害化厕所普及率。科学选择改厕技术模式，积极引进适合本地实际的改厕技术和产品。持续开展农村厕所革命“回头看”，改造提升未按标准规范建设的卫生厕所。加强粪污处理利用，鼓励联村、联户、村镇一体处理；鼓励因户制宜推进农户黑灰水就地处理利用。推进农村厕所粪污资源化利用。加强集中污水处理设施及厕所粪后段集中处理设施建设，委托第三方进行后期管护，增设公益岗位，持续完成上级目标任务。</w:t>
      </w:r>
    </w:p>
    <w:p>
      <w:pPr>
        <w:spacing w:before="65"/>
        <w:ind w:firstLine="640"/>
        <w:sectPr>
          <w:pgSz w:w="11907" w:h="16839"/>
          <w:pgMar w:top="1440" w:right="1800" w:bottom="1440" w:left="1800" w:header="851" w:footer="680" w:gutter="0"/>
          <w:cols w:space="1135" w:num="1"/>
          <w:docGrid w:type="lines" w:linePitch="326" w:charSpace="0"/>
        </w:sectPr>
      </w:pPr>
      <w:r>
        <w:rPr>
          <w:rFonts w:hint="eastAsia"/>
        </w:rPr>
        <w:t>加强水生态建设，维护水系健康。加强河湖水域岸线管理，对河道、水库、湖泊等水域空间及其防护空间进行重点保护，严格建设管控。开展滨水带、重点湖库及小流域水土流失综合治理，保护水生态安全。</w:t>
      </w:r>
    </w:p>
    <w:p>
      <w:pPr>
        <w:spacing w:before="65"/>
        <w:ind w:firstLine="640"/>
      </w:pPr>
    </w:p>
    <w:p>
      <w:pPr>
        <w:pStyle w:val="2"/>
        <w:spacing w:before="489" w:after="489"/>
      </w:pPr>
      <w:bookmarkStart w:id="129" w:name="_Toc207114518"/>
      <w:r>
        <w:rPr>
          <w:rFonts w:hint="eastAsia"/>
        </w:rPr>
        <w:t>产业规划</w:t>
      </w:r>
      <w:bookmarkEnd w:id="129"/>
    </w:p>
    <w:p>
      <w:pPr>
        <w:pStyle w:val="3"/>
      </w:pPr>
      <w:bookmarkStart w:id="130" w:name="_Toc200652781"/>
      <w:bookmarkStart w:id="131" w:name="_Toc185606063"/>
      <w:r>
        <w:rPr>
          <w:rFonts w:hint="eastAsia"/>
        </w:rPr>
        <w:t>产业规划</w:t>
      </w:r>
      <w:bookmarkEnd w:id="130"/>
      <w:bookmarkEnd w:id="131"/>
    </w:p>
    <w:p>
      <w:pPr>
        <w:pStyle w:val="4"/>
        <w:spacing w:before="195" w:after="195"/>
      </w:pPr>
      <w:r>
        <w:rPr>
          <w:rFonts w:hint="eastAsia"/>
        </w:rPr>
        <w:t>产业发展策略</w:t>
      </w:r>
    </w:p>
    <w:p>
      <w:pPr>
        <w:spacing w:before="48"/>
        <w:ind w:firstLine="640"/>
      </w:pPr>
      <w:bookmarkStart w:id="132" w:name="_Hlk209013537"/>
      <w:r>
        <w:rPr>
          <w:rFonts w:hint="eastAsia"/>
        </w:rPr>
        <w:t>以粮食生产为主，围绕“东烟、西果、南猪、北药”，发展特色产业，以代军河流域为重点，发展农村文旅产业；通过以一二三产融合发展，推动镇域产业融合发展</w:t>
      </w:r>
      <w:bookmarkEnd w:id="132"/>
      <w:r>
        <w:rPr>
          <w:rFonts w:hint="eastAsia"/>
        </w:rPr>
        <w:t>。</w:t>
      </w:r>
    </w:p>
    <w:p>
      <w:pPr>
        <w:spacing w:before="48"/>
        <w:ind w:firstLine="640"/>
      </w:pPr>
      <w:r>
        <w:rPr>
          <w:rFonts w:hint="eastAsia"/>
        </w:rPr>
        <w:t>农业+生态+旅游：以林果、烟叶、药材等特色种植，结合西部代军岭、北部麦子山及王庄水库等生态资源，融合农业空间和服务业空间，打造采摘体验、休闲观光旅游线路，体验山水田园风光。</w:t>
      </w:r>
    </w:p>
    <w:p>
      <w:pPr>
        <w:spacing w:before="48"/>
        <w:ind w:firstLine="640"/>
      </w:pPr>
      <w:r>
        <w:rPr>
          <w:rFonts w:hint="eastAsia"/>
        </w:rPr>
        <w:t>农业+工业+旅游：结合余关镇优质农产品加工，围绕乡村农产品加工主题兴建、打造手工业文化体验经济，提高农产品附加值</w:t>
      </w:r>
      <w:r>
        <w:t>。</w:t>
      </w:r>
    </w:p>
    <w:p>
      <w:pPr>
        <w:pStyle w:val="4"/>
        <w:spacing w:before="195" w:after="195"/>
      </w:pPr>
      <w:bookmarkStart w:id="133" w:name="_Hlk200635407"/>
      <w:r>
        <w:rPr>
          <w:rFonts w:hint="eastAsia"/>
        </w:rPr>
        <w:t>主导产业</w:t>
      </w:r>
    </w:p>
    <w:p>
      <w:pPr>
        <w:spacing w:before="65"/>
        <w:ind w:firstLine="640"/>
      </w:pPr>
      <w:r>
        <w:rPr>
          <w:rFonts w:hint="eastAsia"/>
        </w:rPr>
        <w:t>结合相关规划，以及余关镇现有产业发展条件及优势，明确余关镇主导产业为</w:t>
      </w:r>
      <w:bookmarkStart w:id="134" w:name="_Hlk207813411"/>
      <w:r>
        <w:rPr>
          <w:rFonts w:hint="eastAsia"/>
        </w:rPr>
        <w:t>粮食生产、特色农业种植、农产品加工、商贸服务</w:t>
      </w:r>
      <w:bookmarkEnd w:id="134"/>
      <w:r>
        <w:rPr>
          <w:rFonts w:hint="eastAsia"/>
        </w:rPr>
        <w:t>。</w:t>
      </w:r>
    </w:p>
    <w:p>
      <w:pPr>
        <w:ind w:firstLine="640"/>
      </w:pPr>
    </w:p>
    <w:p>
      <w:pPr>
        <w:ind w:firstLine="640"/>
        <w:jc w:val="center"/>
      </w:pPr>
    </w:p>
    <w:bookmarkEnd w:id="133"/>
    <w:p>
      <w:pPr>
        <w:pStyle w:val="4"/>
        <w:spacing w:before="195" w:after="195"/>
      </w:pPr>
      <w:r>
        <w:rPr>
          <w:rFonts w:hint="eastAsia"/>
        </w:rPr>
        <w:t>优化产业布局</w:t>
      </w:r>
    </w:p>
    <w:p>
      <w:pPr>
        <w:spacing w:before="65"/>
        <w:ind w:firstLine="640"/>
      </w:pPr>
      <w:r>
        <w:rPr>
          <w:rFonts w:hint="eastAsia"/>
        </w:rPr>
        <w:t>统筹产业发展方向及产业用地需求，规划形成“一心、两区、多基地”的产业布局。</w:t>
      </w:r>
    </w:p>
    <w:p>
      <w:pPr>
        <w:spacing w:before="65"/>
        <w:ind w:firstLine="640"/>
      </w:pPr>
      <w:r>
        <w:rPr>
          <w:rFonts w:hint="eastAsia"/>
        </w:rPr>
        <w:t>一心：主要结合镇区商贸服务设施和物流仓储设施形成的商贸服务和</w:t>
      </w:r>
      <w:bookmarkStart w:id="135" w:name="_Hlk209013550"/>
      <w:r>
        <w:rPr>
          <w:rFonts w:hint="eastAsia"/>
        </w:rPr>
        <w:t>物流集散中心</w:t>
      </w:r>
      <w:bookmarkEnd w:id="135"/>
      <w:r>
        <w:rPr>
          <w:rFonts w:hint="eastAsia"/>
        </w:rPr>
        <w:t>。</w:t>
      </w:r>
    </w:p>
    <w:p>
      <w:pPr>
        <w:spacing w:before="65"/>
        <w:ind w:firstLine="640"/>
      </w:pPr>
      <w:r>
        <w:rPr>
          <w:rFonts w:hint="eastAsia"/>
        </w:rPr>
        <w:t>两区：北部主要为林果、烟叶等形成北部特色农业种植区；南部主要为粮食生产为主，兼以烟叶种植、养殖的高效农业主产区。</w:t>
      </w:r>
    </w:p>
    <w:p>
      <w:pPr>
        <w:spacing w:before="65"/>
        <w:ind w:firstLine="640"/>
      </w:pPr>
      <w:r>
        <w:rPr>
          <w:rFonts w:hint="eastAsia"/>
        </w:rPr>
        <w:t>多基地：主要发挥特色优势农业，打造林果（核桃、软籽石榴、猕猴桃、黑李、油桃）、文化旅游、养殖等多个特色基地。</w:t>
      </w:r>
    </w:p>
    <w:p>
      <w:pPr>
        <w:pStyle w:val="3"/>
      </w:pPr>
      <w:bookmarkStart w:id="136" w:name="_Toc200524222"/>
      <w:bookmarkStart w:id="137" w:name="_Toc200550534"/>
      <w:bookmarkStart w:id="138" w:name="_Toc200652782"/>
      <w:bookmarkStart w:id="139" w:name="_Hlk200635653"/>
      <w:bookmarkStart w:id="140" w:name="_Hlk200563381"/>
      <w:r>
        <w:rPr>
          <w:rFonts w:hint="eastAsia"/>
        </w:rPr>
        <w:t>产业用地保障</w:t>
      </w:r>
      <w:bookmarkEnd w:id="136"/>
      <w:bookmarkEnd w:id="137"/>
      <w:bookmarkEnd w:id="138"/>
    </w:p>
    <w:p>
      <w:pPr>
        <w:pStyle w:val="4"/>
        <w:spacing w:before="195" w:after="195"/>
      </w:pPr>
      <w:r>
        <w:rPr>
          <w:rFonts w:hint="eastAsia"/>
        </w:rPr>
        <w:t>产业用地规划</w:t>
      </w:r>
    </w:p>
    <w:p>
      <w:pPr>
        <w:ind w:firstLine="640"/>
      </w:pPr>
      <w:r>
        <w:rPr>
          <w:rFonts w:hint="eastAsia"/>
        </w:rPr>
        <w:t>本次规划产业用地主要包括工业用地、仓储用地、商业</w:t>
      </w:r>
      <w:r>
        <w:t>服务业用地，</w:t>
      </w:r>
      <w:r>
        <w:rPr>
          <w:rFonts w:hint="eastAsia"/>
        </w:rPr>
        <w:t>原则上，新规划产业用地均位于城镇开发边界或村庄建</w:t>
      </w:r>
      <w:r>
        <w:t>设边界内。</w:t>
      </w:r>
    </w:p>
    <w:p>
      <w:pPr>
        <w:ind w:firstLine="640"/>
      </w:pPr>
      <w:r>
        <w:rPr>
          <w:rFonts w:hint="eastAsia"/>
        </w:rPr>
        <w:t>规划新增仓储用地1.18公顷，用于发展粮食收储等产业需求；规划新增商业服务业用地为1.83公顷，用于满足商业商贸需求。</w:t>
      </w:r>
    </w:p>
    <w:p>
      <w:pPr>
        <w:ind w:firstLine="640"/>
      </w:pPr>
      <w:r>
        <w:rPr>
          <w:rFonts w:hint="eastAsia"/>
        </w:rPr>
        <w:t>村庄建设边界内新增产业用地为29.43</w:t>
      </w:r>
      <w:r>
        <w:t>公顷</w:t>
      </w:r>
      <w:r>
        <w:rPr>
          <w:rFonts w:hint="eastAsia"/>
        </w:rPr>
        <w:t>，主要发展农产品加工、仓储保鲜冷链、乡村旅游旅游等一二三产融合发展项目。</w:t>
      </w:r>
    </w:p>
    <w:p>
      <w:pPr>
        <w:pStyle w:val="4"/>
        <w:spacing w:before="195" w:after="195"/>
      </w:pPr>
      <w:r>
        <w:rPr>
          <w:rFonts w:hint="eastAsia"/>
        </w:rPr>
        <w:t>产业准入清单</w:t>
      </w:r>
    </w:p>
    <w:p>
      <w:pPr>
        <w:spacing w:before="65"/>
        <w:ind w:firstLine="640"/>
      </w:pPr>
      <w:bookmarkStart w:id="141" w:name="_Hlk200523775"/>
      <w:bookmarkStart w:id="142" w:name="_Hlk200523747"/>
      <w:r>
        <w:rPr>
          <w:rFonts w:hint="eastAsia"/>
        </w:rPr>
        <w:t>在城镇开发边界和村庄建设边界外，主要布局农、林、牧、渔业。</w:t>
      </w:r>
    </w:p>
    <w:p>
      <w:pPr>
        <w:spacing w:before="65"/>
        <w:ind w:firstLine="640"/>
      </w:pPr>
      <w:r>
        <w:rPr>
          <w:rFonts w:hint="eastAsia"/>
        </w:rPr>
        <w:t>在城镇开发边界内，主要布局污染较小或无污染的制造业，建筑业，批发和零售业，交通运输、仓储和邮政业，住宿和餐饮业，信息传输、软件和信息技术服务业，金融业，房地产业，租赁和商业服务业，技术服务业，环境和公共设施管理业，居民服务、修理和其他服务业，教育、卫生和社会工作，文化、体育和娱乐业等。</w:t>
      </w:r>
    </w:p>
    <w:p>
      <w:pPr>
        <w:spacing w:before="65"/>
        <w:ind w:firstLine="640"/>
      </w:pPr>
      <w:r>
        <w:rPr>
          <w:rFonts w:hint="eastAsia"/>
        </w:rPr>
        <w:t>在村庄建设边界内，主要布局一直接服务种植养殖业的</w:t>
      </w:r>
      <w:bookmarkStart w:id="143" w:name="_Hlk207382782"/>
      <w:r>
        <w:rPr>
          <w:rFonts w:hint="eastAsia"/>
        </w:rPr>
        <w:t>农产品加工、电子商务、仓储保鲜冷链、产地低温直销配送等一二三产融合发展项目</w:t>
      </w:r>
      <w:bookmarkEnd w:id="143"/>
      <w:r>
        <w:rPr>
          <w:rFonts w:hint="eastAsia"/>
        </w:rPr>
        <w:t>，不得布局对居民生活产生较大影响和污染严重的产业。</w:t>
      </w:r>
    </w:p>
    <w:p>
      <w:pPr>
        <w:spacing w:before="65"/>
        <w:ind w:firstLine="640"/>
      </w:pPr>
      <w:r>
        <w:rPr>
          <w:rFonts w:hint="eastAsia"/>
        </w:rPr>
        <w:t>在乡镇范围内，原则上不得布局三类工业、危化品生产存储以及其他污染严重的产业，确需布局的，应征得余关镇人民政府或</w:t>
      </w:r>
      <w:bookmarkStart w:id="144" w:name="_Hlk209013565"/>
      <w:r>
        <w:rPr>
          <w:rFonts w:hint="eastAsia"/>
        </w:rPr>
        <w:t>内乡县自然资源局</w:t>
      </w:r>
      <w:bookmarkEnd w:id="144"/>
      <w:r>
        <w:rPr>
          <w:rFonts w:hint="eastAsia"/>
        </w:rPr>
        <w:t>以及相关主管部门的同意</w:t>
      </w:r>
      <w:bookmarkEnd w:id="141"/>
      <w:r>
        <w:rPr>
          <w:rFonts w:hint="eastAsia"/>
        </w:rPr>
        <w:t>。</w:t>
      </w:r>
    </w:p>
    <w:p>
      <w:pPr>
        <w:pStyle w:val="4"/>
      </w:pPr>
      <w:bookmarkStart w:id="145" w:name="_Hlk207462364"/>
      <w:r>
        <w:t>产业负面清单</w:t>
      </w:r>
    </w:p>
    <w:p>
      <w:pPr>
        <w:spacing w:before="65"/>
        <w:ind w:firstLine="640"/>
      </w:pPr>
      <w:r>
        <w:rPr>
          <w:rFonts w:hint="eastAsia"/>
        </w:rPr>
        <w:t>乡村产业发展应与财政、金融、人才、土地等相关政策</w:t>
      </w:r>
      <w:r>
        <w:t>相衔接，根据乡村资源特色及区域优势，选择适合本地发展的产业类型。要严控乡村产业准入，严格遵守《产业结构调整指导目录》文件的相关要求，将限制类、淘汰类产业列入产业负面清单，禁止发展该类产业。对于列入国家禁止类产业目录的、污染环境的项目，不得进入乡村。</w:t>
      </w:r>
    </w:p>
    <w:p>
      <w:pPr>
        <w:spacing w:before="65"/>
        <w:ind w:firstLine="640"/>
      </w:pPr>
      <w:r>
        <w:t>农村产业融合发展用地禁止用于商品住宅、别墅、酒店、公</w:t>
      </w:r>
      <w:r>
        <w:rPr>
          <w:rFonts w:hint="eastAsia"/>
        </w:rPr>
        <w:t>寓等房地产开发，禁止擅自改变用途或分割转让转租。禁止擅自将农业设施建设用地改变用途用于产业项目建设。</w:t>
      </w:r>
    </w:p>
    <w:bookmarkEnd w:id="139"/>
    <w:bookmarkEnd w:id="145"/>
    <w:p>
      <w:pPr>
        <w:pStyle w:val="4"/>
        <w:spacing w:before="195" w:after="195"/>
      </w:pPr>
      <w:r>
        <w:rPr>
          <w:rFonts w:hint="eastAsia"/>
        </w:rPr>
        <w:t>产业用地管控</w:t>
      </w:r>
    </w:p>
    <w:p>
      <w:pPr>
        <w:spacing w:before="65"/>
        <w:ind w:firstLine="640"/>
      </w:pPr>
      <w:bookmarkStart w:id="146" w:name="_Hlk200524039"/>
      <w:r>
        <w:rPr>
          <w:rFonts w:hint="eastAsia"/>
        </w:rPr>
        <w:t>乡镇级国土空间规划应安排不少于</w:t>
      </w:r>
      <w:r>
        <w:t>10%的建设用地指标，重点保障乡村产业发展用地。根据产业发展规律，在城乡之间合理安排产业用地布局。工业企业要向产业集聚区、专业园区集聚；具有一定规模的农产品加工要向</w:t>
      </w:r>
      <w:r>
        <w:rPr>
          <w:rFonts w:hint="eastAsia"/>
        </w:rPr>
        <w:t>中心城区</w:t>
      </w:r>
      <w:r>
        <w:t>或乡镇城镇开发边界内集聚；对直接服务种植养殖业的农产品加工、电子商务、仓储保鲜冷链、产地低温直销配送等产业，应优先利用村内空闲地和闲置宅基地，原则上集中在村庄建设边界内；对利用农村本地资源开展农产品分拣、初加工、发展休闲观光旅游而必须的配套设施建设，在不侵占永久基本农田和生态保护红线、不突破国土空间规划建</w:t>
      </w:r>
      <w:r>
        <w:rPr>
          <w:rFonts w:hint="eastAsia"/>
        </w:rPr>
        <w:t>设用地指标等约束条件、不破坏自然环境和历史风貌的条件下，可在村庄建设边界外安排少量建设用地。在符合国土空间规划前提下，鼓励对依法登记的宅基地等农村建设用地进行复合利用，发展乡村民宿、农产品初加工、电子商务等农村产业。农业生产中直接用于作物种植和畜禽水产养殖的设施用地，按照自然资源部相关</w:t>
      </w:r>
      <w:r>
        <w:t>要求使用。</w:t>
      </w:r>
    </w:p>
    <w:bookmarkEnd w:id="140"/>
    <w:bookmarkEnd w:id="142"/>
    <w:bookmarkEnd w:id="146"/>
    <w:p>
      <w:pPr>
        <w:spacing w:before="65"/>
        <w:ind w:firstLine="640"/>
      </w:pPr>
      <w:r>
        <w:br w:type="page"/>
      </w:r>
    </w:p>
    <w:p>
      <w:pPr>
        <w:spacing w:before="65"/>
        <w:ind w:firstLine="640"/>
      </w:pPr>
    </w:p>
    <w:p>
      <w:pPr>
        <w:pStyle w:val="2"/>
        <w:spacing w:before="489" w:after="489"/>
      </w:pPr>
      <w:bookmarkStart w:id="147" w:name="_Toc207114519"/>
      <w:r>
        <w:rPr>
          <w:rFonts w:hint="eastAsia"/>
        </w:rPr>
        <w:t>村庄布局</w:t>
      </w:r>
      <w:bookmarkEnd w:id="147"/>
    </w:p>
    <w:p>
      <w:pPr>
        <w:pStyle w:val="3"/>
      </w:pPr>
      <w:r>
        <w:rPr>
          <w:rFonts w:hint="eastAsia"/>
        </w:rPr>
        <w:t>人口与城镇化水平预测</w:t>
      </w:r>
    </w:p>
    <w:p>
      <w:pPr>
        <w:pStyle w:val="4"/>
        <w:spacing w:before="195" w:after="195"/>
      </w:pPr>
      <w:r>
        <w:rPr>
          <w:rFonts w:hint="eastAsia"/>
        </w:rPr>
        <w:t>人口规模预测</w:t>
      </w:r>
    </w:p>
    <w:p>
      <w:pPr>
        <w:spacing w:before="48"/>
        <w:ind w:firstLine="640"/>
        <w:rPr>
          <w:rFonts w:ascii="Times New Roman" w:hAnsi="Times New Roman"/>
        </w:rPr>
      </w:pPr>
      <w:r>
        <w:rPr>
          <w:rFonts w:hint="eastAsia" w:ascii="Times New Roman" w:hAnsi="Times New Roman"/>
        </w:rPr>
        <w:t>规划基期年，镇域常住总人口24378人。至2025年，镇域常住总人口2.30万人；至2035年，镇域常住总人口2.08万人</w:t>
      </w:r>
      <w:r>
        <w:rPr>
          <w:rFonts w:ascii="Times New Roman" w:hAnsi="Times New Roman"/>
        </w:rPr>
        <w:t>。</w:t>
      </w:r>
    </w:p>
    <w:p>
      <w:pPr>
        <w:spacing w:before="48"/>
        <w:ind w:firstLine="640"/>
        <w:rPr>
          <w:rFonts w:ascii="Times New Roman" w:hAnsi="Times New Roman"/>
        </w:rPr>
      </w:pPr>
      <w:r>
        <w:rPr>
          <w:rFonts w:hint="eastAsia" w:ascii="Times New Roman" w:hAnsi="Times New Roman"/>
        </w:rPr>
        <w:t>规划基期年，镇区常住人口为2203人；至2025年，镇区常住人口人口为2560人，至2035年，镇区常住人口为3400人。</w:t>
      </w:r>
    </w:p>
    <w:p>
      <w:pPr>
        <w:pStyle w:val="4"/>
        <w:spacing w:before="195" w:after="195"/>
      </w:pPr>
      <w:r>
        <w:rPr>
          <w:rFonts w:hint="eastAsia"/>
        </w:rPr>
        <w:t>城镇化水平预测</w:t>
      </w:r>
    </w:p>
    <w:p>
      <w:pPr>
        <w:spacing w:before="48"/>
        <w:ind w:firstLine="640"/>
        <w:rPr>
          <w:rFonts w:ascii="Times New Roman" w:hAnsi="Times New Roman"/>
        </w:rPr>
      </w:pPr>
      <w:r>
        <w:rPr>
          <w:rFonts w:hint="eastAsia" w:ascii="Times New Roman" w:hAnsi="Times New Roman"/>
        </w:rPr>
        <w:t>基期年，镇域城镇人口4290人，城镇化水平17.60%。至2025年，镇域城镇人口4700人，城镇化水平达到20.43%；至2035年，镇域城镇人口5500人，城镇化水平达到26.44%左右</w:t>
      </w:r>
      <w:r>
        <w:rPr>
          <w:rFonts w:ascii="Times New Roman" w:hAnsi="Times New Roman"/>
        </w:rPr>
        <w:t>。</w:t>
      </w:r>
    </w:p>
    <w:p>
      <w:pPr>
        <w:pStyle w:val="3"/>
      </w:pPr>
      <w:r>
        <w:rPr>
          <w:rFonts w:hint="eastAsia"/>
        </w:rPr>
        <w:t>村庄分类布局</w:t>
      </w:r>
    </w:p>
    <w:p>
      <w:pPr>
        <w:pStyle w:val="4"/>
        <w:spacing w:before="195" w:after="195"/>
      </w:pPr>
      <w:r>
        <w:rPr>
          <w:rFonts w:hint="eastAsia"/>
        </w:rPr>
        <w:t>村庄分类</w:t>
      </w:r>
    </w:p>
    <w:p>
      <w:pPr>
        <w:spacing w:before="48"/>
        <w:ind w:firstLine="640"/>
      </w:pPr>
      <w:r>
        <w:rPr>
          <w:rFonts w:hint="eastAsia"/>
        </w:rPr>
        <w:t>余关镇共有18个行政村，其中2个城郊融合类、6个集聚提升类、3个特色保护类和7个整治改善类。</w:t>
      </w:r>
    </w:p>
    <w:p>
      <w:pPr>
        <w:pStyle w:val="3"/>
      </w:pPr>
      <w:r>
        <w:rPr>
          <w:rFonts w:hint="eastAsia"/>
        </w:rPr>
        <w:t>镇村规模等级体系</w:t>
      </w:r>
    </w:p>
    <w:p>
      <w:pPr>
        <w:pStyle w:val="4"/>
      </w:pPr>
      <w:r>
        <w:rPr>
          <w:rFonts w:hint="eastAsia"/>
        </w:rPr>
        <w:t>村庄等级及职能</w:t>
      </w:r>
    </w:p>
    <w:p>
      <w:pPr>
        <w:spacing w:before="65"/>
        <w:ind w:firstLine="640"/>
      </w:pPr>
      <w:r>
        <w:rPr>
          <w:rFonts w:hint="eastAsia"/>
        </w:rPr>
        <w:t>积极推动余关镇重点镇建设，形成就近城镇化载体。推动人口和公共资源向具备潜力的中心村集中，提升中心村基础设施服务水平，引导乡村特色化发展。</w:t>
      </w:r>
    </w:p>
    <w:p>
      <w:pPr>
        <w:spacing w:before="65"/>
        <w:ind w:firstLine="640"/>
      </w:pPr>
      <w:r>
        <w:rPr>
          <w:rFonts w:hint="eastAsia"/>
        </w:rPr>
        <w:t>镇区：余关村；</w:t>
      </w:r>
    </w:p>
    <w:p>
      <w:pPr>
        <w:spacing w:before="65"/>
        <w:ind w:firstLine="640"/>
      </w:pPr>
      <w:r>
        <w:rPr>
          <w:rFonts w:hint="eastAsia"/>
        </w:rPr>
        <w:t>中心村：王沟村、子育村、报事滩村、孙沟村；</w:t>
      </w:r>
    </w:p>
    <w:p>
      <w:pPr>
        <w:spacing w:before="65"/>
        <w:ind w:firstLine="640"/>
      </w:pPr>
      <w:r>
        <w:rPr>
          <w:rFonts w:hint="eastAsia"/>
        </w:rPr>
        <w:t>基层村：大桦岭村、黄楝村、李沟村、谢寨村、独树村、岳沟村、梁坪村、麦西村、石庙村、麦山村、东王庄村、东孙沟村、朱沟村。</w:t>
      </w:r>
    </w:p>
    <w:p>
      <w:pPr>
        <w:pStyle w:val="4"/>
      </w:pPr>
      <w:bookmarkStart w:id="148" w:name="_Hlk207291743"/>
      <w:bookmarkStart w:id="149" w:name="_Hlk206668990"/>
      <w:r>
        <w:rPr>
          <w:rFonts w:hint="eastAsia"/>
        </w:rPr>
        <w:t>乡村建设引导</w:t>
      </w:r>
    </w:p>
    <w:p>
      <w:pPr>
        <w:ind w:firstLine="640"/>
      </w:pPr>
      <w:r>
        <w:t>构建“</w:t>
      </w:r>
      <w:r>
        <w:rPr>
          <w:rFonts w:hint="eastAsia"/>
        </w:rPr>
        <w:t>镇区</w:t>
      </w:r>
      <w:r>
        <w:t>-</w:t>
      </w:r>
      <w:r>
        <w:rPr>
          <w:rFonts w:hint="eastAsia"/>
        </w:rPr>
        <w:t>中心村</w:t>
      </w:r>
      <w:r>
        <w:t>-</w:t>
      </w:r>
      <w:r>
        <w:rPr>
          <w:rFonts w:hint="eastAsia"/>
        </w:rPr>
        <w:t>基层</w:t>
      </w:r>
      <w:r>
        <w:t>村”三级体系</w:t>
      </w:r>
      <w:r>
        <w:rPr>
          <w:rFonts w:hint="eastAsia"/>
        </w:rPr>
        <w:t>，强化镇区的核心地位，培育中心村</w:t>
      </w:r>
      <w:r>
        <w:t>，引导择周边自然村和基层村的人口向其适度集中，提供高于</w:t>
      </w:r>
      <w:r>
        <w:rPr>
          <w:rFonts w:hint="eastAsia"/>
        </w:rPr>
        <w:t>基层村</w:t>
      </w:r>
      <w:r>
        <w:t>的公共服务。</w:t>
      </w:r>
      <w:r>
        <w:rPr>
          <w:rFonts w:hint="eastAsia"/>
        </w:rPr>
        <w:t>控制基层村发展，严格控制新增宅基地和产业用地，逐步引导其人口向镇区和中心村转移。</w:t>
      </w:r>
    </w:p>
    <w:p>
      <w:pPr>
        <w:ind w:firstLine="640"/>
      </w:pPr>
      <w:r>
        <w:rPr>
          <w:rFonts w:hint="eastAsia"/>
        </w:rPr>
        <w:t>保障产业集聚空间，引导工业、仓储物流、农产品加工园区朝镇区、中心城区周边布局，避免“村村点火、户户冒烟”的分散布局。新增宅基地和安置房等应优先布局在镇区和中心村，形成规模效应。提升镇区存量居住用地的品质和容量，提高人口承载力，通过规划和法律手段，严格限制在村庄建设区外和基层村无序新建、扩建住宅。</w:t>
      </w:r>
    </w:p>
    <w:p>
      <w:pPr>
        <w:ind w:firstLine="640"/>
      </w:pPr>
      <w:r>
        <w:rPr>
          <w:rFonts w:hint="eastAsia"/>
        </w:rPr>
        <w:t>提升镇区与中心村、主要交通干道的连接道路等级，优化镇区内路网，开通公交线路。集中建设污水处理厂、垃圾中转站、供水管网、电力电信设施，并向周边中心村延伸覆盖，实现规模效益。</w:t>
      </w:r>
    </w:p>
    <w:p>
      <w:pPr>
        <w:ind w:firstLine="640"/>
      </w:pPr>
      <w:r>
        <w:rPr>
          <w:rFonts w:hint="eastAsia"/>
        </w:rPr>
        <w:t>在镇区集中布局高水平的卫生院、中心小学、幼儿园、养老院、文化活动中心、便民服务中心等。在中心村配置标准化的卫生室、幼儿园、养老院、农家书屋等，形成与镇区互补的服务网络。</w:t>
      </w:r>
    </w:p>
    <w:p>
      <w:pPr>
        <w:ind w:firstLine="640"/>
      </w:pPr>
      <w:r>
        <w:rPr>
          <w:rFonts w:hint="eastAsia"/>
        </w:rPr>
        <w:t>通过空间约束</w:t>
      </w:r>
      <w:r>
        <w:t>和空间激励相结合，配套以有吸引力的政策和优质的公共服务，让市场主体和居民用脚投票，自发地、自愿地向规划确定的</w:t>
      </w:r>
      <w:r>
        <w:rPr>
          <w:rFonts w:hint="eastAsia"/>
        </w:rPr>
        <w:t>镇区和中心村</w:t>
      </w:r>
      <w:r>
        <w:t>集中，最终实现集约、高效、绿色、宜居的乡镇发展新格局。</w:t>
      </w:r>
    </w:p>
    <w:bookmarkEnd w:id="148"/>
    <w:p>
      <w:pPr>
        <w:pStyle w:val="3"/>
      </w:pPr>
      <w:bookmarkStart w:id="150" w:name="_Hlk207292006"/>
      <w:r>
        <w:rPr>
          <w:rFonts w:hint="eastAsia"/>
        </w:rPr>
        <w:t>城乡生活圈构建</w:t>
      </w:r>
    </w:p>
    <w:p>
      <w:pPr>
        <w:pStyle w:val="4"/>
      </w:pPr>
      <w:r>
        <w:rPr>
          <w:rFonts w:hint="eastAsia"/>
        </w:rPr>
        <w:t>城乡生活圈划分</w:t>
      </w:r>
    </w:p>
    <w:p>
      <w:pPr>
        <w:spacing w:before="65"/>
        <w:ind w:firstLine="640"/>
      </w:pPr>
      <w:r>
        <w:t>以</w:t>
      </w:r>
      <w:r>
        <w:rPr>
          <w:rFonts w:hint="eastAsia"/>
        </w:rPr>
        <w:t>镇区为中心</w:t>
      </w:r>
      <w:r>
        <w:t>，构建</w:t>
      </w:r>
      <w:r>
        <w:rPr>
          <w:rFonts w:hint="eastAsia"/>
        </w:rPr>
        <w:t>城镇</w:t>
      </w:r>
      <w:r>
        <w:t>生活圈，以</w:t>
      </w:r>
      <w:r>
        <w:rPr>
          <w:rFonts w:hint="eastAsia"/>
        </w:rPr>
        <w:t>中心村</w:t>
      </w:r>
      <w:r>
        <w:t>为中心，构建</w:t>
      </w:r>
      <w:r>
        <w:rPr>
          <w:rFonts w:hint="eastAsia"/>
        </w:rPr>
        <w:t>乡村生活圈。</w:t>
      </w:r>
    </w:p>
    <w:p>
      <w:pPr>
        <w:spacing w:before="65"/>
        <w:ind w:firstLine="640"/>
      </w:pPr>
      <w:r>
        <w:rPr>
          <w:rFonts w:hint="eastAsia"/>
        </w:rPr>
        <w:t>依据行政界线、村庄分类、镇村体系、地理位置等因素，余关镇共划定1个城镇生活圈和4</w:t>
      </w:r>
      <w:r>
        <w:t>个乡村</w:t>
      </w:r>
      <w:r>
        <w:rPr>
          <w:rFonts w:hint="eastAsia"/>
        </w:rPr>
        <w:t>生活圈</w:t>
      </w:r>
      <w:r>
        <w:t>。其中：</w:t>
      </w:r>
    </w:p>
    <w:p>
      <w:pPr>
        <w:spacing w:before="65"/>
        <w:ind w:firstLine="640"/>
      </w:pPr>
      <w:r>
        <w:rPr>
          <w:rFonts w:hint="eastAsia"/>
        </w:rPr>
        <w:t>镇区城镇生活圈以镇区为中心，包含余关村、李沟村、岳沟村和朱沟村。</w:t>
      </w:r>
    </w:p>
    <w:p>
      <w:pPr>
        <w:spacing w:before="65"/>
        <w:ind w:firstLine="640"/>
      </w:pPr>
      <w:r>
        <w:rPr>
          <w:rFonts w:hint="eastAsia"/>
        </w:rPr>
        <w:t>王沟乡村生活圈以王沟村为中心，包括谢寨村和大桦岭村。</w:t>
      </w:r>
    </w:p>
    <w:p>
      <w:pPr>
        <w:spacing w:before="65"/>
        <w:ind w:firstLine="640"/>
      </w:pPr>
      <w:r>
        <w:rPr>
          <w:rFonts w:hint="eastAsia"/>
        </w:rPr>
        <w:t>子育乡村生活圈以子育村为中心，包含黄楝村和独树村。</w:t>
      </w:r>
    </w:p>
    <w:p>
      <w:pPr>
        <w:spacing w:before="65"/>
        <w:ind w:firstLine="640"/>
      </w:pPr>
      <w:r>
        <w:rPr>
          <w:rFonts w:hint="eastAsia"/>
        </w:rPr>
        <w:t>报事滩乡村生活圈以报事滩村为中心，包含梁坪村、麦西村和石庙村。</w:t>
      </w:r>
    </w:p>
    <w:p>
      <w:pPr>
        <w:spacing w:before="65"/>
        <w:ind w:firstLine="640"/>
      </w:pPr>
      <w:r>
        <w:rPr>
          <w:rFonts w:hint="eastAsia"/>
        </w:rPr>
        <w:t>孙沟生活圈以孙沟村为中心，包括麦山村、东孙沟村和东王庄村。</w:t>
      </w:r>
    </w:p>
    <w:bookmarkEnd w:id="149"/>
    <w:bookmarkEnd w:id="150"/>
    <w:p>
      <w:pPr>
        <w:spacing w:before="65"/>
        <w:ind w:firstLine="0" w:firstLineChars="0"/>
      </w:pPr>
      <w:r>
        <w:br w:type="page"/>
      </w:r>
    </w:p>
    <w:p>
      <w:pPr>
        <w:spacing w:before="65"/>
        <w:ind w:firstLine="640"/>
      </w:pPr>
    </w:p>
    <w:p>
      <w:pPr>
        <w:pStyle w:val="2"/>
        <w:spacing w:before="489" w:after="489"/>
      </w:pPr>
      <w:bookmarkStart w:id="151" w:name="_Toc207114520"/>
      <w:r>
        <w:rPr>
          <w:rFonts w:hint="eastAsia"/>
        </w:rPr>
        <w:t>支撑保障体系</w:t>
      </w:r>
      <w:bookmarkEnd w:id="151"/>
    </w:p>
    <w:p>
      <w:pPr>
        <w:pStyle w:val="3"/>
      </w:pPr>
      <w:bookmarkStart w:id="152" w:name="_Toc129799047"/>
      <w:bookmarkStart w:id="153" w:name="_Hlk142657734"/>
      <w:r>
        <w:rPr>
          <w:rFonts w:hint="eastAsia"/>
        </w:rPr>
        <w:t>道路交通规划</w:t>
      </w:r>
    </w:p>
    <w:p>
      <w:pPr>
        <w:pStyle w:val="4"/>
        <w:spacing w:before="195" w:after="195"/>
      </w:pPr>
      <w:bookmarkStart w:id="154" w:name="_Hlk150185677"/>
      <w:r>
        <w:rPr>
          <w:rFonts w:hint="eastAsia"/>
        </w:rPr>
        <w:t>道路交通规划</w:t>
      </w:r>
    </w:p>
    <w:p>
      <w:pPr>
        <w:spacing w:before="65"/>
        <w:ind w:firstLine="640"/>
      </w:pPr>
      <w:bookmarkStart w:id="155" w:name="_Hlk207462454"/>
      <w:r>
        <w:rPr>
          <w:rFonts w:hint="eastAsia"/>
        </w:rPr>
        <w:t>公路：</w:t>
      </w:r>
      <w:bookmarkStart w:id="156" w:name="_Hlk209013976"/>
      <w:r>
        <w:rPr>
          <w:rFonts w:hint="eastAsia"/>
        </w:rPr>
        <w:t>S243和S329进行改建；结合X011，形成以镇区和报事滩村为中心、</w:t>
      </w:r>
      <w:bookmarkStart w:id="157" w:name="_Hlk209624389"/>
      <w:r>
        <w:rPr>
          <w:rFonts w:hint="eastAsia"/>
        </w:rPr>
        <w:t>南北畅通（连接七里坪乡、县中心城区）、东西可达（马山口镇、赤眉镇、赵店镇）的区域交通格局</w:t>
      </w:r>
      <w:bookmarkEnd w:id="156"/>
      <w:bookmarkEnd w:id="157"/>
      <w:r>
        <w:t>。</w:t>
      </w:r>
    </w:p>
    <w:p>
      <w:pPr>
        <w:spacing w:before="65"/>
        <w:ind w:firstLine="640"/>
      </w:pPr>
      <w:r>
        <w:rPr>
          <w:rFonts w:hint="eastAsia"/>
        </w:rPr>
        <w:t>镇域村道规划：</w:t>
      </w:r>
      <w:r>
        <w:t>完善加密村庄路网布局，建设“四好农村路”，提升城乡交通一体化水平。</w:t>
      </w:r>
      <w:r>
        <w:rPr>
          <w:rFonts w:hint="eastAsia"/>
        </w:rPr>
        <w:t>提高镇村联系的可达性，村组道路均完成水泥铺设，村组联系主要道路不低于</w:t>
      </w:r>
      <w:r>
        <w:t>5米，次要道路宽度不低于4</w:t>
      </w:r>
      <w:r>
        <w:rPr>
          <w:rFonts w:hint="eastAsia"/>
        </w:rPr>
        <w:t>米</w:t>
      </w:r>
      <w:bookmarkEnd w:id="155"/>
      <w:r>
        <w:rPr>
          <w:rFonts w:hint="eastAsia"/>
        </w:rPr>
        <w:t>。</w:t>
      </w:r>
    </w:p>
    <w:p>
      <w:pPr>
        <w:pStyle w:val="4"/>
        <w:spacing w:before="195" w:after="195"/>
      </w:pPr>
      <w:r>
        <w:rPr>
          <w:rFonts w:hint="eastAsia"/>
        </w:rPr>
        <w:t>城乡公交站场</w:t>
      </w:r>
    </w:p>
    <w:bookmarkEnd w:id="154"/>
    <w:p>
      <w:pPr>
        <w:spacing w:before="65"/>
        <w:ind w:firstLine="640"/>
      </w:pPr>
      <w:bookmarkStart w:id="158" w:name="_Hlk207462490"/>
      <w:r>
        <w:rPr>
          <w:rFonts w:hint="eastAsia"/>
        </w:rPr>
        <w:t>完善城乡公共交通体系建设，在镇区北侧设</w:t>
      </w:r>
      <w:bookmarkStart w:id="159" w:name="_Hlk209013990"/>
      <w:r>
        <w:rPr>
          <w:rFonts w:hint="eastAsia"/>
        </w:rPr>
        <w:t>城乡客运站</w:t>
      </w:r>
      <w:bookmarkEnd w:id="159"/>
      <w:r>
        <w:rPr>
          <w:rFonts w:hint="eastAsia"/>
        </w:rPr>
        <w:t>，服务整个镇域，到</w:t>
      </w:r>
      <w:r>
        <w:t>2035年实现村村通公交车</w:t>
      </w:r>
      <w:r>
        <w:rPr>
          <w:rFonts w:hint="eastAsia"/>
        </w:rPr>
        <w:t>；</w:t>
      </w:r>
      <w:r>
        <w:t>在</w:t>
      </w:r>
      <w:r>
        <w:rPr>
          <w:rFonts w:hint="eastAsia"/>
        </w:rPr>
        <w:t>子育村、王沟村、报事滩村和孙沟村规划</w:t>
      </w:r>
      <w:r>
        <w:t>城乡公交</w:t>
      </w:r>
      <w:r>
        <w:rPr>
          <w:rFonts w:hint="eastAsia"/>
        </w:rPr>
        <w:t>停靠</w:t>
      </w:r>
      <w:r>
        <w:t>站</w:t>
      </w:r>
      <w:bookmarkEnd w:id="158"/>
      <w:r>
        <w:rPr>
          <w:rFonts w:hint="eastAsia"/>
        </w:rPr>
        <w:t>，提升城乡公交覆盖率。</w:t>
      </w:r>
    </w:p>
    <w:p>
      <w:pPr>
        <w:pStyle w:val="3"/>
      </w:pPr>
      <w:r>
        <w:rPr>
          <w:rFonts w:hint="eastAsia"/>
        </w:rPr>
        <w:t>市政公用设施规划</w:t>
      </w:r>
    </w:p>
    <w:p>
      <w:pPr>
        <w:pStyle w:val="4"/>
        <w:spacing w:before="195" w:after="195"/>
      </w:pPr>
      <w:r>
        <w:rPr>
          <w:rFonts w:hint="eastAsia"/>
        </w:rPr>
        <w:t>给水工程规划</w:t>
      </w:r>
    </w:p>
    <w:p>
      <w:pPr>
        <w:spacing w:before="65"/>
        <w:ind w:firstLine="640"/>
      </w:pPr>
      <w:r>
        <w:rPr>
          <w:rFonts w:hint="eastAsia"/>
        </w:rPr>
        <w:t>预测镇域最高日总用水量为0.37万立方米/日。</w:t>
      </w:r>
    </w:p>
    <w:p>
      <w:pPr>
        <w:spacing w:before="65"/>
        <w:ind w:firstLine="640"/>
      </w:pPr>
      <w:r>
        <w:rPr>
          <w:rFonts w:hint="eastAsia"/>
        </w:rPr>
        <w:t>规划扩建东王庄村给水厂，规模为0.2万立方米/日，供水水源采用附近的中深层地下水；规划保留谢寨村、黄楝村供水站，由内乡南水北调水厂配水；规划东王庄村给水厂、孙沟村给水厂、梁坪供水站进行跨村供水，实现全镇多水源统一供水。</w:t>
      </w:r>
    </w:p>
    <w:p>
      <w:pPr>
        <w:pStyle w:val="4"/>
        <w:spacing w:before="195" w:after="195"/>
      </w:pPr>
      <w:r>
        <w:rPr>
          <w:rFonts w:hint="eastAsia"/>
        </w:rPr>
        <w:t>排水工程规划</w:t>
      </w:r>
    </w:p>
    <w:p>
      <w:pPr>
        <w:spacing w:before="65"/>
        <w:ind w:firstLine="640"/>
      </w:pPr>
      <w:r>
        <w:rPr>
          <w:rFonts w:hint="eastAsia"/>
        </w:rPr>
        <w:t>规划镇区采用雨污分流制排水系统，村庄一般采用合流制，有条件时采用分流制。</w:t>
      </w:r>
    </w:p>
    <w:p>
      <w:pPr>
        <w:spacing w:before="65"/>
        <w:ind w:firstLine="640"/>
      </w:pPr>
      <w:r>
        <w:rPr>
          <w:rFonts w:hint="eastAsia"/>
        </w:rPr>
        <w:t>预测镇域最高日总污水量为0.25万立方米/日。</w:t>
      </w:r>
    </w:p>
    <w:p>
      <w:pPr>
        <w:spacing w:before="65"/>
        <w:ind w:firstLine="640"/>
      </w:pPr>
      <w:r>
        <w:rPr>
          <w:rFonts w:hint="eastAsia"/>
        </w:rPr>
        <w:t>规划余关镇镇区污水由污水管网收集排入余关镇污水处理厂，污水厂规模为0.2万立方米/日；污水处理厂出水水质要求达到《城镇污水处理厂污染物排放标准》（GB 18918-2002）中规定的一级A标准，处理达标后排入</w:t>
      </w:r>
      <w:bookmarkStart w:id="160" w:name="_Hlk209014034"/>
      <w:r>
        <w:rPr>
          <w:rFonts w:hint="eastAsia"/>
        </w:rPr>
        <w:t>镇区东侧河流</w:t>
      </w:r>
      <w:bookmarkEnd w:id="160"/>
      <w:r>
        <w:rPr>
          <w:rFonts w:hint="eastAsia"/>
        </w:rPr>
        <w:t>。距离镇区较近的村庄污水纳入城镇污水管网集中处理，距离镇区较远的村庄单独建设污水处理设施集中处理污水。</w:t>
      </w:r>
    </w:p>
    <w:p>
      <w:pPr>
        <w:spacing w:before="65"/>
        <w:ind w:firstLine="640"/>
      </w:pPr>
      <w:r>
        <w:rPr>
          <w:rFonts w:hint="eastAsia"/>
        </w:rPr>
        <w:t>雨水排放系统坚持就近、分散排放的原则。雨水管渠应充分利用自然河流水系、充分尊重原有生态基底，巧妙利用地形地貌实现雨水自然排放，必要时设置排涝泵站。</w:t>
      </w:r>
    </w:p>
    <w:p>
      <w:pPr>
        <w:pStyle w:val="4"/>
        <w:spacing w:before="195" w:after="195"/>
      </w:pPr>
      <w:r>
        <w:rPr>
          <w:rFonts w:hint="eastAsia"/>
        </w:rPr>
        <w:t>电力工程规划</w:t>
      </w:r>
    </w:p>
    <w:p>
      <w:pPr>
        <w:spacing w:before="65"/>
        <w:ind w:firstLine="640"/>
      </w:pPr>
      <w:bookmarkStart w:id="161" w:name="_Hlk140846865"/>
      <w:r>
        <w:rPr>
          <w:rFonts w:hint="eastAsia"/>
        </w:rPr>
        <w:t>预测镇域年总用电量为2496万千瓦时。</w:t>
      </w:r>
    </w:p>
    <w:p>
      <w:pPr>
        <w:spacing w:before="65"/>
        <w:ind w:firstLine="640"/>
      </w:pPr>
      <w:r>
        <w:rPr>
          <w:rFonts w:hint="eastAsia"/>
        </w:rPr>
        <w:t>规划新建220千伏林湍变，供电容量为2×180兆伏安；规划将现状35千伏余关变升压至110千伏，供电容量为2×50兆伏安。</w:t>
      </w:r>
    </w:p>
    <w:p>
      <w:pPr>
        <w:spacing w:before="65"/>
        <w:ind w:firstLine="640"/>
      </w:pPr>
      <w:r>
        <w:rPr>
          <w:rFonts w:hint="eastAsia"/>
        </w:rPr>
        <w:t>依据《城市电力规划规范》（GB/T 50293-2014），</w:t>
      </w:r>
      <w:bookmarkStart w:id="162" w:name="_Hlk209014054"/>
      <w:r>
        <w:rPr>
          <w:rFonts w:hint="eastAsia"/>
        </w:rPr>
        <w:t>±800kV直流特高压线路廊道控制线宽度80-90米，500kV高压电力线路廊道控制线宽度60-75米</w:t>
      </w:r>
      <w:bookmarkEnd w:id="162"/>
      <w:r>
        <w:rPr>
          <w:rFonts w:hint="eastAsia"/>
        </w:rPr>
        <w:t>，110千伏高压线设置25-30米宽的高压走廊，35千伏高压线设置20-25米宽的高压走廊；高压走廊控制区内严禁各种开发建设活动</w:t>
      </w:r>
      <w:r>
        <w:t>。</w:t>
      </w:r>
    </w:p>
    <w:bookmarkEnd w:id="161"/>
    <w:p>
      <w:pPr>
        <w:pStyle w:val="4"/>
        <w:spacing w:before="195" w:after="195"/>
      </w:pPr>
      <w:r>
        <w:rPr>
          <w:rFonts w:hint="eastAsia"/>
        </w:rPr>
        <w:t>通信工程规划</w:t>
      </w:r>
    </w:p>
    <w:p>
      <w:pPr>
        <w:spacing w:before="65"/>
        <w:ind w:firstLine="640"/>
      </w:pPr>
      <w:r>
        <w:rPr>
          <w:rFonts w:hint="eastAsia"/>
        </w:rPr>
        <w:t>预测镇域固定电话总量为0.83万线。</w:t>
      </w:r>
    </w:p>
    <w:p>
      <w:pPr>
        <w:spacing w:before="65"/>
        <w:ind w:firstLine="640"/>
      </w:pPr>
      <w:r>
        <w:rPr>
          <w:rFonts w:hint="eastAsia"/>
        </w:rPr>
        <w:t>积极采用高科技、新技术、新设备，建设完善大容量、高速率、广覆盖的集电信网、数据网及有线广播电视网三网合一的综合通信系统，并且数据传输光缆及电信管道统一规划、建设，适应城镇发展要求。</w:t>
      </w:r>
    </w:p>
    <w:p>
      <w:pPr>
        <w:spacing w:before="65"/>
        <w:ind w:firstLine="640"/>
      </w:pPr>
      <w:r>
        <w:rPr>
          <w:rFonts w:hint="eastAsia"/>
        </w:rPr>
        <w:t>升级完善和合理布局广电设施，提升广电网络功能，推广电视、广播的数字化、高清化和网络化，筹建大功率广播电视发射中心，继续推进“村村通”工程，到2035年实现全镇广播电视人口综合覆盖率100%</w:t>
      </w:r>
      <w:r>
        <w:t>。</w:t>
      </w:r>
    </w:p>
    <w:p>
      <w:pPr>
        <w:pStyle w:val="4"/>
        <w:spacing w:before="195" w:after="195"/>
      </w:pPr>
      <w:r>
        <w:rPr>
          <w:rFonts w:hint="eastAsia"/>
        </w:rPr>
        <w:t>燃气工程规划</w:t>
      </w:r>
    </w:p>
    <w:p>
      <w:pPr>
        <w:spacing w:before="65"/>
        <w:ind w:firstLine="640"/>
      </w:pPr>
      <w:r>
        <w:rPr>
          <w:rFonts w:hint="eastAsia"/>
        </w:rPr>
        <w:t>预测镇域天然气总量为119万立方米/年。</w:t>
      </w:r>
    </w:p>
    <w:p>
      <w:pPr>
        <w:spacing w:before="65"/>
        <w:ind w:firstLine="640"/>
      </w:pPr>
      <w:r>
        <w:rPr>
          <w:rFonts w:hint="eastAsia"/>
        </w:rPr>
        <w:t>规划气源接自西气东输三线。规划镇区敷设中压燃气管网，有条件的村庄引入天然气管道。</w:t>
      </w:r>
    </w:p>
    <w:p>
      <w:pPr>
        <w:pStyle w:val="4"/>
        <w:spacing w:before="195" w:after="195"/>
      </w:pPr>
      <w:r>
        <w:rPr>
          <w:rFonts w:hint="eastAsia"/>
        </w:rPr>
        <w:t>环卫工程规划</w:t>
      </w:r>
    </w:p>
    <w:p>
      <w:pPr>
        <w:spacing w:before="65"/>
        <w:ind w:firstLine="640"/>
      </w:pPr>
      <w:r>
        <w:rPr>
          <w:rFonts w:hint="eastAsia"/>
        </w:rPr>
        <w:t>因此至</w:t>
      </w:r>
      <w:r>
        <w:t>2035年，规划预测全镇产生生活垃圾最高日产量为</w:t>
      </w:r>
      <w:r>
        <w:rPr>
          <w:rFonts w:hint="eastAsia"/>
        </w:rPr>
        <w:t>16.64</w:t>
      </w:r>
      <w:r>
        <w:t>吨/天。</w:t>
      </w:r>
    </w:p>
    <w:p>
      <w:pPr>
        <w:spacing w:before="65"/>
        <w:ind w:firstLine="640"/>
      </w:pPr>
      <w:bookmarkStart w:id="163" w:name="_Hlk209014087"/>
      <w:r>
        <w:rPr>
          <w:rFonts w:hint="eastAsia"/>
        </w:rPr>
        <w:t>建立由垃圾收集点——生活垃圾转运站构成的两级垃圾收集转运系统。在镇区保留现状生活垃圾转运站，全镇生活垃圾通过垃圾收集点收集，经过垃圾转运站最终送至垃圾填埋场或者静脉产业园处理</w:t>
      </w:r>
      <w:bookmarkEnd w:id="163"/>
      <w:r>
        <w:rPr>
          <w:rFonts w:hint="eastAsia"/>
        </w:rPr>
        <w:t>。</w:t>
      </w:r>
    </w:p>
    <w:p>
      <w:pPr>
        <w:pStyle w:val="3"/>
      </w:pPr>
      <w:r>
        <w:rPr>
          <w:rFonts w:hint="eastAsia"/>
        </w:rPr>
        <w:t>公共服务设施规划</w:t>
      </w:r>
    </w:p>
    <w:p>
      <w:pPr>
        <w:pStyle w:val="4"/>
        <w:spacing w:before="195" w:after="195"/>
      </w:pPr>
      <w:bookmarkStart w:id="164" w:name="_Hlk200522761"/>
      <w:r>
        <w:t>教育设施</w:t>
      </w:r>
    </w:p>
    <w:p>
      <w:pPr>
        <w:spacing w:before="65"/>
        <w:ind w:firstLine="640"/>
      </w:pPr>
      <w:bookmarkStart w:id="165" w:name="_Hlk207462512"/>
      <w:r>
        <w:rPr>
          <w:rFonts w:hint="eastAsia"/>
        </w:rPr>
        <w:t>规划保留现状1所中学，为余关镇初级中学（25班）；规划保留小学、教学点13处，引导农村小学逐步集中到镇区</w:t>
      </w:r>
      <w:r>
        <w:t>；规划</w:t>
      </w:r>
      <w:r>
        <w:rPr>
          <w:rFonts w:hint="eastAsia"/>
        </w:rPr>
        <w:t>保留</w:t>
      </w:r>
      <w:r>
        <w:t>幼儿园</w:t>
      </w:r>
      <w:r>
        <w:rPr>
          <w:rFonts w:hint="eastAsia"/>
        </w:rPr>
        <w:t>9所。已停用的学校根据《河南省</w:t>
      </w:r>
      <w:r>
        <w:t>农村中小学闲置校园校舍处置工作指导意见》（豫教发规</w:t>
      </w:r>
      <w:r>
        <w:rPr>
          <w:rFonts w:hint="eastAsia"/>
        </w:rPr>
        <w:t>〔</w:t>
      </w:r>
      <w:r>
        <w:t>2015〕7号）文件要求进行处理</w:t>
      </w:r>
      <w:bookmarkEnd w:id="165"/>
      <w:r>
        <w:rPr>
          <w:rFonts w:hint="eastAsia"/>
        </w:rPr>
        <w:t>。</w:t>
      </w:r>
    </w:p>
    <w:p>
      <w:pPr>
        <w:pStyle w:val="4"/>
        <w:spacing w:before="195" w:after="195"/>
      </w:pPr>
      <w:r>
        <w:t>文化设施</w:t>
      </w:r>
    </w:p>
    <w:p>
      <w:pPr>
        <w:spacing w:before="65"/>
        <w:ind w:firstLine="640"/>
        <w:rPr>
          <w:rFonts w:ascii="仿宋_GB2312" w:hAnsi="仿宋_GB2312" w:cs="仿宋_GB2312"/>
        </w:rPr>
      </w:pPr>
      <w:bookmarkStart w:id="166" w:name="_Hlk209014114"/>
      <w:r>
        <w:t>规划</w:t>
      </w:r>
      <w:r>
        <w:rPr>
          <w:rFonts w:hint="eastAsia"/>
        </w:rPr>
        <w:t>保留镇区文化中心；规划</w:t>
      </w:r>
      <w:r>
        <w:t>各村庄设置文化活动室和农家书屋各1处，宜集合党群服务中心设置</w:t>
      </w:r>
      <w:r>
        <w:rPr>
          <w:rFonts w:hint="eastAsia"/>
        </w:rPr>
        <w:t>；鼓励子育村、梁坪村、麦山村等特色村庄设置</w:t>
      </w:r>
      <w:r>
        <w:rPr>
          <w:rFonts w:hint="eastAsia" w:ascii="仿宋_GB2312" w:hAnsi="仿宋_GB2312" w:cs="仿宋_GB2312"/>
        </w:rPr>
        <w:t>特色民俗活动点，有条件的村庄</w:t>
      </w:r>
      <w:r>
        <w:rPr>
          <w:rFonts w:hint="eastAsia"/>
        </w:rPr>
        <w:t>可设置</w:t>
      </w:r>
      <w:r>
        <w:rPr>
          <w:rFonts w:hint="eastAsia" w:ascii="仿宋_GB2312" w:hAnsi="仿宋_GB2312" w:cs="仿宋_GB2312"/>
        </w:rPr>
        <w:t>红白喜事厅</w:t>
      </w:r>
      <w:bookmarkEnd w:id="166"/>
      <w:r>
        <w:rPr>
          <w:rFonts w:hint="eastAsia" w:ascii="仿宋_GB2312" w:hAnsi="仿宋_GB2312" w:cs="仿宋_GB2312"/>
        </w:rPr>
        <w:t>。</w:t>
      </w:r>
    </w:p>
    <w:p>
      <w:pPr>
        <w:pStyle w:val="4"/>
      </w:pPr>
      <w:r>
        <w:rPr>
          <w:rFonts w:hint="eastAsia"/>
        </w:rPr>
        <w:t>体育设施</w:t>
      </w:r>
    </w:p>
    <w:p>
      <w:pPr>
        <w:ind w:firstLine="640"/>
      </w:pPr>
      <w:bookmarkStart w:id="167" w:name="_Hlk209014119"/>
      <w:r>
        <w:t>规划</w:t>
      </w:r>
      <w:r>
        <w:rPr>
          <w:rFonts w:hint="eastAsia"/>
        </w:rPr>
        <w:t>在镇政府南侧规划新增一处体育中心；</w:t>
      </w:r>
      <w:r>
        <w:t>规划各村庄设置健身广场各1处，宜结合文化活动室，村庄广场设置</w:t>
      </w:r>
      <w:bookmarkEnd w:id="167"/>
      <w:r>
        <w:rPr>
          <w:rFonts w:hint="eastAsia"/>
        </w:rPr>
        <w:t>。</w:t>
      </w:r>
    </w:p>
    <w:p>
      <w:pPr>
        <w:pStyle w:val="4"/>
        <w:spacing w:before="195" w:after="195"/>
      </w:pPr>
      <w:r>
        <w:t>医疗卫生设施</w:t>
      </w:r>
    </w:p>
    <w:p>
      <w:pPr>
        <w:spacing w:before="65"/>
        <w:ind w:firstLine="640"/>
      </w:pPr>
      <w:r>
        <w:rPr>
          <w:rFonts w:hint="eastAsia"/>
        </w:rPr>
        <w:t>提升乡镇基层医疗卫生设施服务水平，落实乡镇卫生院中医馆设置</w:t>
      </w:r>
      <w:r>
        <w:rPr>
          <w:rFonts w:hint="eastAsia" w:ascii="仿宋_GB2312" w:hAnsi="仿宋_GB2312" w:cs="仿宋_GB2312"/>
        </w:rPr>
        <w:t>，乡镇卫生院、村卫生室建设和服务能力全部达</w:t>
      </w:r>
      <w:r>
        <w:rPr>
          <w:rFonts w:hint="eastAsia"/>
        </w:rPr>
        <w:t>标等建设任务。完善乡镇基层医疗卫生设施配置。镇区保留</w:t>
      </w:r>
      <w:r>
        <w:t>1处现状卫生院，床位数控制在50-200床</w:t>
      </w:r>
      <w:r>
        <w:rPr>
          <w:rFonts w:hint="eastAsia"/>
        </w:rPr>
        <w:t>。规划按照一村一室进行配置村级卫生室</w:t>
      </w:r>
      <w:r>
        <w:t>。对现有村庄卫</w:t>
      </w:r>
      <w:r>
        <w:rPr>
          <w:rFonts w:hint="eastAsia"/>
        </w:rPr>
        <w:t>生室进行提升，强化基层医疗作用，做到小病不出村。</w:t>
      </w:r>
    </w:p>
    <w:p>
      <w:pPr>
        <w:pStyle w:val="4"/>
        <w:spacing w:before="195" w:after="195"/>
      </w:pPr>
      <w:r>
        <w:t>社会福利设施</w:t>
      </w:r>
    </w:p>
    <w:p>
      <w:pPr>
        <w:spacing w:before="65"/>
        <w:ind w:firstLine="640"/>
      </w:pPr>
      <w:r>
        <w:rPr>
          <w:rFonts w:hint="eastAsia"/>
        </w:rPr>
        <w:t>镇区保留</w:t>
      </w:r>
      <w:r>
        <w:t>1</w:t>
      </w:r>
      <w:r>
        <w:rPr>
          <w:rFonts w:hint="eastAsia"/>
        </w:rPr>
        <w:t>处</w:t>
      </w:r>
      <w:r>
        <w:t>敬老院</w:t>
      </w:r>
      <w:r>
        <w:rPr>
          <w:rFonts w:hint="eastAsia"/>
        </w:rPr>
        <w:t>，</w:t>
      </w:r>
      <w:r>
        <w:t>床位数控制在200床以内</w:t>
      </w:r>
      <w:r>
        <w:rPr>
          <w:rFonts w:hint="eastAsia"/>
        </w:rPr>
        <w:t>，</w:t>
      </w:r>
      <w:bookmarkStart w:id="168" w:name="_Hlk207721845"/>
      <w:r>
        <w:rPr>
          <w:rFonts w:hint="eastAsia"/>
        </w:rPr>
        <w:t>王沟村、子育村、报事滩村、孙沟村</w:t>
      </w:r>
      <w:bookmarkEnd w:id="168"/>
      <w:r>
        <w:rPr>
          <w:rFonts w:hint="eastAsia"/>
        </w:rPr>
        <w:t>等中心村各规划一处老年人日间照料中心，提供老年人日托服务，包括餐饮、文娱、健身、医疗保健等。</w:t>
      </w:r>
      <w:bookmarkStart w:id="169" w:name="_Hlk200545963"/>
      <w:r>
        <w:rPr>
          <w:rFonts w:hint="eastAsia"/>
        </w:rPr>
        <w:t>其他村庄与村委会结合居家养老服务站，提供居家养老相关服务</w:t>
      </w:r>
      <w:bookmarkEnd w:id="169"/>
      <w:r>
        <w:rPr>
          <w:rFonts w:hint="eastAsia"/>
        </w:rPr>
        <w:t>。</w:t>
      </w:r>
    </w:p>
    <w:p>
      <w:pPr>
        <w:pStyle w:val="4"/>
        <w:spacing w:before="195" w:after="195"/>
      </w:pPr>
      <w:r>
        <w:t>商业服务设施</w:t>
      </w:r>
    </w:p>
    <w:p>
      <w:pPr>
        <w:spacing w:before="65"/>
        <w:ind w:firstLine="640"/>
      </w:pPr>
      <w:r>
        <w:rPr>
          <w:rFonts w:hint="eastAsia"/>
        </w:rPr>
        <w:t>保留镇区现状部分质量较好、商品丰富的商业服务设施。规划王沟村、子育村、报事滩村、孙沟村等中心村建设小型农贸市场及小型百货超市，服务于周边村庄。</w:t>
      </w:r>
    </w:p>
    <w:p>
      <w:pPr>
        <w:pStyle w:val="4"/>
        <w:spacing w:before="195" w:after="195"/>
      </w:pPr>
      <w:r>
        <w:t>殡葬设施</w:t>
      </w:r>
    </w:p>
    <w:p>
      <w:pPr>
        <w:spacing w:before="65"/>
        <w:ind w:firstLine="640"/>
      </w:pPr>
      <w:bookmarkStart w:id="170" w:name="_Hlk207462526"/>
      <w:r>
        <w:rPr>
          <w:rFonts w:hint="eastAsia"/>
        </w:rPr>
        <w:t>规划余关镇镇域建设</w:t>
      </w:r>
      <w:r>
        <w:t>占地不少于50亩的公益性公墓</w:t>
      </w:r>
      <w:r>
        <w:rPr>
          <w:rFonts w:hint="eastAsia"/>
        </w:rPr>
        <w:t>，满足居民基本丧葬需求。殡葬</w:t>
      </w:r>
      <w:r>
        <w:t>设施不得违规擅自兴建，不得在</w:t>
      </w:r>
      <w:r>
        <w:rPr>
          <w:rFonts w:hint="eastAsia" w:ascii="仿宋_GB2312"/>
        </w:rPr>
        <w:t>“三沿两区”</w:t>
      </w:r>
      <w:r>
        <w:t>（铁路沿线、公路沿线、河道沿线和水源保护区、居民居住区）建设，不得占用永久基本农田，公墓项目不得占用或变相占用耕地</w:t>
      </w:r>
      <w:bookmarkEnd w:id="170"/>
      <w:r>
        <w:rPr>
          <w:rFonts w:hint="eastAsia"/>
        </w:rPr>
        <w:t>。</w:t>
      </w:r>
    </w:p>
    <w:bookmarkEnd w:id="164"/>
    <w:p>
      <w:pPr>
        <w:pStyle w:val="3"/>
      </w:pPr>
      <w:r>
        <w:rPr>
          <w:rFonts w:hint="eastAsia"/>
        </w:rPr>
        <w:t>防灾减灾规划</w:t>
      </w:r>
    </w:p>
    <w:p>
      <w:pPr>
        <w:pStyle w:val="4"/>
        <w:spacing w:before="195" w:after="195"/>
      </w:pPr>
      <w:bookmarkStart w:id="171" w:name="_Hlk151384900"/>
      <w:r>
        <w:rPr>
          <w:rFonts w:hint="eastAsia"/>
        </w:rPr>
        <w:t>主要灾害防灾标准</w:t>
      </w:r>
    </w:p>
    <w:bookmarkEnd w:id="171"/>
    <w:p>
      <w:pPr>
        <w:pStyle w:val="5"/>
        <w:numPr>
          <w:ilvl w:val="3"/>
          <w:numId w:val="2"/>
        </w:numPr>
        <w:spacing w:before="97" w:after="97"/>
        <w:ind w:firstLine="640"/>
      </w:pPr>
      <w:r>
        <w:rPr>
          <w:rFonts w:hint="eastAsia"/>
        </w:rPr>
        <w:t>防洪标准</w:t>
      </w:r>
    </w:p>
    <w:p>
      <w:pPr>
        <w:spacing w:before="65"/>
        <w:ind w:firstLine="640"/>
      </w:pPr>
      <w:bookmarkStart w:id="172" w:name="_Hlk151385439"/>
      <w:r>
        <w:rPr>
          <w:rFonts w:hint="eastAsia"/>
          <w:u w:val="single"/>
        </w:rPr>
        <w:t>余关镇镇区防洪标准为2</w:t>
      </w:r>
      <w:r>
        <w:rPr>
          <w:u w:val="single"/>
        </w:rPr>
        <w:t>0</w:t>
      </w:r>
      <w:r>
        <w:rPr>
          <w:rFonts w:hint="eastAsia"/>
          <w:u w:val="single"/>
        </w:rPr>
        <w:t>年一遇，乡村防洪标准为1</w:t>
      </w:r>
      <w:r>
        <w:rPr>
          <w:u w:val="single"/>
        </w:rPr>
        <w:t>0</w:t>
      </w:r>
      <w:r>
        <w:rPr>
          <w:rFonts w:hint="eastAsia"/>
          <w:u w:val="single"/>
        </w:rPr>
        <w:t>年一遇。</w:t>
      </w:r>
      <w:r>
        <w:rPr>
          <w:rFonts w:hint="eastAsia"/>
        </w:rPr>
        <w:t>结合河道防护区重要程度及现状防洪能力，板桥河、代军河、庙河的防洪标准为20年一遇</w:t>
      </w:r>
      <w:r>
        <w:t>。</w:t>
      </w:r>
    </w:p>
    <w:bookmarkEnd w:id="172"/>
    <w:p>
      <w:pPr>
        <w:pStyle w:val="5"/>
        <w:numPr>
          <w:ilvl w:val="3"/>
          <w:numId w:val="2"/>
        </w:numPr>
        <w:spacing w:before="97" w:after="97"/>
        <w:ind w:firstLine="640"/>
      </w:pPr>
      <w:r>
        <w:rPr>
          <w:rFonts w:hint="eastAsia"/>
        </w:rPr>
        <w:t>排涝标准</w:t>
      </w:r>
    </w:p>
    <w:p>
      <w:pPr>
        <w:spacing w:before="65"/>
        <w:ind w:firstLine="640"/>
      </w:pPr>
      <w:bookmarkStart w:id="173" w:name="OLE_LINK3"/>
      <w:bookmarkStart w:id="174" w:name="_Hlk207296832"/>
      <w:r>
        <w:rPr>
          <w:rFonts w:hint="eastAsia"/>
        </w:rPr>
        <w:t>规划余关镇镇区内涝防治设计重现期为</w:t>
      </w:r>
      <w:r>
        <w:t>20年一遇，对超过内涝防治设计重现期的降雨，按照应急预案要求采取应急措施</w:t>
      </w:r>
      <w:bookmarkEnd w:id="173"/>
      <w:bookmarkEnd w:id="174"/>
      <w:r>
        <w:t>。</w:t>
      </w:r>
    </w:p>
    <w:p>
      <w:pPr>
        <w:pStyle w:val="5"/>
        <w:numPr>
          <w:ilvl w:val="3"/>
          <w:numId w:val="2"/>
        </w:numPr>
        <w:spacing w:before="97" w:after="97"/>
        <w:ind w:firstLine="640"/>
      </w:pPr>
      <w:r>
        <w:rPr>
          <w:rFonts w:hint="eastAsia"/>
        </w:rPr>
        <w:t>抗震规划</w:t>
      </w:r>
    </w:p>
    <w:p>
      <w:pPr>
        <w:spacing w:before="65"/>
        <w:ind w:firstLine="640"/>
      </w:pPr>
      <w:r>
        <w:rPr>
          <w:rFonts w:hint="eastAsia"/>
          <w:u w:val="single"/>
        </w:rPr>
        <w:t>余关镇镇区地震烈度为</w:t>
      </w:r>
      <w:r>
        <w:rPr>
          <w:u w:val="single"/>
        </w:rPr>
        <w:t>7度，新建、扩建、改建建设工程应按7度进行抗震设防，重要建筑和生命线工程应按8度标准加强抗震措施。</w:t>
      </w:r>
      <w:r>
        <w:t>重大建设工程、可能产生严重次生灾害的建设工程应当进行地震安全性评价，并根据安全性评价报告确定抗震设防措施。学校、医院等人员密集场所应当按照高于7度标准加强抗震措施。</w:t>
      </w:r>
    </w:p>
    <w:p>
      <w:pPr>
        <w:pStyle w:val="4"/>
        <w:spacing w:before="195" w:after="195"/>
      </w:pPr>
      <w:r>
        <w:rPr>
          <w:rFonts w:hint="eastAsia"/>
        </w:rPr>
        <w:t>构建防灾安全空间格局</w:t>
      </w:r>
    </w:p>
    <w:p>
      <w:pPr>
        <w:spacing w:before="48"/>
        <w:ind w:firstLine="640"/>
      </w:pPr>
      <w:r>
        <w:rPr>
          <w:rFonts w:hint="eastAsia"/>
        </w:rPr>
        <w:t>结合全镇主要交通干线，构建镇域救灾感应体系，与全市共同构建市-</w:t>
      </w:r>
      <w:r>
        <w:t>镇-村</w:t>
      </w:r>
      <w:r>
        <w:rPr>
          <w:rFonts w:hint="eastAsia"/>
        </w:rPr>
        <w:t>三</w:t>
      </w:r>
      <w:r>
        <w:t>级防灾设施体系。G312、</w:t>
      </w:r>
      <w:r>
        <w:rPr>
          <w:rFonts w:hint="eastAsia"/>
        </w:rPr>
        <w:t>S243、S239为全镇的快速救援通道，疏散主要道路为X011、X042，疏散次干道为Y006、Y038、Y014、Y019、Y007、Y013，规划强化救灾干道防灾性能，</w:t>
      </w:r>
      <w:r>
        <w:t>加强疏散通道沿线地区地质灾害和山洪灾害的工程治理。</w:t>
      </w:r>
    </w:p>
    <w:p>
      <w:pPr>
        <w:pStyle w:val="4"/>
        <w:spacing w:before="195" w:after="195"/>
      </w:pPr>
      <w:r>
        <w:rPr>
          <w:rFonts w:hint="eastAsia"/>
        </w:rPr>
        <w:t>重大防灾设施配置</w:t>
      </w:r>
    </w:p>
    <w:p>
      <w:pPr>
        <w:pStyle w:val="5"/>
        <w:ind w:firstLine="640"/>
      </w:pPr>
      <w:r>
        <w:t>应急指挥设施体系</w:t>
      </w:r>
    </w:p>
    <w:p>
      <w:pPr>
        <w:spacing w:before="65"/>
        <w:ind w:firstLine="640"/>
      </w:pPr>
      <w:r>
        <w:rPr>
          <w:rFonts w:hint="eastAsia"/>
        </w:rPr>
        <w:t>设置镇（乡）</w:t>
      </w:r>
      <w:r>
        <w:t>-村两级防灾应急指挥系统，镇区设置应急指挥中心1处，位于余关镇人民政府，村综合防灾应急指挥中心设在各村村委会。</w:t>
      </w:r>
    </w:p>
    <w:p>
      <w:pPr>
        <w:pStyle w:val="5"/>
        <w:ind w:firstLine="640"/>
      </w:pPr>
      <w:r>
        <w:t>应急救灾物资储备设施</w:t>
      </w:r>
    </w:p>
    <w:p>
      <w:pPr>
        <w:spacing w:before="65"/>
        <w:ind w:firstLine="640"/>
      </w:pPr>
      <w:r>
        <w:rPr>
          <w:rFonts w:hint="eastAsia"/>
        </w:rPr>
        <w:t>镇区设置救灾物资储备库，并配置装卸设备、技防设备、物资保管维护设备、交通工具（应急调度车、救灾物资转运车）与通讯调度设备等。</w:t>
      </w:r>
    </w:p>
    <w:p>
      <w:pPr>
        <w:pStyle w:val="5"/>
        <w:ind w:firstLine="640"/>
      </w:pPr>
      <w:r>
        <w:t>应急医疗</w:t>
      </w:r>
      <w:r>
        <w:rPr>
          <w:rFonts w:hint="eastAsia"/>
        </w:rPr>
        <w:t>设施</w:t>
      </w:r>
    </w:p>
    <w:p>
      <w:pPr>
        <w:spacing w:before="65"/>
        <w:ind w:firstLine="640"/>
      </w:pPr>
      <w:bookmarkStart w:id="175" w:name="_Hlk179985582"/>
      <w:r>
        <w:rPr>
          <w:rFonts w:hint="eastAsia"/>
        </w:rPr>
        <w:t>镇区依托卫生院设置乡镇级应急医疗设施，各村分别规划设置</w:t>
      </w:r>
      <w:r>
        <w:t>1处村级应急医疗设施。</w:t>
      </w:r>
      <w:bookmarkEnd w:id="175"/>
    </w:p>
    <w:p>
      <w:pPr>
        <w:pStyle w:val="5"/>
        <w:ind w:firstLine="640"/>
      </w:pPr>
      <w:r>
        <w:t>消防设施</w:t>
      </w:r>
    </w:p>
    <w:p>
      <w:pPr>
        <w:spacing w:before="65"/>
        <w:ind w:firstLine="640"/>
      </w:pPr>
      <w:bookmarkStart w:id="176" w:name="_Hlk209015632"/>
      <w:r>
        <w:rPr>
          <w:rFonts w:hint="eastAsia"/>
        </w:rPr>
        <w:t>在镇区设置</w:t>
      </w:r>
      <w:r>
        <w:t>1处二级</w:t>
      </w:r>
      <w:r>
        <w:rPr>
          <w:rFonts w:hint="eastAsia"/>
        </w:rPr>
        <w:t>乡镇专职消防队</w:t>
      </w:r>
      <w:r>
        <w:t>，按二级</w:t>
      </w:r>
      <w:r>
        <w:rPr>
          <w:rFonts w:hint="eastAsia"/>
        </w:rPr>
        <w:t>乡镇专职消防队</w:t>
      </w:r>
      <w:r>
        <w:t>要求配各人员及相关设施，服从内乡县消防系统的指挥和调遣</w:t>
      </w:r>
      <w:bookmarkEnd w:id="176"/>
      <w:r>
        <w:t>。</w:t>
      </w:r>
    </w:p>
    <w:p>
      <w:pPr>
        <w:spacing w:before="65"/>
        <w:ind w:firstLine="640"/>
      </w:pPr>
      <w:bookmarkStart w:id="177" w:name="_Hlk209015603"/>
      <w:bookmarkStart w:id="178" w:name="_Hlk209624555"/>
      <w:r>
        <w:rPr>
          <w:rFonts w:hint="eastAsia"/>
        </w:rPr>
        <w:t>在各行政村配建乡村志愿消防队，配备消防设施做到防消结合，定期开展消防演习，切实保证人民群众的生命财产安全不受损害</w:t>
      </w:r>
      <w:bookmarkEnd w:id="177"/>
      <w:r>
        <w:rPr>
          <w:rFonts w:hint="eastAsia"/>
        </w:rPr>
        <w:t>。</w:t>
      </w:r>
    </w:p>
    <w:bookmarkEnd w:id="178"/>
    <w:p>
      <w:pPr>
        <w:pStyle w:val="4"/>
        <w:spacing w:before="195" w:after="195"/>
      </w:pPr>
      <w:r>
        <w:rPr>
          <w:rFonts w:hint="eastAsia"/>
        </w:rPr>
        <w:t>防治措施</w:t>
      </w:r>
    </w:p>
    <w:p>
      <w:pPr>
        <w:pStyle w:val="5"/>
        <w:ind w:firstLine="640"/>
      </w:pPr>
      <w:r>
        <w:rPr>
          <w:rFonts w:hint="eastAsia"/>
        </w:rPr>
        <w:t>防洪排涝规划措施</w:t>
      </w:r>
    </w:p>
    <w:p>
      <w:pPr>
        <w:spacing w:before="65"/>
        <w:ind w:firstLine="640"/>
      </w:pPr>
      <w:r>
        <w:rPr>
          <w:rFonts w:hint="eastAsia"/>
        </w:rPr>
        <w:t>防洪措施：疏浚板桥河、代军河、庙河等行洪河道，提高河道堤防标准，加强河道绿化防护带建设；沿山体设置截洪沟，截洪沟及冲沟应按规划有计划、有步骤地进行治理；建立洪水预警预报系统，防洪决策支持系统，制定超标洪水应急措施。</w:t>
      </w:r>
    </w:p>
    <w:p>
      <w:pPr>
        <w:spacing w:before="65"/>
        <w:ind w:firstLine="640"/>
      </w:pPr>
      <w:r>
        <w:rPr>
          <w:rFonts w:hint="eastAsia"/>
        </w:rPr>
        <w:t>防涝措施：完善镇区雨水管网及排涝设施建设，采取改造原排水河道、改造旧排水管网、增建新管网、实施雨污分流以及污水集中处理和回用等措施；利用公园绿地、低洼地区及周边农田建设调蓄空间。</w:t>
      </w:r>
    </w:p>
    <w:p>
      <w:pPr>
        <w:pStyle w:val="5"/>
        <w:ind w:firstLine="640"/>
      </w:pPr>
      <w:r>
        <w:t>抗震灾害防治</w:t>
      </w:r>
    </w:p>
    <w:p>
      <w:pPr>
        <w:spacing w:before="65"/>
        <w:ind w:firstLine="640"/>
      </w:pPr>
      <w:r>
        <w:rPr>
          <w:rFonts w:hint="eastAsia"/>
        </w:rPr>
        <w:t>（1）</w:t>
      </w:r>
      <w:r>
        <w:t>避震疏散场地</w:t>
      </w:r>
    </w:p>
    <w:p>
      <w:pPr>
        <w:spacing w:before="65"/>
        <w:ind w:firstLine="640"/>
      </w:pPr>
      <w:r>
        <w:rPr>
          <w:rFonts w:hint="eastAsia"/>
        </w:rPr>
        <w:t>利用公园、绿地、广场、体育场、停车场、学校操场等开敞空间设置人员避震疏散场地，固定避难场所人均有效避难面积不小于</w:t>
      </w:r>
      <w:r>
        <w:t>2.0平方米。</w:t>
      </w:r>
    </w:p>
    <w:p>
      <w:pPr>
        <w:spacing w:before="65"/>
        <w:ind w:firstLine="640"/>
      </w:pPr>
      <w:r>
        <w:rPr>
          <w:rFonts w:hint="eastAsia"/>
        </w:rPr>
        <w:t>（2）</w:t>
      </w:r>
      <w:r>
        <w:t>疏散救援通道</w:t>
      </w:r>
    </w:p>
    <w:p>
      <w:pPr>
        <w:spacing w:before="65"/>
        <w:ind w:firstLine="640"/>
      </w:pPr>
      <w:r>
        <w:rPr>
          <w:rFonts w:hint="eastAsia"/>
        </w:rPr>
        <w:t>以高速公路、国道、省道、县道作为一级疏散通道，保证震后有效宽度不小于</w:t>
      </w:r>
      <w:r>
        <w:t>15米；规划主干路作为二级疏散通道，保证震后有效宽度不小于7米；规划次干路作为三级疏散通道，保证震后有效宽度不小于4米。应严格控制抗震救灾疏散通道两侧的建筑高度及建筑后退红线距离。</w:t>
      </w:r>
    </w:p>
    <w:p>
      <w:pPr>
        <w:spacing w:before="65"/>
        <w:ind w:firstLine="640"/>
      </w:pPr>
      <w:r>
        <w:rPr>
          <w:rFonts w:hint="eastAsia"/>
        </w:rPr>
        <w:t>（3）</w:t>
      </w:r>
      <w:r>
        <w:t>抗震生命线系统</w:t>
      </w:r>
    </w:p>
    <w:p>
      <w:pPr>
        <w:spacing w:before="65"/>
        <w:ind w:firstLine="640"/>
      </w:pPr>
      <w:r>
        <w:rPr>
          <w:rFonts w:hint="eastAsia"/>
        </w:rPr>
        <w:t>城市生命线系统规划提高一度按</w:t>
      </w:r>
      <w:r>
        <w:t>8度标准设防，并采取设施地下化、对节点进行防灾处理及提高备用率等防灾措施，同时各生命线系统都要建立应急抢险队伍，提高生命线系统工程的防灾能力。</w:t>
      </w:r>
    </w:p>
    <w:p>
      <w:pPr>
        <w:pStyle w:val="5"/>
        <w:ind w:firstLine="640"/>
      </w:pPr>
      <w:r>
        <w:t>地质灾害防治规划</w:t>
      </w:r>
    </w:p>
    <w:p>
      <w:pPr>
        <w:spacing w:before="65"/>
        <w:ind w:firstLine="640"/>
      </w:pPr>
      <w:r>
        <w:rPr>
          <w:rFonts w:hint="eastAsia"/>
        </w:rPr>
        <w:t>（1）</w:t>
      </w:r>
      <w:r>
        <w:t>监测预警</w:t>
      </w:r>
    </w:p>
    <w:p>
      <w:pPr>
        <w:spacing w:before="65"/>
        <w:ind w:firstLine="640"/>
      </w:pPr>
      <w:r>
        <w:rPr>
          <w:rFonts w:hint="eastAsia"/>
        </w:rPr>
        <w:t>建设地质灾害监测预警体系，建立地质灾害群测群防预警网络及重点地区地质灾害隐患点的专业监测预报网络，建设全镇地质灾害空间数据库及信息系统。</w:t>
      </w:r>
    </w:p>
    <w:p>
      <w:pPr>
        <w:spacing w:before="65"/>
        <w:ind w:firstLine="640"/>
      </w:pPr>
      <w:r>
        <w:rPr>
          <w:rFonts w:hint="eastAsia"/>
        </w:rPr>
        <w:t>（2）</w:t>
      </w:r>
      <w:r>
        <w:t>工程治理</w:t>
      </w:r>
    </w:p>
    <w:p>
      <w:pPr>
        <w:spacing w:before="65"/>
        <w:ind w:firstLine="640"/>
      </w:pPr>
      <w:r>
        <w:rPr>
          <w:rFonts w:hint="eastAsia"/>
        </w:rPr>
        <w:t>对危害公共安全、可能造成人员群死群伤和较大财产损失的、避让搬迁选址困难但易于工程治理的地质灾害隐患点，依据轻重缓急，有计划地分期、分批实施地质灾害治理工程。对于山洪易发地区，加强水土流失治理，极大限度减少泥石流灾害的发生。</w:t>
      </w:r>
    </w:p>
    <w:p>
      <w:pPr>
        <w:spacing w:before="65"/>
        <w:ind w:firstLine="640"/>
      </w:pPr>
      <w:r>
        <w:rPr>
          <w:rFonts w:hint="eastAsia"/>
        </w:rPr>
        <w:t>（3）</w:t>
      </w:r>
      <w:r>
        <w:t>避让搬迁</w:t>
      </w:r>
    </w:p>
    <w:p>
      <w:pPr>
        <w:spacing w:before="65"/>
        <w:ind w:firstLine="640"/>
      </w:pPr>
      <w:r>
        <w:rPr>
          <w:rFonts w:hint="eastAsia"/>
        </w:rPr>
        <w:t>对突发地质灾害高风险区内的居民，主动采取搬迁措施，避让地质灾害。</w:t>
      </w:r>
    </w:p>
    <w:p>
      <w:pPr>
        <w:spacing w:before="65"/>
        <w:ind w:firstLine="640"/>
      </w:pPr>
      <w:r>
        <w:rPr>
          <w:rFonts w:hint="eastAsia"/>
        </w:rPr>
        <w:t>（4）</w:t>
      </w:r>
      <w:r>
        <w:t>宣传培训</w:t>
      </w:r>
    </w:p>
    <w:p>
      <w:pPr>
        <w:spacing w:before="65"/>
        <w:ind w:firstLine="640"/>
      </w:pPr>
      <w:r>
        <w:rPr>
          <w:rFonts w:hint="eastAsia"/>
        </w:rPr>
        <w:t>对各村组级开展群测群防知识培训；每年对全镇地质灾害管理及技术人员进行年度地质灾害防治知识培训。</w:t>
      </w:r>
    </w:p>
    <w:p>
      <w:pPr>
        <w:pStyle w:val="5"/>
        <w:ind w:firstLine="640"/>
      </w:pPr>
      <w:r>
        <w:t>突发公共卫生事件防御规划</w:t>
      </w:r>
    </w:p>
    <w:p>
      <w:pPr>
        <w:spacing w:before="65"/>
        <w:ind w:firstLine="640"/>
      </w:pPr>
      <w:r>
        <w:rPr>
          <w:rFonts w:hint="eastAsia"/>
        </w:rPr>
        <w:t>结合内乡县医疗卫生机构，构建突发公共卫生事件日常监测体系，以处理各类突发公共卫生事件信息分析。与内乡县共同构建县</w:t>
      </w:r>
      <w:r>
        <w:t>-镇-村三级公共卫生事件疫情预警与指挥体系，依托药店、车站、学校、社区、机关企事业单位等设施作为公共卫生事件的监测哨点，全面提升疫情监测预警能力。</w:t>
      </w:r>
    </w:p>
    <w:p>
      <w:pPr>
        <w:pStyle w:val="5"/>
        <w:ind w:firstLine="640"/>
      </w:pPr>
      <w:r>
        <w:t>气象灾害防御规划</w:t>
      </w:r>
    </w:p>
    <w:p>
      <w:pPr>
        <w:spacing w:before="65"/>
        <w:ind w:firstLine="640"/>
      </w:pPr>
      <w:r>
        <w:t>加强气象灾害预警应急体系建设。加快现场气象应急保障系统建设，提高应急处置的能力和效率。</w:t>
      </w:r>
    </w:p>
    <w:p>
      <w:pPr>
        <w:pStyle w:val="5"/>
        <w:ind w:firstLine="640"/>
      </w:pPr>
      <w:r>
        <w:t>消防规划</w:t>
      </w:r>
    </w:p>
    <w:p>
      <w:pPr>
        <w:spacing w:before="65"/>
        <w:ind w:firstLine="640"/>
      </w:pPr>
      <w:r>
        <w:rPr>
          <w:rFonts w:hint="eastAsia"/>
        </w:rPr>
        <w:t>提高消防站建筑物的抗灾能力；在重点保护目标内部或者附近设置消防水池或者取水平台；增强消防供水泵站、消防供水管道、消火栓等消防设施的抗震性能；设置应急疏散道路时应充分考虑消防救灾同行的需求。</w:t>
      </w:r>
    </w:p>
    <w:p>
      <w:pPr>
        <w:spacing w:before="65"/>
        <w:ind w:firstLine="640"/>
      </w:pPr>
      <w:r>
        <w:br w:type="page"/>
      </w:r>
    </w:p>
    <w:p>
      <w:pPr>
        <w:spacing w:before="65"/>
        <w:ind w:firstLine="640"/>
      </w:pPr>
    </w:p>
    <w:p>
      <w:pPr>
        <w:pStyle w:val="2"/>
        <w:spacing w:before="489" w:after="489"/>
      </w:pPr>
      <w:bookmarkStart w:id="179" w:name="_Toc207114521"/>
      <w:bookmarkStart w:id="180" w:name="_Hlk142923403"/>
      <w:r>
        <w:t>历史文化与景观风貌</w:t>
      </w:r>
      <w:bookmarkEnd w:id="179"/>
    </w:p>
    <w:bookmarkEnd w:id="180"/>
    <w:p>
      <w:pPr>
        <w:pStyle w:val="3"/>
      </w:pPr>
      <w:bookmarkStart w:id="181" w:name="_Hlk142923409"/>
      <w:r>
        <w:rPr>
          <w:rFonts w:hint="eastAsia"/>
        </w:rPr>
        <w:t>历史文化保护传承</w:t>
      </w:r>
    </w:p>
    <w:bookmarkEnd w:id="181"/>
    <w:p>
      <w:pPr>
        <w:pStyle w:val="4"/>
        <w:spacing w:before="195" w:after="195"/>
      </w:pPr>
      <w:bookmarkStart w:id="182" w:name="_Hlk142923435"/>
      <w:r>
        <w:rPr>
          <w:rFonts w:hint="eastAsia"/>
        </w:rPr>
        <w:t>镇域历史文化遗存</w:t>
      </w:r>
    </w:p>
    <w:bookmarkEnd w:id="182"/>
    <w:p>
      <w:pPr>
        <w:spacing w:before="65" w:after="120"/>
        <w:ind w:firstLine="640"/>
      </w:pPr>
      <w:r>
        <w:rPr>
          <w:rFonts w:hint="eastAsia"/>
          <w:u w:val="single"/>
        </w:rPr>
        <w:t>镇域内现存不可移动文物47处，其中1处县级文物保护单位、46处未定级文物；非物质文化遗产包括县级非物质文化遗产麦子山的传说、庙会和民间习俗等</w:t>
      </w:r>
      <w:r>
        <w:rPr>
          <w:rFonts w:hint="eastAsia"/>
        </w:rPr>
        <w:t>。</w:t>
      </w:r>
    </w:p>
    <w:p>
      <w:pPr>
        <w:pStyle w:val="4"/>
        <w:spacing w:before="195" w:after="195"/>
      </w:pPr>
      <w:bookmarkStart w:id="183" w:name="_Hlk142923456"/>
      <w:r>
        <w:rPr>
          <w:rFonts w:hint="eastAsia"/>
        </w:rPr>
        <w:t>镇域历史文化保护规划</w:t>
      </w:r>
    </w:p>
    <w:bookmarkEnd w:id="183"/>
    <w:p>
      <w:pPr>
        <w:spacing w:before="65"/>
        <w:ind w:firstLine="640"/>
        <w:rPr>
          <w:rFonts w:hAnsi="Times New Roman"/>
          <w:u w:val="single"/>
          <w:lang w:bidi="ar"/>
        </w:rPr>
      </w:pPr>
      <w:r>
        <w:rPr>
          <w:rFonts w:hint="eastAsia" w:hAnsi="Times New Roman"/>
          <w:u w:val="single"/>
          <w:lang w:bidi="ar"/>
        </w:rPr>
        <w:t>文物保护单位的保护范围和建设控制地带应以县级以上人民政府公布的具体界线为基本依据。</w:t>
      </w:r>
      <w:bookmarkStart w:id="184" w:name="_Hlk206682269"/>
      <w:r>
        <w:rPr>
          <w:rFonts w:hint="eastAsia" w:hAnsi="Times New Roman"/>
          <w:u w:val="single"/>
          <w:lang w:bidi="ar"/>
        </w:rPr>
        <w:t>余关镇历史文化保护线结合镇域历史文化遗产保护范围和建设控制地带的划定情况，及时落实动态补划，纳入国土空间规划“一张图”进行管控。</w:t>
      </w:r>
      <w:bookmarkEnd w:id="184"/>
    </w:p>
    <w:p>
      <w:pPr>
        <w:spacing w:before="65"/>
        <w:ind w:firstLine="640"/>
        <w:rPr>
          <w:rFonts w:hAnsi="Times New Roman"/>
          <w:u w:val="single"/>
          <w:lang w:bidi="ar"/>
        </w:rPr>
      </w:pPr>
      <w:r>
        <w:rPr>
          <w:rFonts w:hint="eastAsia" w:hAnsi="Times New Roman"/>
          <w:u w:val="single"/>
          <w:lang w:bidi="ar"/>
        </w:rPr>
        <w:t>在文物保护单位的保护范围和建设控制地带内，不得建设污染文物保护单位及其环境的设施，不得进行可能影响文物保护单位安全及其环境的活动。对已有的污染文物保护单位及其环境的设施，应当限期治理。</w:t>
      </w:r>
    </w:p>
    <w:p>
      <w:pPr>
        <w:spacing w:before="65"/>
        <w:ind w:firstLine="640"/>
      </w:pPr>
      <w:r>
        <w:rPr>
          <w:rFonts w:hint="eastAsia" w:hAnsi="Times New Roman"/>
          <w:u w:val="single"/>
          <w:lang w:bidi="ar"/>
        </w:rPr>
        <w:t>各级文物保护单位应严格按照《中华人民共和国文物保护法》的有关规定，以及文物主管部门公布的保护范围和建设控制地带严格保护</w:t>
      </w:r>
      <w:r>
        <w:rPr>
          <w:rFonts w:hint="eastAsia"/>
        </w:rPr>
        <w:t>。</w:t>
      </w:r>
    </w:p>
    <w:p>
      <w:pPr>
        <w:pStyle w:val="4"/>
        <w:spacing w:before="195" w:after="195"/>
      </w:pPr>
      <w:bookmarkStart w:id="185" w:name="_Hlk142923462"/>
      <w:r>
        <w:rPr>
          <w:rFonts w:hint="eastAsia"/>
        </w:rPr>
        <w:t>历史文化传承与活化利用</w:t>
      </w:r>
    </w:p>
    <w:bookmarkEnd w:id="185"/>
    <w:p>
      <w:pPr>
        <w:spacing w:before="65"/>
        <w:ind w:firstLine="640"/>
      </w:pPr>
      <w:r>
        <w:rPr>
          <w:rFonts w:hint="eastAsia"/>
        </w:rPr>
        <w:t>以麦子山为引领，以麦子山传说为特色，以现代生态田园为基地，推进文旅产业融合发展，建设成为内乡县衙至宝天曼生态文化旅游区旅游带上的重要节点，助力内乡县打造为文旅名县。</w:t>
      </w:r>
    </w:p>
    <w:p>
      <w:pPr>
        <w:spacing w:before="65"/>
        <w:ind w:firstLine="640"/>
      </w:pPr>
      <w:r>
        <w:rPr>
          <w:rFonts w:hint="eastAsia"/>
        </w:rPr>
        <w:t>历史遗迹点集中分布的村庄如谢寨村、报事滩村等特色村，深度挖掘历史文化资源。大力发展幸存旅游民宿、休闲、体验等特色产业，打造特色乡村旅游线路。活化利用非物质文化遗产，推动文化旅游发展。</w:t>
      </w:r>
    </w:p>
    <w:p>
      <w:pPr>
        <w:spacing w:before="65"/>
        <w:ind w:firstLine="640"/>
      </w:pPr>
      <w:r>
        <w:rPr>
          <w:rFonts w:hint="eastAsia"/>
        </w:rPr>
        <w:t>加大历史文化资源的挖掘保护弘扬力度，保护麦子山石寨遗址分布区域，保护不可移动文物本体及其所处的环境，根据文化旅游的需要，加强不可移动文物景观环境的塑造，提升历史文化及景观资源的综合价值。缝合文化资源碎片空间，建构文化展示体系，塑造富有魅力的文化空间节点</w:t>
      </w:r>
      <w:r>
        <w:t>。</w:t>
      </w:r>
    </w:p>
    <w:p>
      <w:pPr>
        <w:pStyle w:val="3"/>
      </w:pPr>
      <w:bookmarkStart w:id="186" w:name="_Hlk142923416"/>
      <w:r>
        <w:rPr>
          <w:rFonts w:hint="eastAsia"/>
        </w:rPr>
        <w:t>乡村景观风貌管控</w:t>
      </w:r>
    </w:p>
    <w:bookmarkEnd w:id="186"/>
    <w:p>
      <w:pPr>
        <w:pStyle w:val="4"/>
        <w:spacing w:before="195" w:after="195"/>
      </w:pPr>
      <w:bookmarkStart w:id="187" w:name="_Hlk142923561"/>
      <w:r>
        <w:rPr>
          <w:rFonts w:hint="eastAsia"/>
        </w:rPr>
        <w:t>乡村风貌总体定位</w:t>
      </w:r>
    </w:p>
    <w:bookmarkEnd w:id="187"/>
    <w:p>
      <w:pPr>
        <w:spacing w:before="65" w:after="120"/>
        <w:ind w:firstLine="640"/>
      </w:pPr>
      <w:r>
        <w:rPr>
          <w:rFonts w:hint="eastAsia"/>
        </w:rPr>
        <w:t>依据余关镇整体地形地势及发展现状，将余关镇乡村风貌定位为：豫西南浅山丘陵田园小镇风貌。提升乡村地区的时代特征和乡村气息，注重村庄布局和山水景观、农田景观的协调，避免破坏乡村原有的形态格局，充分体现乡村风光。</w:t>
      </w:r>
    </w:p>
    <w:p>
      <w:pPr>
        <w:pStyle w:val="4"/>
        <w:spacing w:before="195" w:after="195"/>
      </w:pPr>
      <w:bookmarkStart w:id="188" w:name="_Hlk142923566"/>
      <w:r>
        <w:rPr>
          <w:rFonts w:hint="eastAsia"/>
        </w:rPr>
        <w:t>乡村风貌总体框架</w:t>
      </w:r>
    </w:p>
    <w:bookmarkEnd w:id="188"/>
    <w:p>
      <w:pPr>
        <w:spacing w:before="65"/>
        <w:ind w:firstLine="640"/>
      </w:pPr>
      <w:r>
        <w:rPr>
          <w:rFonts w:hint="eastAsia"/>
        </w:rPr>
        <w:t>依托余关镇本底自然生态环境，结合文化景观资源，构建“四轴三带四核三心多点一面山”的全域景观风貌系统。</w:t>
      </w:r>
    </w:p>
    <w:p>
      <w:pPr>
        <w:spacing w:before="65"/>
        <w:ind w:firstLine="640"/>
      </w:pPr>
      <w:r>
        <w:rPr>
          <w:rFonts w:hint="eastAsia"/>
        </w:rPr>
        <w:t>四轴：沿S243形成的南北向乡村景观风貌轴，沿S329、X011、Y007形成的东西向乡村景观风貌轴。</w:t>
      </w:r>
    </w:p>
    <w:p>
      <w:pPr>
        <w:spacing w:before="65"/>
        <w:ind w:firstLine="640"/>
      </w:pPr>
      <w:r>
        <w:rPr>
          <w:rFonts w:hint="eastAsia"/>
        </w:rPr>
        <w:t>三带：代军河、余关庙河、板桥河景观带。</w:t>
      </w:r>
    </w:p>
    <w:p>
      <w:pPr>
        <w:spacing w:before="65"/>
        <w:ind w:firstLine="640"/>
      </w:pPr>
      <w:r>
        <w:rPr>
          <w:rFonts w:hint="eastAsia"/>
        </w:rPr>
        <w:t>四核：景观核心，分别为余关镇区、王沟村、报事滩村、大桦岭村。</w:t>
      </w:r>
    </w:p>
    <w:p>
      <w:pPr>
        <w:spacing w:before="65"/>
        <w:ind w:firstLine="640"/>
      </w:pPr>
      <w:r>
        <w:rPr>
          <w:rFonts w:hint="eastAsia"/>
        </w:rPr>
        <w:t>三心：代军河水库、王庄水库、杨洼水库生态节点。</w:t>
      </w:r>
    </w:p>
    <w:p>
      <w:pPr>
        <w:spacing w:before="65"/>
        <w:ind w:firstLine="640"/>
      </w:pPr>
      <w:r>
        <w:rPr>
          <w:rFonts w:hint="eastAsia"/>
        </w:rPr>
        <w:t>多点：各村庄景观节点。</w:t>
      </w:r>
    </w:p>
    <w:p>
      <w:pPr>
        <w:spacing w:before="65"/>
        <w:ind w:firstLine="640"/>
      </w:pPr>
      <w:r>
        <w:rPr>
          <w:rFonts w:hint="eastAsia"/>
        </w:rPr>
        <w:t>一面山：沿麦子山形成的山体景观风貌带。</w:t>
      </w:r>
    </w:p>
    <w:p>
      <w:pPr>
        <w:pStyle w:val="4"/>
        <w:spacing w:before="195" w:after="195"/>
      </w:pPr>
      <w:bookmarkStart w:id="189" w:name="_Hlk142923571"/>
      <w:r>
        <w:rPr>
          <w:rFonts w:hint="eastAsia"/>
        </w:rPr>
        <w:t>乡村风貌分区引导</w:t>
      </w:r>
    </w:p>
    <w:p>
      <w:pPr>
        <w:spacing w:before="65"/>
        <w:ind w:firstLine="640"/>
      </w:pPr>
      <w:r>
        <w:rPr>
          <w:rFonts w:hint="eastAsia"/>
        </w:rPr>
        <w:t>依据地貌特征、社会经济发展状况，将余关镇划分为麦子山水风貌区、田园小镇风貌区、农田景观风貌区三大类。</w:t>
      </w:r>
    </w:p>
    <w:p>
      <w:pPr>
        <w:spacing w:before="65"/>
        <w:ind w:firstLine="640"/>
      </w:pPr>
      <w:r>
        <w:rPr>
          <w:rFonts w:hint="eastAsia"/>
        </w:rPr>
        <w:t>麦子山水风貌区主要为麦子山前村庄，包括梁坪村、报事滩村、麦西村、石庙村、麦山村、东王庄村；该区域延续山水格局和乡村田园风貌，在空间尺度和建筑风貌等体现地方特色。鼓励种植体现本土特色的植物，凸显田园特色风貌，村庄建筑采用本土民居建筑风格，控制建筑高度，强化建筑色彩与建筑材质的管控，彰显特色乡韵。</w:t>
      </w:r>
    </w:p>
    <w:p>
      <w:pPr>
        <w:spacing w:before="65"/>
        <w:ind w:firstLine="640"/>
      </w:pPr>
      <w:r>
        <w:rPr>
          <w:rFonts w:hint="eastAsia"/>
        </w:rPr>
        <w:t>田园小镇风貌区主要为余关镇镇区；加强镇区与内乡县城及周围镇区的联系，强化公共设施的便利性与公共空间的舒适性，居住建筑和公共设施在建筑风格上为现代风格，体现现代功能属性，展现宜居宜业的活力镇区风貌。</w:t>
      </w:r>
    </w:p>
    <w:p>
      <w:pPr>
        <w:spacing w:before="65"/>
        <w:ind w:firstLine="640"/>
      </w:pPr>
      <w:r>
        <w:rPr>
          <w:rFonts w:hint="eastAsia"/>
        </w:rPr>
        <w:t>农田景观风貌区主要为中部及南部丘陵地区村庄，包括独树村、子育村、黄楝村、岳沟村、朱沟村、孙沟村、东孙沟村、李沟村、谢寨村、王沟村、大桦岭村；该区域主要体现田园风光，注重农田景观的连续性和大地景观的营造，凸显田乡风貌。</w:t>
      </w:r>
    </w:p>
    <w:bookmarkEnd w:id="189"/>
    <w:p>
      <w:pPr>
        <w:pStyle w:val="4"/>
        <w:spacing w:before="195" w:after="195"/>
      </w:pPr>
      <w:r>
        <w:rPr>
          <w:rFonts w:hint="eastAsia"/>
        </w:rPr>
        <w:t>乡村特色风貌引导</w:t>
      </w:r>
    </w:p>
    <w:p>
      <w:pPr>
        <w:pStyle w:val="5"/>
        <w:ind w:firstLine="640"/>
      </w:pPr>
      <w:r>
        <w:t>生态环境要素管控</w:t>
      </w:r>
    </w:p>
    <w:p>
      <w:pPr>
        <w:spacing w:before="65"/>
        <w:ind w:firstLine="640"/>
      </w:pPr>
      <w:r>
        <w:rPr>
          <w:rFonts w:hint="eastAsia"/>
        </w:rPr>
        <w:t>整体地域特征为浅山丘陵，地形高低起伏，农田、林地景观资源丰富，有板桥河、代军河。庙河等流经，村庄居民点呈现“大分散小集聚”的布局形态，居民点建设与自然环境关系紧密。</w:t>
      </w:r>
    </w:p>
    <w:p>
      <w:pPr>
        <w:spacing w:before="65"/>
        <w:ind w:firstLine="640"/>
      </w:pPr>
      <w:r>
        <w:rPr>
          <w:rFonts w:hint="eastAsia"/>
        </w:rPr>
        <w:t>总体建设遵循“顺应肌理、协调自然、景村一体、和谐共融”方式。禁止在村庄建设中破坏山体、水体、肆意侵占永久基本农田等行为，居民点建设应顺应自然环境进行布局，采用“宜聚则聚、宜散则散”的方式进行建设。</w:t>
      </w:r>
      <w:r>
        <w:t xml:space="preserve"> </w:t>
      </w:r>
    </w:p>
    <w:p>
      <w:pPr>
        <w:pStyle w:val="5"/>
        <w:ind w:firstLine="640"/>
      </w:pPr>
      <w:r>
        <w:t>村庄公共空间风貌引导</w:t>
      </w:r>
    </w:p>
    <w:p>
      <w:pPr>
        <w:spacing w:before="65"/>
        <w:ind w:firstLine="640"/>
      </w:pPr>
      <w:r>
        <w:rPr>
          <w:rFonts w:hint="eastAsia"/>
        </w:rPr>
        <w:t>采用增加村民健身设施、休息座椅、廊架、植物造景等方式，强化公共活动场地的功能复合性，并增加公共空间绿化。</w:t>
      </w:r>
    </w:p>
    <w:p>
      <w:pPr>
        <w:spacing w:before="65"/>
        <w:ind w:firstLine="640"/>
      </w:pPr>
      <w:r>
        <w:rPr>
          <w:rFonts w:hint="eastAsia"/>
        </w:rPr>
        <w:t>村庄广场可结合村庄空置地整理，增加公共活动空间，配备相应的休憩、娱乐设施，采用当地植物进行绿化美化。村庄道路两侧可采用灌木、乔木相结合的方式，种植本土树木花卉，形成乡土气息浓厚的路边绿化景观。</w:t>
      </w:r>
    </w:p>
    <w:p>
      <w:pPr>
        <w:pStyle w:val="5"/>
        <w:ind w:firstLine="640"/>
      </w:pPr>
      <w:r>
        <w:t>村庄公用设施风貌引导</w:t>
      </w:r>
    </w:p>
    <w:p>
      <w:pPr>
        <w:spacing w:before="65"/>
        <w:ind w:firstLine="640"/>
      </w:pPr>
      <w:r>
        <w:rPr>
          <w:rFonts w:hint="eastAsia" w:ascii="仿宋_GB2312" w:hAnsi="仿宋_GB2312" w:cs="仿宋_GB2312"/>
          <w:bCs/>
          <w:szCs w:val="32"/>
        </w:rPr>
        <w:t>以“整洁有序、原生乡土、舒适适宜、经济实用”的方</w:t>
      </w:r>
      <w:r>
        <w:rPr>
          <w:rFonts w:hint="eastAsia"/>
        </w:rPr>
        <w:t>式进行建设，与当地建筑风貌相协调，尽可能实用当地建筑材料。</w:t>
      </w:r>
    </w:p>
    <w:p>
      <w:pPr>
        <w:spacing w:before="65"/>
        <w:ind w:firstLine="640"/>
      </w:pPr>
      <w:r>
        <w:rPr>
          <w:rFonts w:hint="eastAsia"/>
        </w:rPr>
        <w:t>推进垃圾分类和资源化利用。积极开展农村生活垃圾分类试点，推进垃圾减量化、收集分类化和处理资源化。合理选择改厕模式，推进厕所革命。按照群众接受、经济适用、维护方便、不污染公共水体的要求，引导老村改建民宿配套建设无害化卫生厕所，人口规模较大村庄配套建设公共厕所。加强改厕与农村生活污水治理的有效衔接。分类推进农村生活污水治理，居住分散的老村选择建设小型人工湿地、氧化塘、无（微）动力等污水处理设施。创造层次分明的标识系统，提供明确的信息导向。</w:t>
      </w:r>
    </w:p>
    <w:p>
      <w:pPr>
        <w:pStyle w:val="5"/>
        <w:ind w:firstLine="640"/>
      </w:pPr>
      <w:r>
        <w:t>村庄民居建筑风貌引导</w:t>
      </w:r>
    </w:p>
    <w:p>
      <w:pPr>
        <w:spacing w:before="65"/>
        <w:ind w:firstLine="640"/>
      </w:pPr>
      <w:r>
        <w:rPr>
          <w:rFonts w:hint="eastAsia"/>
        </w:rPr>
        <w:t>结合村民房屋改造，拆除违章建筑，对沿路建筑立面进行修整，既保持统一协调的立面效果，又注重体现乡土特征、地域特色和传统风貌。</w:t>
      </w:r>
    </w:p>
    <w:p>
      <w:pPr>
        <w:spacing w:before="65"/>
        <w:ind w:firstLine="640"/>
      </w:pPr>
      <w:r>
        <w:rPr>
          <w:rFonts w:hint="eastAsia"/>
        </w:rPr>
        <w:t>建筑形式主要采用“悬山坡顶</w:t>
      </w:r>
      <w:r>
        <w:t>+合院”；建筑以背景色为主体色调，部分建筑构件可以选用少量点缀色</w:t>
      </w:r>
      <w:r>
        <w:rPr>
          <w:rFonts w:hint="eastAsia"/>
        </w:rPr>
        <w:t>；</w:t>
      </w:r>
      <w:r>
        <w:t>建筑材质优选土、木、砖、瓦、石等传统乡土材料、废弃再利用材料；居住建筑立面风格延续传统建筑形式，适当融入现代建筑元素，塑造独具地域特色的建筑文化景观。建筑单体外立面及屋顶附加装饰物、构筑物，包括招牌、灯箱、建筑节能装备等的外形、尺度、色彩、位置应当与主体建筑的规划设计协调统一。</w:t>
      </w:r>
      <w:r>
        <w:rPr>
          <w:rFonts w:hint="eastAsia"/>
        </w:rPr>
        <w:t>山前村庄应随山应势，注重村庄形态与山体地形的协调。</w:t>
      </w:r>
    </w:p>
    <w:p>
      <w:pPr>
        <w:spacing w:before="65"/>
        <w:ind w:firstLine="640"/>
      </w:pPr>
      <w:r>
        <w:br w:type="page"/>
      </w:r>
    </w:p>
    <w:p>
      <w:pPr>
        <w:spacing w:before="65"/>
        <w:ind w:firstLine="640"/>
      </w:pPr>
      <w:bookmarkStart w:id="190" w:name="_Hlk150184672"/>
    </w:p>
    <w:bookmarkEnd w:id="152"/>
    <w:bookmarkEnd w:id="153"/>
    <w:bookmarkEnd w:id="190"/>
    <w:p>
      <w:pPr>
        <w:pStyle w:val="2"/>
        <w:spacing w:before="489" w:after="489"/>
      </w:pPr>
      <w:bookmarkStart w:id="191" w:name="_Toc122362359"/>
      <w:bookmarkEnd w:id="191"/>
      <w:bookmarkStart w:id="192" w:name="_Toc122364769"/>
      <w:bookmarkEnd w:id="192"/>
      <w:bookmarkStart w:id="193" w:name="_Toc23050"/>
      <w:bookmarkEnd w:id="193"/>
      <w:bookmarkStart w:id="194" w:name="_Toc207114522"/>
      <w:r>
        <w:rPr>
          <w:rFonts w:hint="eastAsia"/>
        </w:rPr>
        <w:t>乡镇政府驻地规划</w:t>
      </w:r>
      <w:bookmarkEnd w:id="194"/>
    </w:p>
    <w:p>
      <w:pPr>
        <w:pStyle w:val="3"/>
      </w:pPr>
      <w:r>
        <w:rPr>
          <w:rFonts w:hint="eastAsia"/>
        </w:rPr>
        <w:t>发展规模</w:t>
      </w:r>
    </w:p>
    <w:p>
      <w:pPr>
        <w:pStyle w:val="4"/>
        <w:spacing w:before="195" w:after="195"/>
      </w:pPr>
      <w:r>
        <w:rPr>
          <w:rFonts w:hint="eastAsia"/>
        </w:rPr>
        <w:t>发展规模</w:t>
      </w:r>
    </w:p>
    <w:p>
      <w:pPr>
        <w:pStyle w:val="5"/>
        <w:ind w:firstLine="640"/>
      </w:pPr>
      <w:bookmarkStart w:id="195" w:name="_Hlk206682324"/>
      <w:r>
        <w:rPr>
          <w:rFonts w:hint="eastAsia"/>
        </w:rPr>
        <w:t>人口规模</w:t>
      </w:r>
    </w:p>
    <w:p>
      <w:pPr>
        <w:spacing w:before="65"/>
        <w:ind w:firstLine="640"/>
      </w:pPr>
      <w:r>
        <w:rPr>
          <w:rFonts w:hint="eastAsia"/>
        </w:rPr>
        <w:t>规划镇区人口规模为0.34万人。</w:t>
      </w:r>
    </w:p>
    <w:p>
      <w:pPr>
        <w:pStyle w:val="5"/>
        <w:ind w:firstLine="640"/>
      </w:pPr>
      <w:r>
        <w:rPr>
          <w:rFonts w:hint="eastAsia"/>
        </w:rPr>
        <w:t>城镇建设用地规模</w:t>
      </w:r>
    </w:p>
    <w:p>
      <w:pPr>
        <w:spacing w:before="65"/>
        <w:ind w:firstLine="640"/>
      </w:pPr>
      <w:r>
        <w:rPr>
          <w:rFonts w:hint="eastAsia"/>
        </w:rPr>
        <w:t>镇区城镇开发边界规模为50.94</w:t>
      </w:r>
      <w:r>
        <w:t>公顷，规划城镇建设用地规模为</w:t>
      </w:r>
      <w:r>
        <w:rPr>
          <w:rFonts w:hint="eastAsia"/>
        </w:rPr>
        <w:t>50.94</w:t>
      </w:r>
      <w:r>
        <w:t>公顷。</w:t>
      </w:r>
    </w:p>
    <w:bookmarkEnd w:id="195"/>
    <w:p>
      <w:pPr>
        <w:pStyle w:val="3"/>
      </w:pPr>
      <w:r>
        <w:rPr>
          <w:rFonts w:hint="eastAsia"/>
        </w:rPr>
        <w:t>用地布局</w:t>
      </w:r>
    </w:p>
    <w:p>
      <w:pPr>
        <w:pStyle w:val="4"/>
        <w:spacing w:before="195" w:after="195"/>
      </w:pPr>
      <w:r>
        <w:rPr>
          <w:rFonts w:hint="eastAsia"/>
        </w:rPr>
        <w:t>规划</w:t>
      </w:r>
      <w:bookmarkStart w:id="196" w:name="_Hlk167089361"/>
      <w:r>
        <w:rPr>
          <w:rFonts w:hint="eastAsia"/>
        </w:rPr>
        <w:t>空间结构</w:t>
      </w:r>
      <w:bookmarkEnd w:id="196"/>
    </w:p>
    <w:p>
      <w:pPr>
        <w:spacing w:before="65" w:after="120"/>
        <w:ind w:firstLine="640"/>
      </w:pPr>
      <w:bookmarkStart w:id="197" w:name="_Hlk209534655"/>
      <w:r>
        <w:rPr>
          <w:rFonts w:hint="eastAsia"/>
        </w:rPr>
        <w:t>基于余关镇滨河的现状，结合镇区内部景观架构，构建符合自然山水特征与发展需要的城镇总体空间形态与格局，确定余关镇镇区“两心、一轴、一带、四片区、多点”的空间结构。</w:t>
      </w:r>
    </w:p>
    <w:p>
      <w:pPr>
        <w:spacing w:before="65" w:after="120"/>
        <w:ind w:firstLine="640"/>
      </w:pPr>
      <w:r>
        <w:rPr>
          <w:rFonts w:hint="eastAsia"/>
        </w:rPr>
        <w:t>两心：城镇公共服务中心、城镇商贸服务中心。</w:t>
      </w:r>
    </w:p>
    <w:p>
      <w:pPr>
        <w:spacing w:before="65" w:after="120"/>
        <w:ind w:firstLine="640"/>
      </w:pPr>
      <w:r>
        <w:rPr>
          <w:rFonts w:hint="eastAsia"/>
        </w:rPr>
        <w:t>一轴：沿为民路形成的东西向城镇活力发展轴。</w:t>
      </w:r>
    </w:p>
    <w:p>
      <w:pPr>
        <w:spacing w:before="65" w:after="120"/>
        <w:ind w:firstLine="640"/>
      </w:pPr>
      <w:r>
        <w:rPr>
          <w:rFonts w:hint="eastAsia"/>
        </w:rPr>
        <w:t>一带：沿朝阳路形成的南北向特色服务带。</w:t>
      </w:r>
    </w:p>
    <w:p>
      <w:pPr>
        <w:spacing w:before="65" w:after="120"/>
        <w:ind w:firstLine="640"/>
      </w:pPr>
      <w:r>
        <w:rPr>
          <w:rFonts w:hint="eastAsia"/>
        </w:rPr>
        <w:t>四片区：城镇综合服务区、产业发展区、南部北部宜居生活区。</w:t>
      </w:r>
    </w:p>
    <w:p>
      <w:pPr>
        <w:spacing w:before="65" w:after="120"/>
        <w:ind w:firstLine="640"/>
      </w:pPr>
      <w:r>
        <w:rPr>
          <w:rFonts w:hint="eastAsia"/>
        </w:rPr>
        <w:t>多点：医养节点、教育节点、文化节点及生活节点等</w:t>
      </w:r>
      <w:bookmarkEnd w:id="197"/>
      <w:r>
        <w:rPr>
          <w:rFonts w:hint="eastAsia"/>
        </w:rPr>
        <w:t>。</w:t>
      </w:r>
    </w:p>
    <w:p>
      <w:pPr>
        <w:pStyle w:val="4"/>
        <w:spacing w:before="195" w:after="195"/>
      </w:pPr>
      <w:r>
        <w:rPr>
          <w:rFonts w:hint="eastAsia"/>
        </w:rPr>
        <w:t>用地布局</w:t>
      </w:r>
    </w:p>
    <w:p>
      <w:pPr>
        <w:ind w:firstLine="640"/>
      </w:pPr>
      <w:bookmarkStart w:id="198" w:name="_Hlk179988729"/>
      <w:r>
        <w:rPr>
          <w:rFonts w:hint="eastAsia"/>
        </w:rPr>
        <w:t>优化镇区用地结构，完善用地功能布局。推进镇区空间高质量发展，科学配置公共资源，统筹安排镇区建设、产业发展、基础设施和公共服务，优化完善镇区功能。</w:t>
      </w:r>
    </w:p>
    <w:p>
      <w:pPr>
        <w:ind w:firstLine="640"/>
      </w:pPr>
      <w:r>
        <w:rPr>
          <w:rFonts w:hint="eastAsia"/>
        </w:rPr>
        <w:t>合理配置居住用地。统筹居住用地供给和人口发展，适度增加城镇居住用地供给。规划居住用地25.11</w:t>
      </w:r>
      <w:r>
        <w:t>公顷，人均居住用地面积为</w:t>
      </w:r>
      <w:r>
        <w:rPr>
          <w:rFonts w:hint="eastAsia"/>
        </w:rPr>
        <w:t>73.85</w:t>
      </w:r>
      <w:r>
        <w:t>平方米，占镇区建设用地面积的</w:t>
      </w:r>
      <w:r>
        <w:rPr>
          <w:rFonts w:hint="eastAsia"/>
        </w:rPr>
        <w:t>49.29</w:t>
      </w:r>
      <w:r>
        <w:t>%。</w:t>
      </w:r>
    </w:p>
    <w:p>
      <w:pPr>
        <w:ind w:firstLine="640"/>
      </w:pPr>
      <w:r>
        <w:rPr>
          <w:rFonts w:hint="eastAsia"/>
        </w:rPr>
        <w:t>统筹公共管理与服务设施用地。提升公共服务能力，促进公共资源相对集中布局，补充完善镇区公共服务设施。规划公共管理与服务设施用地11.99</w:t>
      </w:r>
      <w:r>
        <w:t>公顷，占镇区建设用地面积的</w:t>
      </w:r>
      <w:r>
        <w:rPr>
          <w:rFonts w:hint="eastAsia"/>
        </w:rPr>
        <w:t>23.55</w:t>
      </w:r>
      <w:r>
        <w:t>%。</w:t>
      </w:r>
    </w:p>
    <w:p>
      <w:pPr>
        <w:ind w:firstLine="640"/>
      </w:pPr>
      <w:r>
        <w:rPr>
          <w:rFonts w:hint="eastAsia"/>
        </w:rPr>
        <w:t>合理安排商业服务业用地。促进商业高品质发展，提升镇区活力。规划商业服务业用地2.92</w:t>
      </w:r>
      <w:r>
        <w:t>公顷，占镇区建设用地面积的</w:t>
      </w:r>
      <w:r>
        <w:rPr>
          <w:rFonts w:hint="eastAsia"/>
        </w:rPr>
        <w:t>5.74</w:t>
      </w:r>
      <w:r>
        <w:t>%。</w:t>
      </w:r>
    </w:p>
    <w:p>
      <w:pPr>
        <w:ind w:firstLine="640"/>
      </w:pPr>
      <w:r>
        <w:rPr>
          <w:rFonts w:hint="eastAsia"/>
        </w:rPr>
        <w:t>增加绿地与开敞空间。规划绿地与开敞空间用地2.21</w:t>
      </w:r>
      <w:r>
        <w:t>公顷，占镇区建设用地面积的</w:t>
      </w:r>
      <w:r>
        <w:rPr>
          <w:rFonts w:hint="eastAsia"/>
        </w:rPr>
        <w:t>4.34</w:t>
      </w:r>
      <w:r>
        <w:t>%。其中，公园绿地</w:t>
      </w:r>
      <w:r>
        <w:rPr>
          <w:rFonts w:hint="eastAsia"/>
        </w:rPr>
        <w:t>1.94</w:t>
      </w:r>
      <w:r>
        <w:t>公顷，人均公园绿地面积</w:t>
      </w:r>
      <w:r>
        <w:rPr>
          <w:rFonts w:hint="eastAsia"/>
        </w:rPr>
        <w:t>5.71</w:t>
      </w:r>
      <w:r>
        <w:t>平方米。</w:t>
      </w:r>
    </w:p>
    <w:p>
      <w:pPr>
        <w:ind w:firstLine="640"/>
      </w:pPr>
      <w:r>
        <w:rPr>
          <w:rFonts w:hint="eastAsia"/>
        </w:rPr>
        <w:t>规划仓储用地1.32</w:t>
      </w:r>
      <w:r>
        <w:t>公顷，占镇区建设用地面积的</w:t>
      </w:r>
      <w:r>
        <w:rPr>
          <w:rFonts w:hint="eastAsia"/>
        </w:rPr>
        <w:t>2.59</w:t>
      </w:r>
      <w:r>
        <w:t>%。</w:t>
      </w:r>
    </w:p>
    <w:p>
      <w:pPr>
        <w:ind w:firstLine="640"/>
      </w:pPr>
      <w:r>
        <w:rPr>
          <w:rFonts w:hint="eastAsia"/>
        </w:rPr>
        <w:t>规划交通运输用地6.31</w:t>
      </w:r>
      <w:r>
        <w:t>公顷，占镇区建设用地面积的</w:t>
      </w:r>
      <w:r>
        <w:rPr>
          <w:rFonts w:hint="eastAsia"/>
        </w:rPr>
        <w:t>12.40</w:t>
      </w:r>
      <w:r>
        <w:t>%。</w:t>
      </w:r>
    </w:p>
    <w:p>
      <w:pPr>
        <w:ind w:firstLine="640"/>
      </w:pPr>
      <w:r>
        <w:rPr>
          <w:rFonts w:hint="eastAsia"/>
        </w:rPr>
        <w:t>规划公用设施用地0.30</w:t>
      </w:r>
      <w:r>
        <w:t>公顷，占镇区建设用地面积的</w:t>
      </w:r>
      <w:r>
        <w:rPr>
          <w:rFonts w:hint="eastAsia"/>
        </w:rPr>
        <w:t>0.60%。</w:t>
      </w:r>
    </w:p>
    <w:p>
      <w:pPr>
        <w:ind w:firstLine="640"/>
      </w:pPr>
      <w:r>
        <w:rPr>
          <w:rFonts w:hint="eastAsia"/>
        </w:rPr>
        <w:t>规划特殊用地0.04公顷，占镇区建设用地面积的0.09%。</w:t>
      </w:r>
    </w:p>
    <w:p>
      <w:pPr>
        <w:ind w:firstLine="640"/>
      </w:pPr>
      <w:r>
        <w:rPr>
          <w:rFonts w:hint="eastAsia"/>
        </w:rPr>
        <w:t>规划留白用地0.72公顷，占镇区建设用地面积的1.42%。</w:t>
      </w:r>
    </w:p>
    <w:bookmarkEnd w:id="198"/>
    <w:p>
      <w:pPr>
        <w:pStyle w:val="3"/>
      </w:pPr>
      <w:r>
        <w:t>公共服务设施</w:t>
      </w:r>
      <w:r>
        <w:rPr>
          <w:rFonts w:hint="eastAsia"/>
        </w:rPr>
        <w:t>规划</w:t>
      </w:r>
    </w:p>
    <w:p>
      <w:pPr>
        <w:pStyle w:val="4"/>
        <w:spacing w:before="195" w:after="195"/>
      </w:pPr>
      <w:r>
        <w:t>公共管理与公共服务设施</w:t>
      </w:r>
    </w:p>
    <w:p>
      <w:pPr>
        <w:spacing w:before="65"/>
        <w:ind w:firstLine="640"/>
      </w:pPr>
      <w:r>
        <w:rPr>
          <w:rFonts w:hint="eastAsia"/>
          <w:lang w:bidi="ar"/>
        </w:rPr>
        <w:t>规划镇区公共服务设施用地规模为11.99</w:t>
      </w:r>
      <w:r>
        <w:rPr>
          <w:lang w:bidi="ar"/>
        </w:rPr>
        <w:t>公顷，占镇区建设用地面积的</w:t>
      </w:r>
      <w:r>
        <w:rPr>
          <w:rFonts w:hint="eastAsia"/>
          <w:lang w:bidi="ar"/>
        </w:rPr>
        <w:t>23.55</w:t>
      </w:r>
      <w:r>
        <w:rPr>
          <w:lang w:bidi="ar"/>
        </w:rPr>
        <w:t>%</w:t>
      </w:r>
      <w:r>
        <w:rPr>
          <w:rFonts w:hint="eastAsia"/>
        </w:rPr>
        <w:t>。</w:t>
      </w:r>
    </w:p>
    <w:p>
      <w:pPr>
        <w:pStyle w:val="5"/>
        <w:ind w:firstLine="640"/>
      </w:pPr>
      <w:r>
        <w:rPr>
          <w:rFonts w:hint="eastAsia"/>
        </w:rPr>
        <w:t>机关团体设施</w:t>
      </w:r>
    </w:p>
    <w:p>
      <w:pPr>
        <w:spacing w:before="48"/>
        <w:ind w:firstLine="640"/>
      </w:pPr>
      <w:r>
        <w:rPr>
          <w:rFonts w:hint="eastAsia"/>
          <w:lang w:bidi="ar"/>
        </w:rPr>
        <w:t>规划机关团体用地主要为镇政府、余关村委会、综合服务中心、国土所、财政所等，用地面积为3.05</w:t>
      </w:r>
      <w:r>
        <w:rPr>
          <w:lang w:bidi="ar"/>
        </w:rPr>
        <w:t>公顷，占镇区建设用地面积的</w:t>
      </w:r>
      <w:r>
        <w:rPr>
          <w:rFonts w:hint="eastAsia"/>
          <w:lang w:bidi="ar"/>
        </w:rPr>
        <w:t>5.99</w:t>
      </w:r>
      <w:r>
        <w:rPr>
          <w:lang w:bidi="ar"/>
        </w:rPr>
        <w:t>%</w:t>
      </w:r>
      <w:r>
        <w:rPr>
          <w:rFonts w:hint="eastAsia"/>
        </w:rPr>
        <w:t>。</w:t>
      </w:r>
    </w:p>
    <w:p>
      <w:pPr>
        <w:pStyle w:val="5"/>
        <w:ind w:firstLine="640"/>
      </w:pPr>
      <w:r>
        <w:rPr>
          <w:rFonts w:hint="eastAsia"/>
        </w:rPr>
        <w:t>文化设施</w:t>
      </w:r>
    </w:p>
    <w:p>
      <w:pPr>
        <w:spacing w:before="48"/>
        <w:ind w:firstLine="640"/>
        <w:rPr>
          <w:lang w:bidi="ar"/>
        </w:rPr>
      </w:pPr>
      <w:r>
        <w:rPr>
          <w:rFonts w:hint="eastAsia"/>
          <w:lang w:bidi="ar"/>
        </w:rPr>
        <w:t>保留现状镇区文化中心，用地面积为0.04</w:t>
      </w:r>
      <w:r>
        <w:rPr>
          <w:lang w:bidi="ar"/>
        </w:rPr>
        <w:t>公顷，占镇区建设用地面积的</w:t>
      </w:r>
      <w:r>
        <w:rPr>
          <w:rFonts w:hint="eastAsia"/>
          <w:lang w:bidi="ar"/>
        </w:rPr>
        <w:t>0.08</w:t>
      </w:r>
      <w:r>
        <w:rPr>
          <w:lang w:bidi="ar"/>
        </w:rPr>
        <w:t>%；人均文化用地面积为0.1</w:t>
      </w:r>
      <w:r>
        <w:rPr>
          <w:rFonts w:hint="eastAsia"/>
          <w:lang w:bidi="ar"/>
        </w:rPr>
        <w:t>2</w:t>
      </w:r>
      <w:r>
        <w:rPr>
          <w:lang w:bidi="ar"/>
        </w:rPr>
        <w:t>平方米。</w:t>
      </w:r>
    </w:p>
    <w:p>
      <w:pPr>
        <w:spacing w:before="48"/>
        <w:ind w:firstLine="640"/>
      </w:pPr>
      <w:r>
        <w:rPr>
          <w:rFonts w:hint="eastAsia"/>
          <w:lang w:bidi="ar"/>
        </w:rPr>
        <w:t>结合余关村村委会社区布局社区级文化设施，配建1</w:t>
      </w:r>
      <w:r>
        <w:rPr>
          <w:lang w:bidi="ar"/>
        </w:rPr>
        <w:t>处社区级文化活动站。文化活动站依据相关标准配置图书阅览室、科技普法、教育培训等文化设施，并设置专门针对老人、儿童及青少年活动的文化设施</w:t>
      </w:r>
      <w:r>
        <w:rPr>
          <w:rFonts w:hint="eastAsia"/>
        </w:rPr>
        <w:t>。</w:t>
      </w:r>
    </w:p>
    <w:p>
      <w:pPr>
        <w:pStyle w:val="5"/>
        <w:ind w:firstLine="640"/>
      </w:pPr>
      <w:r>
        <w:rPr>
          <w:rFonts w:hint="eastAsia"/>
        </w:rPr>
        <w:t>教育设施</w:t>
      </w:r>
    </w:p>
    <w:p>
      <w:pPr>
        <w:spacing w:before="48"/>
        <w:ind w:firstLine="640"/>
        <w:rPr>
          <w:lang w:bidi="ar"/>
        </w:rPr>
      </w:pPr>
      <w:r>
        <w:rPr>
          <w:rFonts w:hint="eastAsia"/>
          <w:lang w:bidi="ar"/>
        </w:rPr>
        <w:t>规划教育用地主要为保留现状余关镇初级中学、中心小学、幼儿园、成人学校，满足镇区需求；用地面积为7.54</w:t>
      </w:r>
      <w:r>
        <w:rPr>
          <w:lang w:bidi="ar"/>
        </w:rPr>
        <w:t>公顷，占镇区建设用地面积的</w:t>
      </w:r>
      <w:r>
        <w:rPr>
          <w:rFonts w:hint="eastAsia"/>
          <w:lang w:bidi="ar"/>
        </w:rPr>
        <w:t>14.81</w:t>
      </w:r>
      <w:r>
        <w:rPr>
          <w:lang w:bidi="ar"/>
        </w:rPr>
        <w:t>%，人均教育用地面积</w:t>
      </w:r>
      <w:r>
        <w:rPr>
          <w:rFonts w:hint="eastAsia"/>
          <w:lang w:bidi="ar"/>
        </w:rPr>
        <w:t>22.18</w:t>
      </w:r>
      <w:r>
        <w:rPr>
          <w:lang w:bidi="ar"/>
        </w:rPr>
        <w:t>平方米。</w:t>
      </w:r>
    </w:p>
    <w:p>
      <w:pPr>
        <w:spacing w:before="48"/>
        <w:ind w:firstLine="640"/>
        <w:rPr>
          <w:lang w:bidi="ar"/>
        </w:rPr>
      </w:pPr>
      <w:bookmarkStart w:id="199" w:name="_Hlk207463652"/>
      <w:bookmarkStart w:id="200" w:name="_Hlk209015712"/>
      <w:r>
        <w:rPr>
          <w:rFonts w:hint="eastAsia"/>
          <w:lang w:bidi="ar"/>
        </w:rPr>
        <w:t>规划保留现状余关镇初级中学，规模为25</w:t>
      </w:r>
      <w:r>
        <w:rPr>
          <w:lang w:bidi="ar"/>
        </w:rPr>
        <w:t>班，可以满足全镇居民的中学就学需求。保留现状1处中心小学，</w:t>
      </w:r>
      <w:r>
        <w:rPr>
          <w:rFonts w:hint="eastAsia"/>
          <w:lang w:bidi="ar"/>
        </w:rPr>
        <w:t>规划</w:t>
      </w:r>
      <w:r>
        <w:rPr>
          <w:lang w:bidi="ar"/>
        </w:rPr>
        <w:t>为</w:t>
      </w:r>
      <w:r>
        <w:rPr>
          <w:rFonts w:hint="eastAsia"/>
          <w:lang w:bidi="ar"/>
        </w:rPr>
        <w:t>24</w:t>
      </w:r>
      <w:r>
        <w:rPr>
          <w:lang w:bidi="ar"/>
        </w:rPr>
        <w:t>班，满足</w:t>
      </w:r>
      <w:r>
        <w:rPr>
          <w:rFonts w:hint="eastAsia"/>
          <w:lang w:bidi="ar"/>
        </w:rPr>
        <w:t>镇区及周边行政村儿童</w:t>
      </w:r>
      <w:r>
        <w:rPr>
          <w:lang w:bidi="ar"/>
        </w:rPr>
        <w:t>就学的需求。规划保留镇区</w:t>
      </w:r>
      <w:r>
        <w:rPr>
          <w:rFonts w:hint="eastAsia"/>
          <w:lang w:bidi="ar"/>
        </w:rPr>
        <w:t>1</w:t>
      </w:r>
      <w:r>
        <w:rPr>
          <w:lang w:bidi="ar"/>
        </w:rPr>
        <w:t>所</w:t>
      </w:r>
      <w:r>
        <w:rPr>
          <w:rFonts w:hint="eastAsia"/>
          <w:lang w:bidi="ar"/>
        </w:rPr>
        <w:t>中心</w:t>
      </w:r>
      <w:r>
        <w:rPr>
          <w:lang w:bidi="ar"/>
        </w:rPr>
        <w:t>幼儿园</w:t>
      </w:r>
      <w:r>
        <w:rPr>
          <w:rFonts w:hint="eastAsia"/>
          <w:lang w:bidi="ar"/>
        </w:rPr>
        <w:t>、1所星光幼儿园</w:t>
      </w:r>
      <w:r>
        <w:rPr>
          <w:lang w:bidi="ar"/>
        </w:rPr>
        <w:t>，规模</w:t>
      </w:r>
      <w:r>
        <w:rPr>
          <w:rFonts w:hint="eastAsia"/>
          <w:lang w:bidi="ar"/>
        </w:rPr>
        <w:t>分别</w:t>
      </w:r>
      <w:r>
        <w:rPr>
          <w:lang w:bidi="ar"/>
        </w:rPr>
        <w:t>为</w:t>
      </w:r>
      <w:r>
        <w:rPr>
          <w:rFonts w:hint="eastAsia"/>
          <w:lang w:bidi="ar"/>
        </w:rPr>
        <w:t>6班、11</w:t>
      </w:r>
      <w:r>
        <w:rPr>
          <w:lang w:bidi="ar"/>
        </w:rPr>
        <w:t>班，满足镇区</w:t>
      </w:r>
      <w:r>
        <w:rPr>
          <w:rFonts w:hint="eastAsia"/>
          <w:lang w:bidi="ar"/>
        </w:rPr>
        <w:t>及周边行政村</w:t>
      </w:r>
      <w:r>
        <w:rPr>
          <w:lang w:bidi="ar"/>
        </w:rPr>
        <w:t>幼儿就学需求</w:t>
      </w:r>
      <w:bookmarkEnd w:id="199"/>
      <w:r>
        <w:rPr>
          <w:lang w:bidi="ar"/>
        </w:rPr>
        <w:t>。</w:t>
      </w:r>
    </w:p>
    <w:bookmarkEnd w:id="200"/>
    <w:p>
      <w:pPr>
        <w:pStyle w:val="5"/>
        <w:ind w:firstLine="640"/>
      </w:pPr>
      <w:r>
        <w:t>体育</w:t>
      </w:r>
      <w:r>
        <w:rPr>
          <w:rFonts w:hint="eastAsia"/>
        </w:rPr>
        <w:t>设施</w:t>
      </w:r>
    </w:p>
    <w:p>
      <w:pPr>
        <w:spacing w:before="48"/>
        <w:ind w:firstLine="640"/>
      </w:pPr>
      <w:r>
        <w:rPr>
          <w:rFonts w:hint="eastAsia"/>
        </w:rPr>
        <w:t>在余关镇政府南侧空闲地新建一处体育用地，为全镇的体育中心，用地面积为0.37</w:t>
      </w:r>
      <w:r>
        <w:t>公顷，占镇区建设用地面积的</w:t>
      </w:r>
      <w:r>
        <w:rPr>
          <w:rFonts w:hint="eastAsia"/>
        </w:rPr>
        <w:t>0.73</w:t>
      </w:r>
      <w:r>
        <w:t>%，满足全镇大型体育活动需求，人均体育用地面积为1.</w:t>
      </w:r>
      <w:r>
        <w:rPr>
          <w:rFonts w:hint="eastAsia"/>
        </w:rPr>
        <w:t>09</w:t>
      </w:r>
      <w:r>
        <w:t>平方米。结合绿地及街头广场建设小型体育设施，方便居民就近使用。</w:t>
      </w:r>
    </w:p>
    <w:p>
      <w:pPr>
        <w:pStyle w:val="5"/>
        <w:ind w:firstLine="640"/>
      </w:pPr>
      <w:r>
        <w:rPr>
          <w:rFonts w:hint="eastAsia"/>
        </w:rPr>
        <w:t>医疗卫生设施</w:t>
      </w:r>
    </w:p>
    <w:p>
      <w:pPr>
        <w:spacing w:before="48"/>
        <w:ind w:firstLine="640"/>
        <w:rPr>
          <w:lang w:bidi="ar"/>
        </w:rPr>
      </w:pPr>
      <w:r>
        <w:rPr>
          <w:rFonts w:hint="eastAsia"/>
          <w:lang w:bidi="ar"/>
        </w:rPr>
        <w:t>规划医疗卫生用地主要为镇区北侧的现状卫生院，用地面积为0.37</w:t>
      </w:r>
      <w:r>
        <w:rPr>
          <w:lang w:bidi="ar"/>
        </w:rPr>
        <w:t>公顷，占镇区建设用地面积的</w:t>
      </w:r>
      <w:r>
        <w:rPr>
          <w:rFonts w:hint="eastAsia"/>
          <w:lang w:bidi="ar"/>
        </w:rPr>
        <w:t>0.73</w:t>
      </w:r>
      <w:r>
        <w:rPr>
          <w:lang w:bidi="ar"/>
        </w:rPr>
        <w:t>%，人均医疗卫生用地面积</w:t>
      </w:r>
      <w:r>
        <w:rPr>
          <w:rFonts w:hint="eastAsia"/>
          <w:lang w:bidi="ar"/>
        </w:rPr>
        <w:t>1.09</w:t>
      </w:r>
      <w:r>
        <w:rPr>
          <w:lang w:bidi="ar"/>
        </w:rPr>
        <w:t>平方米。</w:t>
      </w:r>
    </w:p>
    <w:p>
      <w:pPr>
        <w:spacing w:before="48"/>
        <w:ind w:firstLine="640"/>
      </w:pPr>
      <w:r>
        <w:rPr>
          <w:rFonts w:hint="eastAsia"/>
          <w:lang w:bidi="ar"/>
        </w:rPr>
        <w:t>余关社区按照相关标准配建社区医疗卫生服务站，按照相关标准配置社区卫生服务站等医疗卫生设施，方便社区居民的日常使用</w:t>
      </w:r>
      <w:r>
        <w:rPr>
          <w:lang w:bidi="ar"/>
        </w:rPr>
        <w:t>。</w:t>
      </w:r>
    </w:p>
    <w:p>
      <w:pPr>
        <w:pStyle w:val="5"/>
        <w:ind w:firstLine="640"/>
      </w:pPr>
      <w:r>
        <w:rPr>
          <w:rFonts w:hint="eastAsia"/>
        </w:rPr>
        <w:t>社会福利设施</w:t>
      </w:r>
    </w:p>
    <w:p>
      <w:pPr>
        <w:spacing w:before="48"/>
        <w:ind w:firstLine="640"/>
        <w:rPr>
          <w:lang w:bidi="ar"/>
        </w:rPr>
      </w:pPr>
      <w:r>
        <w:rPr>
          <w:rFonts w:hint="eastAsia"/>
          <w:lang w:bidi="ar"/>
        </w:rPr>
        <w:t>镇区保留现状</w:t>
      </w:r>
      <w:r>
        <w:rPr>
          <w:lang w:bidi="ar"/>
        </w:rPr>
        <w:t>1处敬老院，用地面积为</w:t>
      </w:r>
      <w:r>
        <w:rPr>
          <w:rFonts w:hint="eastAsia"/>
          <w:lang w:bidi="ar"/>
        </w:rPr>
        <w:t>0.62</w:t>
      </w:r>
      <w:r>
        <w:rPr>
          <w:lang w:bidi="ar"/>
        </w:rPr>
        <w:t>公顷，占镇区建设用地面积的</w:t>
      </w:r>
      <w:r>
        <w:rPr>
          <w:rFonts w:hint="eastAsia"/>
          <w:lang w:bidi="ar"/>
        </w:rPr>
        <w:t>1.22</w:t>
      </w:r>
      <w:r>
        <w:rPr>
          <w:lang w:bidi="ar"/>
        </w:rPr>
        <w:t>%，人均社会福利用地面积</w:t>
      </w:r>
      <w:r>
        <w:rPr>
          <w:rFonts w:hint="eastAsia"/>
          <w:lang w:bidi="ar"/>
        </w:rPr>
        <w:t>1.82</w:t>
      </w:r>
      <w:r>
        <w:rPr>
          <w:lang w:bidi="ar"/>
        </w:rPr>
        <w:t>平方米。</w:t>
      </w:r>
    </w:p>
    <w:p>
      <w:pPr>
        <w:spacing w:before="65"/>
        <w:ind w:firstLine="640"/>
        <w:rPr>
          <w:lang w:bidi="ar"/>
        </w:rPr>
      </w:pPr>
      <w:r>
        <w:rPr>
          <w:rFonts w:hint="eastAsia"/>
          <w:lang w:bidi="ar"/>
        </w:rPr>
        <w:t>结合社区建设适当建设专业化的养老护理机构，在有条件的基层社区建设托老所、老年活动室等老年活动设施。</w:t>
      </w:r>
    </w:p>
    <w:p>
      <w:pPr>
        <w:pStyle w:val="3"/>
      </w:pPr>
      <w:r>
        <w:rPr>
          <w:rFonts w:hint="eastAsia"/>
        </w:rPr>
        <w:t>住房建设与引导</w:t>
      </w:r>
    </w:p>
    <w:p>
      <w:pPr>
        <w:pStyle w:val="4"/>
        <w:spacing w:before="195" w:after="195"/>
      </w:pPr>
      <w:bookmarkStart w:id="201" w:name="_Hlk142925025"/>
      <w:r>
        <w:rPr>
          <w:rFonts w:hint="eastAsia"/>
        </w:rPr>
        <w:t>居住用地规划</w:t>
      </w:r>
    </w:p>
    <w:bookmarkEnd w:id="201"/>
    <w:p>
      <w:pPr>
        <w:spacing w:before="65"/>
        <w:ind w:firstLine="640"/>
      </w:pPr>
      <w:r>
        <w:rPr>
          <w:rFonts w:hint="eastAsia"/>
        </w:rPr>
        <w:t>规划至</w:t>
      </w:r>
      <w:r>
        <w:t>2035年，居住用地面积为</w:t>
      </w:r>
      <w:r>
        <w:rPr>
          <w:rFonts w:hint="eastAsia"/>
        </w:rPr>
        <w:t>25.11</w:t>
      </w:r>
      <w:r>
        <w:t>公顷，占镇区建设用地面积的</w:t>
      </w:r>
      <w:r>
        <w:rPr>
          <w:rFonts w:hint="eastAsia"/>
        </w:rPr>
        <w:t>49.29</w:t>
      </w:r>
      <w:r>
        <w:t>%，人均居住用地面积为</w:t>
      </w:r>
      <w:r>
        <w:rPr>
          <w:rFonts w:hint="eastAsia"/>
        </w:rPr>
        <w:t>73.85</w:t>
      </w:r>
      <w:r>
        <w:t>平方米。住宅建设规划宜采取保留、更新改造和新增建设等多种方式。</w:t>
      </w:r>
    </w:p>
    <w:p>
      <w:pPr>
        <w:pStyle w:val="4"/>
        <w:spacing w:before="195" w:after="195"/>
      </w:pPr>
      <w:bookmarkStart w:id="202" w:name="_Hlk142925032"/>
      <w:r>
        <w:rPr>
          <w:rFonts w:hint="eastAsia"/>
        </w:rPr>
        <w:t>住房保障规划</w:t>
      </w:r>
    </w:p>
    <w:bookmarkEnd w:id="202"/>
    <w:p>
      <w:pPr>
        <w:spacing w:before="65"/>
        <w:ind w:firstLine="640"/>
      </w:pPr>
      <w:r>
        <w:rPr>
          <w:rFonts w:hint="eastAsia"/>
        </w:rPr>
        <w:t>住宅建设规划宜采取保留、更新改造、拆迁置换和新区建设等多种方式。规划保留镇区内现有的建筑质量较高、居住环境较好、配套服务设施齐全、规划布局较为合理的居住用地；对镇区中村庄用地采取逐步更新改造方式；对部分建筑质量较差、配套设施缺乏、环境恶劣、且与其他用地混杂布局的住宅，可根据实际建设需要，拆迁置换为其他城镇用地，如可开发为公共绿地。</w:t>
      </w:r>
    </w:p>
    <w:p>
      <w:pPr>
        <w:pStyle w:val="3"/>
      </w:pPr>
      <w:r>
        <w:rPr>
          <w:rFonts w:hint="eastAsia"/>
        </w:rPr>
        <w:t>空间形态与风貌管控</w:t>
      </w:r>
    </w:p>
    <w:p>
      <w:pPr>
        <w:pStyle w:val="4"/>
        <w:spacing w:before="195" w:after="195"/>
      </w:pPr>
      <w:r>
        <w:t>空间风貌结构</w:t>
      </w:r>
    </w:p>
    <w:p>
      <w:pPr>
        <w:spacing w:before="65"/>
        <w:ind w:firstLine="640"/>
      </w:pPr>
      <w:r>
        <w:rPr>
          <w:rFonts w:hint="eastAsia"/>
        </w:rPr>
        <w:t>镇区空间结构为“两轴一带，两心三区”。</w:t>
      </w:r>
    </w:p>
    <w:p>
      <w:pPr>
        <w:spacing w:before="65"/>
        <w:ind w:firstLine="640"/>
      </w:pPr>
      <w:r>
        <w:rPr>
          <w:rFonts w:hint="eastAsia"/>
        </w:rPr>
        <w:t>“两轴”为依托朝阳路形成的现代城镇风貌轴、依托金叶大道形成的文化景观风貌轴。</w:t>
      </w:r>
    </w:p>
    <w:p>
      <w:pPr>
        <w:spacing w:before="65"/>
        <w:ind w:firstLine="640"/>
      </w:pPr>
      <w:r>
        <w:rPr>
          <w:rFonts w:hint="eastAsia"/>
        </w:rPr>
        <w:t>“一带”为沿东侧河流形成的滨河景观带。</w:t>
      </w:r>
    </w:p>
    <w:p>
      <w:pPr>
        <w:spacing w:before="65"/>
        <w:ind w:firstLine="640"/>
      </w:pPr>
      <w:r>
        <w:rPr>
          <w:rFonts w:hint="eastAsia"/>
        </w:rPr>
        <w:t>“两心”指以镇政府、镇区文化广场形成的城镇特色中心。</w:t>
      </w:r>
    </w:p>
    <w:p>
      <w:pPr>
        <w:spacing w:before="65"/>
        <w:ind w:firstLine="640"/>
      </w:pPr>
      <w:r>
        <w:rPr>
          <w:rFonts w:hint="eastAsia"/>
        </w:rPr>
        <w:t>“三区”是依据镇区特色划分的文化新城风貌区、舒适宜居风貌区。</w:t>
      </w:r>
    </w:p>
    <w:p>
      <w:pPr>
        <w:pStyle w:val="4"/>
        <w:spacing w:before="195" w:after="195"/>
      </w:pPr>
      <w:r>
        <w:rPr>
          <w:rFonts w:hint="eastAsia"/>
        </w:rPr>
        <w:t>开发强度和高度分区</w:t>
      </w:r>
    </w:p>
    <w:p>
      <w:pPr>
        <w:spacing w:before="65" w:after="120"/>
        <w:ind w:firstLine="640"/>
      </w:pPr>
      <w:r>
        <w:rPr>
          <w:rFonts w:hint="eastAsia"/>
        </w:rPr>
        <w:t>镇区建设用地开发强度按两级控制，实行差异化的土地开发强度管制。Ⅰ级强度区容积率控制为小于1.0，主要为公共服务片区；Ⅱ级强度区容积率控制为1.0-2.0，主要为商业区和居住生活区。</w:t>
      </w:r>
    </w:p>
    <w:p>
      <w:pPr>
        <w:spacing w:before="65" w:after="120"/>
        <w:ind w:firstLine="640"/>
      </w:pPr>
      <w:r>
        <w:rPr>
          <w:rFonts w:hint="eastAsia"/>
        </w:rPr>
        <w:t>Ⅰ级高度区建筑控制为不大于3层，高度不大于12米；</w:t>
      </w:r>
      <w:bookmarkStart w:id="203" w:name="_Hlk209015812"/>
      <w:r>
        <w:rPr>
          <w:rFonts w:hint="eastAsia"/>
        </w:rPr>
        <w:t>Ⅱ级高度区建筑控制为不大于6层，高度不大于24米</w:t>
      </w:r>
      <w:bookmarkEnd w:id="203"/>
      <w:r>
        <w:rPr>
          <w:rFonts w:hint="eastAsia"/>
        </w:rPr>
        <w:t>。</w:t>
      </w:r>
    </w:p>
    <w:p>
      <w:pPr>
        <w:pStyle w:val="4"/>
        <w:spacing w:before="195" w:after="195"/>
      </w:pPr>
      <w:r>
        <w:rPr>
          <w:rFonts w:hint="eastAsia"/>
        </w:rPr>
        <w:t>风貌管控</w:t>
      </w:r>
    </w:p>
    <w:p>
      <w:pPr>
        <w:pStyle w:val="5"/>
        <w:ind w:firstLine="640"/>
      </w:pPr>
      <w:r>
        <w:t>线性风貌管控</w:t>
      </w:r>
    </w:p>
    <w:p>
      <w:pPr>
        <w:spacing w:before="65"/>
        <w:ind w:firstLine="640"/>
      </w:pPr>
      <w:r>
        <w:rPr>
          <w:rFonts w:hint="eastAsia"/>
        </w:rPr>
        <w:t>重点对朝阳路、金叶大道道路沿线和滨河沿线进行控制。沿道路主要控制道路两旁的绿化与公共空间，形成连续的视觉空间，加强与次级空间轴线、节点、绿化廊道的渗透、延展和联系，形成网络状的功能和慢行空间，强化行人街道空间和步行体验，强化城市空间的层次性、多样性和可达性；滨河风貌管控地带建筑不宜过高，控制滨水建筑形式，处理好建筑与水体之间的关系，保证滨水沿岸的天际线优美连续，留足水体边界的公共空间。</w:t>
      </w:r>
    </w:p>
    <w:p>
      <w:pPr>
        <w:pStyle w:val="5"/>
        <w:ind w:firstLine="640"/>
      </w:pPr>
      <w:r>
        <w:t>片区风貌管控</w:t>
      </w:r>
    </w:p>
    <w:p>
      <w:pPr>
        <w:spacing w:before="65"/>
        <w:ind w:firstLine="640"/>
      </w:pPr>
      <w:r>
        <w:rPr>
          <w:rFonts w:hint="eastAsia"/>
        </w:rPr>
        <w:t>重点对中部综合服务片区和西侧文化片区进行管控。中部综合服务片区指以镇政府为中心形成的公共服务设施集中的地区，片区应营造舒朗大气、积极明快的氛围，展示余关形象；西侧文化片区指文化中心、党建文化广场片区，该片区应通过景观小品、建构筑物等打造为文化展示平台。</w:t>
      </w:r>
    </w:p>
    <w:p>
      <w:pPr>
        <w:pStyle w:val="3"/>
      </w:pPr>
      <w:r>
        <w:rPr>
          <w:rFonts w:hint="eastAsia"/>
        </w:rPr>
        <w:t>道路交通系统规划</w:t>
      </w:r>
    </w:p>
    <w:p>
      <w:pPr>
        <w:pStyle w:val="4"/>
        <w:spacing w:before="195" w:after="195"/>
      </w:pPr>
      <w:r>
        <w:rPr>
          <w:rFonts w:hint="eastAsia"/>
        </w:rPr>
        <w:t>规划目标</w:t>
      </w:r>
    </w:p>
    <w:p>
      <w:pPr>
        <w:spacing w:before="65"/>
        <w:ind w:firstLine="640"/>
      </w:pPr>
      <w:r>
        <w:rPr>
          <w:rFonts w:hint="eastAsia"/>
        </w:rPr>
        <w:t>形成高效通畅的交通网络体系；保障过境公路畅通，提高镇区道路网密度，注重与对外交通的联系和衔接。构建以慢行为主的绿色出行结构；构建尺度宜人、安全连续的慢行网络，至</w:t>
      </w:r>
      <w:r>
        <w:t>2035年，</w:t>
      </w:r>
      <w:bookmarkStart w:id="204" w:name="_Hlk207463725"/>
      <w:r>
        <w:rPr>
          <w:rFonts w:hint="eastAsia"/>
        </w:rPr>
        <w:t>规划道路网</w:t>
      </w:r>
      <w:r>
        <w:t>密度不小于8千米/平方千米</w:t>
      </w:r>
      <w:bookmarkEnd w:id="204"/>
      <w:r>
        <w:rPr>
          <w:rFonts w:hint="eastAsia"/>
        </w:rPr>
        <w:t>。</w:t>
      </w:r>
    </w:p>
    <w:p>
      <w:pPr>
        <w:pStyle w:val="4"/>
        <w:spacing w:before="195" w:after="195"/>
      </w:pPr>
      <w:r>
        <w:rPr>
          <w:rFonts w:hint="eastAsia"/>
        </w:rPr>
        <w:t>对外交通系统</w:t>
      </w:r>
    </w:p>
    <w:p>
      <w:pPr>
        <w:spacing w:before="65"/>
        <w:ind w:firstLine="640"/>
      </w:pPr>
      <w:r>
        <w:rPr>
          <w:rFonts w:hint="eastAsia"/>
        </w:rPr>
        <w:t>S243</w:t>
      </w:r>
      <w:r>
        <w:t>：</w:t>
      </w:r>
      <w:r>
        <w:rPr>
          <w:rFonts w:hint="eastAsia"/>
        </w:rPr>
        <w:t>保留镇区西侧南北向S243，规划双向2车道，红线宽度控制为20米</w:t>
      </w:r>
      <w:r>
        <w:t>。</w:t>
      </w:r>
    </w:p>
    <w:p>
      <w:pPr>
        <w:spacing w:before="65"/>
        <w:ind w:firstLine="640"/>
      </w:pPr>
      <w:r>
        <w:rPr>
          <w:rFonts w:hint="eastAsia"/>
        </w:rPr>
        <w:t>强化镇区主干路与S243的衔接，并尽量减少镇区低等级道路与过境道路的交叉口数量，以保证交通安全、美化道路景观，提高镇区的环境质量。</w:t>
      </w:r>
    </w:p>
    <w:p>
      <w:pPr>
        <w:pStyle w:val="4"/>
        <w:spacing w:before="195" w:after="195"/>
      </w:pPr>
      <w:r>
        <w:rPr>
          <w:rFonts w:hint="eastAsia"/>
        </w:rPr>
        <w:t>道路交通系统</w:t>
      </w:r>
    </w:p>
    <w:p>
      <w:pPr>
        <w:spacing w:before="65" w:after="120"/>
        <w:ind w:firstLine="640"/>
      </w:pPr>
      <w:r>
        <w:rPr>
          <w:rFonts w:hint="eastAsia"/>
        </w:rPr>
        <w:t>规划以发散式的道路网络形式构成道路系统。提高片区现有道路等级，加强片区之间联系。镇区内采用“主干路、次干路、支路”体系。道路线型结合现有的道路基础，最大限度降低建设成本。</w:t>
      </w:r>
    </w:p>
    <w:p>
      <w:pPr>
        <w:spacing w:before="65" w:after="120"/>
        <w:ind w:firstLine="640"/>
      </w:pPr>
      <w:r>
        <w:rPr>
          <w:rFonts w:hint="eastAsia"/>
        </w:rPr>
        <w:t>主干路：红线宽度为</w:t>
      </w:r>
      <w:r>
        <w:t>16-20米。</w:t>
      </w:r>
    </w:p>
    <w:p>
      <w:pPr>
        <w:spacing w:before="65" w:after="120"/>
        <w:ind w:firstLine="640"/>
      </w:pPr>
      <w:r>
        <w:rPr>
          <w:rFonts w:hint="eastAsia"/>
        </w:rPr>
        <w:t>次干路：红线宽度为</w:t>
      </w:r>
      <w:r>
        <w:t>12米。</w:t>
      </w:r>
    </w:p>
    <w:p>
      <w:pPr>
        <w:spacing w:before="65" w:after="120"/>
        <w:ind w:firstLine="640"/>
      </w:pPr>
      <w:r>
        <w:rPr>
          <w:rFonts w:hint="eastAsia"/>
        </w:rPr>
        <w:t>支路：红线宽度为5-</w:t>
      </w:r>
      <w:r>
        <w:t>8米</w:t>
      </w:r>
      <w:r>
        <w:rPr>
          <w:rFonts w:hint="eastAsia"/>
        </w:rPr>
        <w:t>。</w:t>
      </w:r>
    </w:p>
    <w:p>
      <w:pPr>
        <w:pStyle w:val="4"/>
        <w:spacing w:before="195" w:after="195"/>
      </w:pPr>
      <w:r>
        <w:rPr>
          <w:rFonts w:hint="eastAsia"/>
        </w:rPr>
        <w:t>公共交通规划</w:t>
      </w:r>
    </w:p>
    <w:p>
      <w:pPr>
        <w:pStyle w:val="5"/>
        <w:ind w:firstLine="640"/>
      </w:pPr>
      <w:r>
        <w:rPr>
          <w:rFonts w:hint="eastAsia"/>
        </w:rPr>
        <w:t>公共交通场站</w:t>
      </w:r>
    </w:p>
    <w:p>
      <w:pPr>
        <w:ind w:firstLine="640"/>
      </w:pPr>
      <w:r>
        <w:rPr>
          <w:rFonts w:hint="eastAsia"/>
        </w:rPr>
        <w:t>保留现状镇区北侧1处公共交通场站，用地面积为0.27公顷，为城乡公交客运站。</w:t>
      </w:r>
    </w:p>
    <w:p>
      <w:pPr>
        <w:pStyle w:val="5"/>
        <w:ind w:firstLine="640"/>
      </w:pPr>
      <w:r>
        <w:t>加油加气站用地</w:t>
      </w:r>
    </w:p>
    <w:p>
      <w:pPr>
        <w:spacing w:before="48"/>
        <w:ind w:firstLine="640"/>
      </w:pPr>
      <w:r>
        <w:rPr>
          <w:rFonts w:hint="eastAsia"/>
        </w:rPr>
        <w:t>保留镇区现状3处加油站，X011北侧2处，镇区南侧、Y006东侧1处，总用地面积为0.23公顷</w:t>
      </w:r>
      <w:r>
        <w:t>。</w:t>
      </w:r>
    </w:p>
    <w:p>
      <w:pPr>
        <w:pStyle w:val="5"/>
        <w:ind w:firstLine="640"/>
      </w:pPr>
      <w:r>
        <w:t>公交站点</w:t>
      </w:r>
    </w:p>
    <w:p>
      <w:pPr>
        <w:spacing w:before="48"/>
        <w:ind w:firstLine="640"/>
      </w:pPr>
      <w:r>
        <w:rPr>
          <w:rFonts w:hint="eastAsia"/>
        </w:rPr>
        <w:t>保留现状朝阳路上2处城乡公交站点，分别位于朝阳路与利民街交叉口、南侧加油站附近。</w:t>
      </w:r>
    </w:p>
    <w:p>
      <w:pPr>
        <w:pStyle w:val="4"/>
        <w:spacing w:before="195" w:after="195"/>
      </w:pPr>
      <w:r>
        <w:rPr>
          <w:rFonts w:hint="eastAsia"/>
        </w:rPr>
        <w:t>停车设施规划</w:t>
      </w:r>
    </w:p>
    <w:p>
      <w:pPr>
        <w:spacing w:before="65"/>
        <w:ind w:firstLine="640"/>
      </w:pPr>
      <w:r>
        <w:rPr>
          <w:rFonts w:hint="eastAsia"/>
        </w:rPr>
        <w:t>在镇区中部结合商业设施规划1处社会停车场，面积为0.21公顷。</w:t>
      </w:r>
    </w:p>
    <w:p>
      <w:pPr>
        <w:pStyle w:val="3"/>
      </w:pPr>
      <w:bookmarkStart w:id="205" w:name="_Toc129799057"/>
      <w:r>
        <w:rPr>
          <w:rFonts w:hint="eastAsia"/>
        </w:rPr>
        <w:t>基础设施</w:t>
      </w:r>
      <w:bookmarkEnd w:id="205"/>
      <w:r>
        <w:rPr>
          <w:rFonts w:hint="eastAsia"/>
        </w:rPr>
        <w:t>规划</w:t>
      </w:r>
    </w:p>
    <w:p>
      <w:pPr>
        <w:pStyle w:val="4"/>
        <w:spacing w:before="195" w:after="195"/>
      </w:pPr>
      <w:r>
        <w:rPr>
          <w:rFonts w:hint="eastAsia"/>
        </w:rPr>
        <w:t>给水工程规划</w:t>
      </w:r>
    </w:p>
    <w:p>
      <w:pPr>
        <w:pStyle w:val="5"/>
        <w:ind w:firstLine="640"/>
      </w:pPr>
      <w:r>
        <w:rPr>
          <w:rFonts w:hint="eastAsia"/>
        </w:rPr>
        <w:t>用水量预测</w:t>
      </w:r>
    </w:p>
    <w:p>
      <w:pPr>
        <w:spacing w:before="48"/>
        <w:ind w:firstLine="640"/>
      </w:pPr>
      <w:r>
        <w:rPr>
          <w:rFonts w:hint="eastAsia"/>
        </w:rPr>
        <w:t>预测镇区最高日用水量为1060立方米/日。</w:t>
      </w:r>
    </w:p>
    <w:p>
      <w:pPr>
        <w:pStyle w:val="5"/>
        <w:ind w:firstLine="640"/>
      </w:pPr>
      <w:r>
        <w:rPr>
          <w:rFonts w:hint="eastAsia"/>
        </w:rPr>
        <w:t>水厂规划</w:t>
      </w:r>
    </w:p>
    <w:p>
      <w:pPr>
        <w:spacing w:before="48"/>
        <w:ind w:firstLine="640"/>
      </w:pPr>
      <w:r>
        <w:rPr>
          <w:rFonts w:hint="eastAsia"/>
        </w:rPr>
        <w:t>规划扩建东王庄供水厂，规模至0.2万立方米/日，供水水源采用附近的中深层地下水。</w:t>
      </w:r>
    </w:p>
    <w:p>
      <w:pPr>
        <w:pStyle w:val="5"/>
        <w:ind w:firstLine="640"/>
      </w:pPr>
      <w:r>
        <w:rPr>
          <w:rFonts w:hint="eastAsia"/>
        </w:rPr>
        <w:t>供水管网规划</w:t>
      </w:r>
    </w:p>
    <w:p>
      <w:pPr>
        <w:spacing w:before="48"/>
        <w:ind w:firstLine="640"/>
      </w:pPr>
      <w:r>
        <w:rPr>
          <w:rFonts w:hint="eastAsia"/>
          <w:bCs/>
        </w:rPr>
        <w:t>规划沿宝天曼大道、健康路、朝阳路、农游路敷设DN200给水管，沿为民路、利民街、金叶大道、兴达路、教育路等道路敷设DN150给水管。规划给水管与相交道路给水管相接，形成安全可靠的环状供水系统。</w:t>
      </w:r>
    </w:p>
    <w:p>
      <w:pPr>
        <w:pStyle w:val="4"/>
        <w:spacing w:before="195" w:after="195"/>
      </w:pPr>
      <w:r>
        <w:rPr>
          <w:rFonts w:hint="eastAsia"/>
        </w:rPr>
        <w:t>排水工程规划</w:t>
      </w:r>
    </w:p>
    <w:p>
      <w:pPr>
        <w:pStyle w:val="5"/>
        <w:ind w:firstLine="640"/>
      </w:pPr>
      <w:r>
        <w:rPr>
          <w:rFonts w:hint="eastAsia"/>
        </w:rPr>
        <w:t>污水工程</w:t>
      </w:r>
    </w:p>
    <w:p>
      <w:pPr>
        <w:spacing w:before="48"/>
        <w:ind w:firstLine="640"/>
        <w:rPr>
          <w:bCs/>
        </w:rPr>
      </w:pPr>
      <w:r>
        <w:rPr>
          <w:rFonts w:hint="eastAsia"/>
          <w:bCs/>
        </w:rPr>
        <w:t>规划镇区实行雨污分流制排水系统。</w:t>
      </w:r>
    </w:p>
    <w:p>
      <w:pPr>
        <w:spacing w:before="48"/>
        <w:ind w:firstLine="640"/>
        <w:rPr>
          <w:bCs/>
        </w:rPr>
      </w:pPr>
      <w:r>
        <w:rPr>
          <w:rFonts w:hint="eastAsia"/>
          <w:bCs/>
        </w:rPr>
        <w:t>预测镇区平均日污水量为542立方米/日。</w:t>
      </w:r>
    </w:p>
    <w:p>
      <w:pPr>
        <w:spacing w:before="48"/>
        <w:ind w:firstLine="640"/>
      </w:pPr>
      <w:r>
        <w:rPr>
          <w:rFonts w:hint="eastAsia"/>
          <w:bCs/>
        </w:rPr>
        <w:t>规划镇区污水由污水管网收集排入余关镇污水处理厂，污水厂规模为0.2万立方米/日；污水处理厂出水水质要求达到《城镇污水处理厂污染物排放标准》（GB18918-2002）中规定的一级A标准，处理达标后排入</w:t>
      </w:r>
      <w:bookmarkStart w:id="206" w:name="_Hlk209015881"/>
      <w:r>
        <w:rPr>
          <w:rFonts w:hint="eastAsia"/>
          <w:bCs/>
        </w:rPr>
        <w:t>镇区东侧河流</w:t>
      </w:r>
      <w:bookmarkEnd w:id="206"/>
      <w:r>
        <w:rPr>
          <w:rFonts w:hint="eastAsia"/>
        </w:rPr>
        <w:t>。</w:t>
      </w:r>
    </w:p>
    <w:p>
      <w:pPr>
        <w:pStyle w:val="5"/>
        <w:ind w:firstLine="640"/>
      </w:pPr>
      <w:r>
        <w:rPr>
          <w:rFonts w:hint="eastAsia"/>
        </w:rPr>
        <w:t>雨水工程</w:t>
      </w:r>
    </w:p>
    <w:p>
      <w:pPr>
        <w:spacing w:before="48"/>
        <w:ind w:firstLine="640"/>
      </w:pPr>
      <w:r>
        <w:rPr>
          <w:rFonts w:hint="eastAsia"/>
        </w:rPr>
        <w:t>镇区雨水管渠设计重现期为2-3年；镇区的重要地区如行政中心、学校、医院、商业聚集区等雨水管渠设计重现期为3-5年；镇区的地下通道和下沉式广场等雨水管渠设计重现期为10-20年。</w:t>
      </w:r>
    </w:p>
    <w:p>
      <w:pPr>
        <w:spacing w:before="48"/>
        <w:ind w:firstLine="640"/>
      </w:pPr>
      <w:r>
        <w:rPr>
          <w:rFonts w:hint="eastAsia"/>
        </w:rPr>
        <w:t>规划沿为民路、利民街、金叶大道、农游路、朝阳路等道路敷设d500-d800雨水管，</w:t>
      </w:r>
      <w:bookmarkStart w:id="207" w:name="_Hlk209015900"/>
      <w:r>
        <w:rPr>
          <w:rFonts w:hint="eastAsia"/>
        </w:rPr>
        <w:t>雨水向东排入河流</w:t>
      </w:r>
      <w:bookmarkEnd w:id="207"/>
      <w:r>
        <w:rPr>
          <w:rFonts w:hint="eastAsia"/>
          <w:bCs/>
        </w:rPr>
        <w:t>。</w:t>
      </w:r>
    </w:p>
    <w:p>
      <w:pPr>
        <w:pStyle w:val="4"/>
        <w:spacing w:before="195" w:after="195"/>
      </w:pPr>
      <w:r>
        <w:rPr>
          <w:rFonts w:hint="eastAsia"/>
        </w:rPr>
        <w:t>电力工程规划</w:t>
      </w:r>
    </w:p>
    <w:p>
      <w:pPr>
        <w:pStyle w:val="5"/>
        <w:ind w:firstLine="640"/>
      </w:pPr>
      <w:r>
        <w:rPr>
          <w:rFonts w:hint="eastAsia"/>
        </w:rPr>
        <w:t>用电负荷预测</w:t>
      </w:r>
    </w:p>
    <w:p>
      <w:pPr>
        <w:spacing w:before="48"/>
        <w:ind w:firstLine="640"/>
      </w:pPr>
      <w:r>
        <w:rPr>
          <w:rFonts w:hint="eastAsia"/>
        </w:rPr>
        <w:t>预测镇区用电负荷约为7209千瓦。</w:t>
      </w:r>
    </w:p>
    <w:p>
      <w:pPr>
        <w:pStyle w:val="5"/>
        <w:ind w:firstLine="640"/>
      </w:pPr>
      <w:r>
        <w:rPr>
          <w:rFonts w:hint="eastAsia"/>
        </w:rPr>
        <w:t>变电设施规划</w:t>
      </w:r>
    </w:p>
    <w:p>
      <w:pPr>
        <w:spacing w:before="48"/>
        <w:ind w:firstLine="640"/>
      </w:pPr>
      <w:r>
        <w:rPr>
          <w:rFonts w:hint="eastAsia"/>
        </w:rPr>
        <w:t>规划将现状35千伏余关变升压至110千伏，供电容量为2×50兆伏安</w:t>
      </w:r>
      <w:r>
        <w:t>变。</w:t>
      </w:r>
    </w:p>
    <w:p>
      <w:pPr>
        <w:pStyle w:val="5"/>
        <w:ind w:firstLine="640"/>
      </w:pPr>
      <w:r>
        <w:rPr>
          <w:rFonts w:hint="eastAsia"/>
        </w:rPr>
        <w:t>电力廊道规划</w:t>
      </w:r>
    </w:p>
    <w:p>
      <w:pPr>
        <w:spacing w:before="48"/>
        <w:ind w:firstLine="640"/>
      </w:pPr>
      <w:bookmarkStart w:id="208" w:name="_Hlk150874338"/>
      <w:r>
        <w:rPr>
          <w:rFonts w:hint="eastAsia"/>
          <w:bCs/>
        </w:rPr>
        <w:t>110千伏高压线设置15-25米宽的高压走廊；35千伏高压线设置15-20米宽的高压走廊。根据《电力设施保护条例实施细则》，电力廊道内不得进行建设及危害电力设施的行为</w:t>
      </w:r>
      <w:r>
        <w:rPr>
          <w:rFonts w:hint="eastAsia"/>
        </w:rPr>
        <w:t>。</w:t>
      </w:r>
      <w:bookmarkEnd w:id="208"/>
    </w:p>
    <w:p>
      <w:pPr>
        <w:pStyle w:val="4"/>
        <w:spacing w:before="195" w:after="195"/>
      </w:pPr>
      <w:r>
        <w:rPr>
          <w:rFonts w:hint="eastAsia"/>
        </w:rPr>
        <w:t>通信工程规划</w:t>
      </w:r>
    </w:p>
    <w:p>
      <w:pPr>
        <w:pStyle w:val="5"/>
        <w:ind w:firstLine="640"/>
      </w:pPr>
      <w:r>
        <w:rPr>
          <w:rFonts w:hint="eastAsia"/>
        </w:rPr>
        <w:t>容量预测</w:t>
      </w:r>
    </w:p>
    <w:p>
      <w:pPr>
        <w:ind w:firstLine="640"/>
      </w:pPr>
      <w:r>
        <w:rPr>
          <w:rFonts w:hint="eastAsia"/>
        </w:rPr>
        <w:t>预测镇区固定电话容量需求达到3897线，移动电话用户卡号数约为3700卡号，宽带用户数量达到1400户。</w:t>
      </w:r>
    </w:p>
    <w:p>
      <w:pPr>
        <w:pStyle w:val="5"/>
        <w:ind w:firstLine="640"/>
      </w:pPr>
      <w:r>
        <w:rPr>
          <w:rFonts w:hint="eastAsia"/>
        </w:rPr>
        <w:t>邮政设施与电信设施规划</w:t>
      </w:r>
    </w:p>
    <w:p>
      <w:pPr>
        <w:spacing w:before="48"/>
        <w:ind w:firstLine="640"/>
      </w:pPr>
      <w:r>
        <w:rPr>
          <w:rFonts w:hint="eastAsia"/>
        </w:rPr>
        <w:t>规划保留镇区现状邮政支局1处。规划沿镇区主干道每隔500米设信箱1个，住宅楼各单元入口处设报箱。</w:t>
      </w:r>
    </w:p>
    <w:p>
      <w:pPr>
        <w:pStyle w:val="5"/>
        <w:ind w:firstLine="640"/>
      </w:pPr>
      <w:r>
        <w:rPr>
          <w:rFonts w:hint="eastAsia"/>
        </w:rPr>
        <w:t>广播电视设施规划</w:t>
      </w:r>
    </w:p>
    <w:p>
      <w:pPr>
        <w:spacing w:before="48"/>
        <w:ind w:firstLine="640"/>
      </w:pPr>
      <w:r>
        <w:rPr>
          <w:rFonts w:hint="eastAsia"/>
        </w:rPr>
        <w:t>规划广播电视综合交叉覆盖率达到98％以上，有线电视入户实现数字化、传输线路全部采用光缆，埋户率达100％。</w:t>
      </w:r>
    </w:p>
    <w:p>
      <w:pPr>
        <w:pStyle w:val="4"/>
        <w:spacing w:before="195" w:after="195"/>
      </w:pPr>
      <w:r>
        <w:rPr>
          <w:rFonts w:hint="eastAsia"/>
        </w:rPr>
        <w:t>燃气工程规划</w:t>
      </w:r>
    </w:p>
    <w:p>
      <w:pPr>
        <w:pStyle w:val="5"/>
        <w:ind w:firstLine="640"/>
      </w:pPr>
      <w:r>
        <w:rPr>
          <w:rFonts w:hint="eastAsia"/>
        </w:rPr>
        <w:t>用气负荷预测</w:t>
      </w:r>
    </w:p>
    <w:p>
      <w:pPr>
        <w:spacing w:before="48"/>
        <w:ind w:firstLine="640"/>
      </w:pPr>
      <w:r>
        <w:rPr>
          <w:rFonts w:hint="eastAsia"/>
        </w:rPr>
        <w:t>预测镇区用气负荷约2142立方米/日。</w:t>
      </w:r>
    </w:p>
    <w:p>
      <w:pPr>
        <w:pStyle w:val="5"/>
        <w:ind w:firstLine="640"/>
      </w:pPr>
      <w:r>
        <w:rPr>
          <w:rFonts w:hint="eastAsia"/>
        </w:rPr>
        <w:t>燃气管网规划</w:t>
      </w:r>
    </w:p>
    <w:p>
      <w:pPr>
        <w:spacing w:before="48"/>
        <w:ind w:firstLine="640"/>
      </w:pPr>
      <w:r>
        <w:rPr>
          <w:rFonts w:hint="eastAsia"/>
        </w:rPr>
        <w:t>中心城区燃气输配管网采用中压(A)一级管网系统，规划沿朝阳路、教育路、宝天曼大道、健康路、金叶大道敷设de160燃气管线，沿利民路、为民街、兴达路等道路敷设de110燃气管线，燃气管线呈环状布置，局部为支状</w:t>
      </w:r>
      <w:r>
        <w:rPr>
          <w:rFonts w:hint="eastAsia"/>
          <w:bCs/>
        </w:rPr>
        <w:t>。</w:t>
      </w:r>
    </w:p>
    <w:p>
      <w:pPr>
        <w:pStyle w:val="4"/>
        <w:spacing w:before="195" w:after="195"/>
      </w:pPr>
      <w:r>
        <w:rPr>
          <w:rFonts w:hint="eastAsia"/>
        </w:rPr>
        <w:t>环卫工程规划</w:t>
      </w:r>
    </w:p>
    <w:p>
      <w:pPr>
        <w:pStyle w:val="5"/>
        <w:ind w:firstLine="640"/>
      </w:pPr>
      <w:r>
        <w:t>生活垃圾量预测</w:t>
      </w:r>
    </w:p>
    <w:p>
      <w:pPr>
        <w:spacing w:before="48"/>
        <w:ind w:firstLine="640"/>
      </w:pPr>
      <w:r>
        <w:t>2035年，镇区规划人口约</w:t>
      </w:r>
      <w:r>
        <w:rPr>
          <w:rFonts w:hint="eastAsia"/>
        </w:rPr>
        <w:t>0.34万</w:t>
      </w:r>
      <w:r>
        <w:t>人，人均生活垃圾产生量1.0千克/人·日进行预测。规划至2035年，镇区预测生活垃圾产量为</w:t>
      </w:r>
      <w:r>
        <w:rPr>
          <w:rFonts w:hint="eastAsia"/>
        </w:rPr>
        <w:t>3.4</w:t>
      </w:r>
      <w:r>
        <w:t>吨/日。</w:t>
      </w:r>
    </w:p>
    <w:p>
      <w:pPr>
        <w:pStyle w:val="5"/>
        <w:ind w:firstLine="640"/>
      </w:pPr>
      <w:r>
        <w:t>垃圾收运与处置</w:t>
      </w:r>
    </w:p>
    <w:p>
      <w:pPr>
        <w:spacing w:before="48"/>
        <w:ind w:firstLine="640"/>
      </w:pPr>
      <w:bookmarkStart w:id="209" w:name="_Hlk183016210"/>
      <w:r>
        <w:rPr>
          <w:rFonts w:hint="eastAsia"/>
        </w:rPr>
        <w:t>镇区</w:t>
      </w:r>
      <w:bookmarkEnd w:id="209"/>
      <w:r>
        <w:rPr>
          <w:rFonts w:hint="eastAsia"/>
        </w:rPr>
        <w:t>建立二级转运系统，生活垃圾由垃圾收集点收集后运送至生活垃圾收集站，再运输至规划垃圾转运站进行压缩处理，直接送至垃圾处理场统一处理。</w:t>
      </w:r>
    </w:p>
    <w:p>
      <w:pPr>
        <w:spacing w:before="48"/>
        <w:ind w:firstLine="640"/>
      </w:pPr>
      <w:r>
        <w:rPr>
          <w:rFonts w:hint="eastAsia"/>
        </w:rPr>
        <w:t>建筑垃圾运至建筑垃圾处理厂进行处理；医疗垃圾应采用医疗卫生垃圾专用车运输，统一运输至南阳市医疗垃圾集中处理中心处理；工业一般垃圾以各厂区内部处置为主，资源化与最终处置相结合；危险废弃物纳入南阳市危废处置系统，运至危废处置中心安全处置。</w:t>
      </w:r>
    </w:p>
    <w:p>
      <w:pPr>
        <w:pStyle w:val="5"/>
        <w:ind w:firstLine="640"/>
      </w:pPr>
      <w:r>
        <w:t>环卫设施布局</w:t>
      </w:r>
    </w:p>
    <w:p>
      <w:pPr>
        <w:spacing w:before="48"/>
        <w:ind w:firstLine="640"/>
      </w:pPr>
      <w:r>
        <w:rPr>
          <w:rFonts w:hint="eastAsia"/>
        </w:rPr>
        <w:t>镇区西侧现状保留一座</w:t>
      </w:r>
      <w:r>
        <w:t>生活垃圾转运站。</w:t>
      </w:r>
    </w:p>
    <w:p>
      <w:pPr>
        <w:pStyle w:val="3"/>
      </w:pPr>
      <w:bookmarkStart w:id="210" w:name="_Toc129799058"/>
      <w:bookmarkStart w:id="211" w:name="_Toc127350193"/>
      <w:r>
        <w:rPr>
          <w:rFonts w:hint="eastAsia"/>
        </w:rPr>
        <w:t>综合防灾</w:t>
      </w:r>
      <w:bookmarkEnd w:id="210"/>
      <w:r>
        <w:rPr>
          <w:rFonts w:hint="eastAsia"/>
        </w:rPr>
        <w:t>减灾规划</w:t>
      </w:r>
    </w:p>
    <w:p>
      <w:pPr>
        <w:pStyle w:val="4"/>
        <w:spacing w:before="195" w:after="195"/>
      </w:pPr>
      <w:r>
        <w:rPr>
          <w:rFonts w:hint="eastAsia"/>
        </w:rPr>
        <w:t>综合防灾减灾目标</w:t>
      </w:r>
    </w:p>
    <w:p>
      <w:pPr>
        <w:spacing w:before="65"/>
        <w:ind w:firstLine="640"/>
      </w:pPr>
      <w:r>
        <w:rPr>
          <w:rFonts w:hint="eastAsia"/>
        </w:rPr>
        <w:t>完善避难场所和疏散通道体系，健全各类防灾设施体系，加强生命线系统应急保障能力，优化应急服务设施布局，构建基于社区层面的防灾生活圈，通过灾害隐患点治理全面降低镇区的灾害风险，提高镇区的防灾减灾能力。</w:t>
      </w:r>
    </w:p>
    <w:p>
      <w:pPr>
        <w:pStyle w:val="4"/>
        <w:spacing w:before="195" w:after="195"/>
      </w:pPr>
      <w:r>
        <w:rPr>
          <w:rFonts w:hint="eastAsia"/>
        </w:rPr>
        <w:t>综合防灾空间布局</w:t>
      </w:r>
    </w:p>
    <w:p>
      <w:pPr>
        <w:pStyle w:val="5"/>
        <w:ind w:firstLine="640"/>
      </w:pPr>
      <w:r>
        <w:t>防洪排涝规划</w:t>
      </w:r>
    </w:p>
    <w:p>
      <w:pPr>
        <w:spacing w:before="48"/>
        <w:ind w:firstLine="640"/>
      </w:pPr>
      <w:r>
        <w:rPr>
          <w:rFonts w:hint="eastAsia"/>
        </w:rPr>
        <w:t>防洪标准：余关镇镇区按20年一遇标准设防；镇区东侧河流按20年一遇标准设防</w:t>
      </w:r>
      <w:r>
        <w:t>。</w:t>
      </w:r>
    </w:p>
    <w:p>
      <w:pPr>
        <w:spacing w:before="48"/>
        <w:ind w:firstLine="640"/>
      </w:pPr>
      <w:r>
        <w:rPr>
          <w:rFonts w:hint="eastAsia"/>
        </w:rPr>
        <w:t>内涝防治标准：余关镇能有效应对不低于</w:t>
      </w:r>
      <w:r>
        <w:t>20年一遇的暴雨。</w:t>
      </w:r>
    </w:p>
    <w:p>
      <w:pPr>
        <w:pStyle w:val="5"/>
        <w:ind w:firstLine="640"/>
      </w:pPr>
      <w:r>
        <w:t>消防规划</w:t>
      </w:r>
    </w:p>
    <w:p>
      <w:pPr>
        <w:spacing w:before="48"/>
        <w:ind w:firstLine="640"/>
      </w:pPr>
      <w:r>
        <w:rPr>
          <w:rFonts w:hint="eastAsia"/>
        </w:rPr>
        <w:t>镇区按照普通消防站接警后</w:t>
      </w:r>
      <w:r>
        <w:t>5分钟内消防队可以到达责任区边缘为原则，及消防站责任区范围小于7平方千米的要求设置消防站，</w:t>
      </w:r>
      <w:bookmarkStart w:id="212" w:name="_Hlk183016452"/>
      <w:bookmarkStart w:id="213" w:name="_Hlk209016137"/>
      <w:r>
        <w:rPr>
          <w:rFonts w:hint="eastAsia"/>
        </w:rPr>
        <w:t>规划在镇区南侧、朝阳路东设置1处</w:t>
      </w:r>
      <w:bookmarkEnd w:id="212"/>
      <w:r>
        <w:rPr>
          <w:rFonts w:hint="eastAsia"/>
        </w:rPr>
        <w:t>二级乡镇专职消防队</w:t>
      </w:r>
      <w:bookmarkEnd w:id="213"/>
      <w:r>
        <w:t>。</w:t>
      </w:r>
    </w:p>
    <w:p>
      <w:pPr>
        <w:pStyle w:val="5"/>
        <w:ind w:firstLine="640"/>
      </w:pPr>
      <w:r>
        <w:t>抗震防灾规划</w:t>
      </w:r>
    </w:p>
    <w:p>
      <w:pPr>
        <w:spacing w:before="48"/>
        <w:ind w:firstLine="640"/>
      </w:pPr>
      <w:r>
        <w:rPr>
          <w:rFonts w:hint="eastAsia"/>
        </w:rPr>
        <w:t>余关镇地震烈度为</w:t>
      </w:r>
      <w:r>
        <w:t>7度。新建、扩建、改建建设工程应当达到抗震设防要求；镇区生命线工程（给排水、供电、通讯、道路、桥梁、堤坝等）及主要公共建筑（如体育馆、学校、卫生院、消防站、重要仓库等）按照8度设防。</w:t>
      </w:r>
    </w:p>
    <w:p>
      <w:pPr>
        <w:spacing w:before="48"/>
        <w:ind w:firstLine="640"/>
      </w:pPr>
      <w:r>
        <w:rPr>
          <w:rFonts w:hint="eastAsia"/>
        </w:rPr>
        <w:t>利用镇区公园、绿地、广场、学校、体育场、空地等作为避震疏散场地。固定避难场所人均有效避难面积不小于</w:t>
      </w:r>
      <w:r>
        <w:t>2.0平方米。</w:t>
      </w:r>
    </w:p>
    <w:p>
      <w:pPr>
        <w:spacing w:before="48"/>
        <w:ind w:firstLine="640"/>
      </w:pPr>
      <w:r>
        <w:rPr>
          <w:rFonts w:hint="eastAsia"/>
        </w:rPr>
        <w:t>将镇区主次干道、过境公路作为主要避震疏散通道。</w:t>
      </w:r>
    </w:p>
    <w:p>
      <w:pPr>
        <w:spacing w:before="48"/>
        <w:ind w:firstLine="640"/>
      </w:pPr>
      <w:r>
        <w:rPr>
          <w:rFonts w:hint="eastAsia"/>
        </w:rPr>
        <w:t>救灾干道：S243</w:t>
      </w:r>
    </w:p>
    <w:p>
      <w:pPr>
        <w:spacing w:before="48"/>
        <w:ind w:firstLine="640"/>
      </w:pPr>
      <w:r>
        <w:rPr>
          <w:rFonts w:hint="eastAsia"/>
        </w:rPr>
        <w:t>疏散主干道：以健康路、朝阳路、金叶大道、农游路等镇区主干道为主要疏散干道。</w:t>
      </w:r>
    </w:p>
    <w:p>
      <w:pPr>
        <w:pStyle w:val="5"/>
        <w:ind w:firstLine="640"/>
      </w:pPr>
      <w:r>
        <w:t>突发公共卫生事件防御规划</w:t>
      </w:r>
    </w:p>
    <w:p>
      <w:pPr>
        <w:spacing w:before="48"/>
        <w:ind w:firstLine="640"/>
      </w:pPr>
      <w:r>
        <w:rPr>
          <w:rFonts w:hint="eastAsia"/>
        </w:rPr>
        <w:t>出现灾情、疫情时，在镇区主入口设公安劝阻站，控制疏导车辆、人流进出镇区，保证救灾车辆顺利通行，所有出入疫区的人流、车流经过消毒，防止疫情扩散。</w:t>
      </w:r>
    </w:p>
    <w:p>
      <w:pPr>
        <w:pStyle w:val="4"/>
        <w:spacing w:before="195" w:after="195"/>
      </w:pPr>
      <w:r>
        <w:rPr>
          <w:rFonts w:hint="eastAsia"/>
        </w:rPr>
        <w:t>综合防灾应急服务设施规划</w:t>
      </w:r>
    </w:p>
    <w:p>
      <w:pPr>
        <w:pStyle w:val="5"/>
        <w:spacing w:before="97" w:after="97"/>
        <w:ind w:firstLine="640"/>
      </w:pPr>
      <w:r>
        <w:t>应急指挥设施体系</w:t>
      </w:r>
    </w:p>
    <w:p>
      <w:pPr>
        <w:spacing w:before="65"/>
        <w:ind w:firstLine="640"/>
      </w:pPr>
      <w:r>
        <w:rPr>
          <w:rFonts w:hint="eastAsia"/>
        </w:rPr>
        <w:t>镇区设置应急指挥中心</w:t>
      </w:r>
      <w:r>
        <w:t>1处，位于镇人民政府。</w:t>
      </w:r>
    </w:p>
    <w:p>
      <w:pPr>
        <w:pStyle w:val="5"/>
        <w:spacing w:before="97" w:after="97"/>
        <w:ind w:firstLine="640"/>
      </w:pPr>
      <w:r>
        <w:t>应急救灾物资储备设施</w:t>
      </w:r>
    </w:p>
    <w:p>
      <w:pPr>
        <w:spacing w:before="65"/>
        <w:ind w:firstLine="640"/>
      </w:pPr>
      <w:bookmarkStart w:id="214" w:name="_Hlk209016161"/>
      <w:r>
        <w:rPr>
          <w:rFonts w:hint="eastAsia"/>
        </w:rPr>
        <w:t>结合镇政府设置救灾物资储备库</w:t>
      </w:r>
      <w:bookmarkEnd w:id="214"/>
      <w:r>
        <w:rPr>
          <w:rFonts w:hint="eastAsia"/>
        </w:rPr>
        <w:t>，并配置装卸设备、技防设备、物资保管维护设备、交通工具（应急调度车、救灾物资转运车）与通讯调度设备等。</w:t>
      </w:r>
    </w:p>
    <w:p>
      <w:pPr>
        <w:pStyle w:val="5"/>
        <w:spacing w:before="97" w:after="97"/>
        <w:ind w:firstLine="640"/>
      </w:pPr>
      <w:r>
        <w:t>提升应急医疗服务能力</w:t>
      </w:r>
    </w:p>
    <w:p>
      <w:pPr>
        <w:spacing w:before="65"/>
        <w:ind w:firstLine="640"/>
      </w:pPr>
      <w:r>
        <w:rPr>
          <w:rFonts w:hint="eastAsia"/>
        </w:rPr>
        <w:t>镇区依托现状余关镇卫生院设置镇级应急医疗设施。</w:t>
      </w:r>
    </w:p>
    <w:p>
      <w:pPr>
        <w:pStyle w:val="5"/>
        <w:spacing w:before="97" w:after="97"/>
        <w:ind w:firstLine="640"/>
      </w:pPr>
      <w:r>
        <w:t>生命线系统</w:t>
      </w:r>
    </w:p>
    <w:p>
      <w:pPr>
        <w:spacing w:before="65"/>
        <w:ind w:firstLine="640"/>
      </w:pPr>
      <w:r>
        <w:rPr>
          <w:rFonts w:hint="eastAsia"/>
        </w:rPr>
        <w:t>供水系统：水厂建设标准应满足放在要求，在每个紧急避难场所设取水井供灾时使用；配备送水车以备应急时使用。</w:t>
      </w:r>
    </w:p>
    <w:p>
      <w:pPr>
        <w:spacing w:before="65"/>
        <w:ind w:firstLine="640"/>
      </w:pPr>
      <w:r>
        <w:rPr>
          <w:rFonts w:hint="eastAsia"/>
        </w:rPr>
        <w:t>供电系统：避震疏散场所储备必要的供电设施（小型发电机、应急电源接入开关柜），特别是政府救灾部门、卫生院、派出所、消防部门。配备一定数量的移动发电车，保障灾害时救灾相关部门发电机出现故障时的供电。</w:t>
      </w:r>
    </w:p>
    <w:p>
      <w:pPr>
        <w:spacing w:before="65"/>
        <w:ind w:firstLine="640"/>
      </w:pPr>
      <w:r>
        <w:rPr>
          <w:rFonts w:hint="eastAsia"/>
        </w:rPr>
        <w:t>通信系统：为政府救灾部门、卫生院、派出所、消防部门配备防灾通信机房及无线基站，采用专线光缆与重要通信机楼联络。配备一定数量的移动通信车、全球卫星通信设备，加强重大灾害时政府救灾部门、卫生院、派出所、消防部门的通信能力。</w:t>
      </w:r>
    </w:p>
    <w:p>
      <w:pPr>
        <w:spacing w:before="65"/>
        <w:ind w:firstLine="640"/>
      </w:pPr>
      <w:r>
        <w:rPr>
          <w:rFonts w:hint="eastAsia"/>
        </w:rPr>
        <w:t>燃气系统：维修和改造现有燃气系统薄弱环节；加强新铺设管道抗灾能力；设置防灾自动化控制系统；燃料供应点（加油加气站）由防灾指挥部统一调配；设立一网统管燃气管理系统，燃气设施增加互联网传感器；配备一定数量的燃气应急泄露疏散设备移动发电车移动通信车抢险维修维护车辆。</w:t>
      </w:r>
    </w:p>
    <w:bookmarkEnd w:id="211"/>
    <w:p>
      <w:pPr>
        <w:pStyle w:val="3"/>
      </w:pPr>
      <w:r>
        <w:rPr>
          <w:rFonts w:hint="eastAsia"/>
        </w:rPr>
        <w:t>城市四线划定</w:t>
      </w:r>
    </w:p>
    <w:p>
      <w:pPr>
        <w:pStyle w:val="4"/>
        <w:spacing w:before="195" w:after="195"/>
      </w:pPr>
      <w:bookmarkStart w:id="215" w:name="_Hlk142924641"/>
      <w:r>
        <w:rPr>
          <w:rFonts w:hint="eastAsia"/>
        </w:rPr>
        <w:t>城市黄线</w:t>
      </w:r>
    </w:p>
    <w:bookmarkEnd w:id="215"/>
    <w:p>
      <w:pPr>
        <w:spacing w:before="48"/>
        <w:ind w:firstLine="640"/>
        <w:rPr>
          <w:u w:val="single"/>
        </w:rPr>
      </w:pPr>
      <w:r>
        <w:rPr>
          <w:rFonts w:hint="eastAsia"/>
          <w:u w:val="single"/>
        </w:rPr>
        <w:t>包括包括余关镇汽车客运站和35KV变电站，面积分别为0.27公顷、0.21公顷。</w:t>
      </w:r>
    </w:p>
    <w:p>
      <w:pPr>
        <w:spacing w:before="65"/>
        <w:ind w:firstLine="640"/>
        <w:rPr>
          <w:u w:val="single"/>
        </w:rPr>
      </w:pPr>
      <w:r>
        <w:rPr>
          <w:rFonts w:hint="eastAsia"/>
          <w:u w:val="single"/>
        </w:rPr>
        <w:t>城市黄线内不得改作他用，不得违反法律法规、强制性标准以及批准的规划进行开发建设。</w:t>
      </w:r>
      <w:r>
        <w:rPr>
          <w:u w:val="single"/>
        </w:rPr>
        <w:t>违反国家有关技术标准和规范进行建设；未经批准，改装、迁移或拆毁原有城市基础设施；其他损坏城市基础设施或影响城市基础设施安全和正常运转的行为。</w:t>
      </w:r>
    </w:p>
    <w:p>
      <w:pPr>
        <w:pStyle w:val="4"/>
        <w:spacing w:before="195" w:after="195"/>
      </w:pPr>
      <w:bookmarkStart w:id="216" w:name="_Hlk142924653"/>
      <w:bookmarkStart w:id="217" w:name="_Hlk142924647"/>
      <w:r>
        <w:rPr>
          <w:rFonts w:hint="eastAsia"/>
        </w:rPr>
        <w:t>城市绿线</w:t>
      </w:r>
    </w:p>
    <w:bookmarkEnd w:id="216"/>
    <w:p>
      <w:pPr>
        <w:spacing w:before="48"/>
        <w:ind w:firstLine="640"/>
        <w:rPr>
          <w:u w:val="single"/>
        </w:rPr>
      </w:pPr>
      <w:r>
        <w:rPr>
          <w:rFonts w:hint="eastAsia"/>
          <w:u w:val="single"/>
        </w:rPr>
        <w:t>控制范围共1.25</w:t>
      </w:r>
      <w:r>
        <w:rPr>
          <w:u w:val="single"/>
        </w:rPr>
        <w:t>公顷，为规划范围内的</w:t>
      </w:r>
      <w:r>
        <w:rPr>
          <w:rFonts w:hint="eastAsia"/>
          <w:u w:val="single"/>
        </w:rPr>
        <w:t>结构性</w:t>
      </w:r>
      <w:r>
        <w:rPr>
          <w:u w:val="single"/>
        </w:rPr>
        <w:t>公园绿地和</w:t>
      </w:r>
      <w:r>
        <w:rPr>
          <w:rFonts w:hint="eastAsia"/>
          <w:u w:val="single"/>
        </w:rPr>
        <w:t>防护绿地。</w:t>
      </w:r>
    </w:p>
    <w:p>
      <w:pPr>
        <w:spacing w:before="65"/>
        <w:ind w:firstLine="640"/>
      </w:pPr>
      <w:r>
        <w:rPr>
          <w:rFonts w:hint="eastAsia"/>
          <w:u w:val="single"/>
        </w:rPr>
        <w:t>城市绿线内的用地，不得改作他用，不得违反法律法规、强制性标准以及批准的规划进行开发建设。控制线内的用地，不得改作他用，不得违反法律法规、强制性标准以及批准的规划进行开发建设。有关部门不得违反规定，批准在城市绿线范围内进行建设。因建设或者其他特殊情况，需要临时占用城市绿线内用地的，必须依法办理相关审批手续。在城市绿线范围内，不符合规划要求的建筑物、构筑物及其他设施应当限期迁出。任何单位和个人不得在绿地控制线范围内进行拦河截溪、取土采石、设置垃圾堆场、排放污水以及其他对生态环境构成破坏的活动。近期不进行绿化建设的规划绿地范围内的建设活动，应当进行生态环境影响分析，并按照《中华人民共和国城乡规划法》的规定，予以严格控制</w:t>
      </w:r>
      <w:r>
        <w:rPr>
          <w:rFonts w:hint="eastAsia"/>
        </w:rPr>
        <w:t>。</w:t>
      </w:r>
    </w:p>
    <w:bookmarkEnd w:id="217"/>
    <w:p>
      <w:pPr>
        <w:spacing w:before="65"/>
        <w:ind w:firstLine="640"/>
      </w:pPr>
      <w:r>
        <w:br w:type="page"/>
      </w:r>
    </w:p>
    <w:p>
      <w:pPr>
        <w:spacing w:before="65"/>
        <w:ind w:firstLine="640"/>
      </w:pPr>
    </w:p>
    <w:p>
      <w:pPr>
        <w:pStyle w:val="2"/>
        <w:spacing w:before="489" w:after="489"/>
      </w:pPr>
      <w:bookmarkStart w:id="218" w:name="_Toc207114523"/>
      <w:r>
        <w:rPr>
          <w:rFonts w:hint="eastAsia"/>
        </w:rPr>
        <w:t>土地综合整治与生态修复</w:t>
      </w:r>
      <w:bookmarkEnd w:id="218"/>
    </w:p>
    <w:p>
      <w:pPr>
        <w:pStyle w:val="3"/>
      </w:pPr>
      <w:bookmarkStart w:id="219" w:name="_Hlk142899891"/>
      <w:bookmarkStart w:id="220" w:name="_Toc11093"/>
      <w:bookmarkStart w:id="221" w:name="_Toc27152"/>
      <w:r>
        <w:rPr>
          <w:rFonts w:hint="eastAsia"/>
        </w:rPr>
        <w:t>土地综合整治</w:t>
      </w:r>
      <w:bookmarkEnd w:id="219"/>
      <w:bookmarkEnd w:id="220"/>
    </w:p>
    <w:p>
      <w:pPr>
        <w:pStyle w:val="4"/>
        <w:spacing w:before="195" w:after="195"/>
      </w:pPr>
      <w:r>
        <w:rPr>
          <w:rFonts w:hint="eastAsia"/>
        </w:rPr>
        <w:t>落实</w:t>
      </w:r>
      <w:r>
        <w:t>整治</w:t>
      </w:r>
      <w:r>
        <w:rPr>
          <w:rFonts w:hint="eastAsia"/>
        </w:rPr>
        <w:t>任务</w:t>
      </w:r>
    </w:p>
    <w:p>
      <w:pPr>
        <w:spacing w:before="65"/>
        <w:ind w:firstLine="640"/>
        <w:rPr>
          <w:rFonts w:ascii="Times New Roman" w:hAnsi="Times New Roman"/>
        </w:rPr>
      </w:pPr>
      <w:r>
        <w:rPr>
          <w:rFonts w:hint="eastAsia"/>
        </w:rPr>
        <w:t>规划期内，落实土地整治补充耕地任务不低于62.00公顷，其中农用地整理补充耕地规模32.00公顷，农村建设用地整理补充耕地规模16.00公顷，耕地后备资源开发补充耕地规模14.00公顷。</w:t>
      </w:r>
      <w:bookmarkStart w:id="222" w:name="_Hlk209016217"/>
      <w:r>
        <w:rPr>
          <w:rFonts w:hint="eastAsia"/>
        </w:rPr>
        <w:t>区域内有条件的永久基本农田全部建成为高标准农田。</w:t>
      </w:r>
      <w:bookmarkEnd w:id="222"/>
    </w:p>
    <w:p>
      <w:pPr>
        <w:pStyle w:val="4"/>
        <w:spacing w:before="195" w:after="195"/>
      </w:pPr>
      <w:r>
        <w:rPr>
          <w:rFonts w:hint="eastAsia"/>
        </w:rPr>
        <w:t>整治重点区域</w:t>
      </w:r>
    </w:p>
    <w:p>
      <w:pPr>
        <w:ind w:firstLine="640"/>
      </w:pPr>
      <w:r>
        <w:rPr>
          <w:rFonts w:hint="eastAsia"/>
        </w:rPr>
        <w:t>1.土地综合整治重点区域</w:t>
      </w:r>
    </w:p>
    <w:p>
      <w:pPr>
        <w:ind w:firstLine="640"/>
      </w:pPr>
      <w:r>
        <w:rPr>
          <w:rFonts w:hint="eastAsia"/>
        </w:rPr>
        <w:t>包括子育村、李沟村、独树村、岳沟村、梁坪村、报事滩村、麦西村、石庙村等8个村庄。此区域宜整体推进农用地整理、建设用地整理和生态保护修复，优化生产、生活、生态空间，促进土地节约集约利用，改善农村人居环境，加快推进农业农村现代化。</w:t>
      </w:r>
    </w:p>
    <w:p>
      <w:pPr>
        <w:ind w:firstLine="640"/>
      </w:pPr>
      <w:r>
        <w:rPr>
          <w:rFonts w:hint="eastAsia"/>
        </w:rPr>
        <w:t>2.农用地整理重点区域</w:t>
      </w:r>
    </w:p>
    <w:p>
      <w:pPr>
        <w:ind w:firstLine="640"/>
      </w:pPr>
      <w:bookmarkStart w:id="223" w:name="_Hlk209016255"/>
      <w:r>
        <w:rPr>
          <w:rFonts w:hint="eastAsia"/>
        </w:rPr>
        <w:t>包括余关村、王沟村、黄楝村、谢寨村、朱沟村、孙沟村等6个村庄。此区域宜统筹推进低效林草地和园林地整理、农田基础设施建设和现状耕地提质改造等，加快推进高标准农田建设，夯实农业现代化基础</w:t>
      </w:r>
      <w:bookmarkEnd w:id="223"/>
      <w:r>
        <w:rPr>
          <w:rFonts w:hint="eastAsia"/>
        </w:rPr>
        <w:t>。</w:t>
      </w:r>
    </w:p>
    <w:p>
      <w:pPr>
        <w:ind w:firstLine="640"/>
      </w:pPr>
      <w:r>
        <w:rPr>
          <w:rFonts w:hint="eastAsia"/>
        </w:rPr>
        <w:t>3.</w:t>
      </w:r>
      <w:bookmarkStart w:id="224" w:name="_Hlk209016286"/>
      <w:r>
        <w:rPr>
          <w:rFonts w:hint="eastAsia"/>
        </w:rPr>
        <w:t>农村建设用地整理重点区域</w:t>
      </w:r>
      <w:bookmarkEnd w:id="224"/>
    </w:p>
    <w:p>
      <w:pPr>
        <w:ind w:firstLine="640"/>
      </w:pPr>
      <w:bookmarkStart w:id="225" w:name="_Hlk209016290"/>
      <w:r>
        <w:rPr>
          <w:rFonts w:hint="eastAsia"/>
        </w:rPr>
        <w:t>包括麦山村、东王庄村、东孙沟村等3个村庄。此区域宜统筹农村住宅建设、产业发展、公共服务、基础设施等各类建设用地，有序开展农村宅基地、工矿废弃地以及其他低效闲置建设用地整理，优化农村建设用地布局</w:t>
      </w:r>
      <w:bookmarkEnd w:id="225"/>
      <w:r>
        <w:rPr>
          <w:rFonts w:hint="eastAsia"/>
        </w:rPr>
        <w:t>。</w:t>
      </w:r>
    </w:p>
    <w:p>
      <w:pPr>
        <w:ind w:firstLine="640"/>
      </w:pPr>
      <w:r>
        <w:rPr>
          <w:rFonts w:hint="eastAsia"/>
        </w:rPr>
        <w:t>4.</w:t>
      </w:r>
      <w:bookmarkStart w:id="226" w:name="_Hlk209016298"/>
      <w:r>
        <w:rPr>
          <w:rFonts w:hint="eastAsia"/>
        </w:rPr>
        <w:t>耕地后备资源开发重点区域</w:t>
      </w:r>
      <w:bookmarkEnd w:id="226"/>
    </w:p>
    <w:p>
      <w:pPr>
        <w:ind w:firstLine="640"/>
      </w:pPr>
      <w:bookmarkStart w:id="227" w:name="_Hlk209016302"/>
      <w:r>
        <w:rPr>
          <w:rFonts w:hint="eastAsia"/>
        </w:rPr>
        <w:t>包括子育村、李沟村、独树村、岳沟村、梁坪村、报事滩村、麦西村、石庙村等8个村庄范围内适宜开发区域。此区域应在保护和改善生态环境的前提下，因地制宜适度开发耕地后备资源</w:t>
      </w:r>
      <w:bookmarkEnd w:id="227"/>
      <w:r>
        <w:rPr>
          <w:rFonts w:hint="eastAsia"/>
        </w:rPr>
        <w:t>。</w:t>
      </w:r>
    </w:p>
    <w:p>
      <w:pPr>
        <w:pStyle w:val="4"/>
        <w:spacing w:before="195" w:after="195"/>
      </w:pPr>
      <w:r>
        <w:rPr>
          <w:rFonts w:hint="eastAsia"/>
        </w:rPr>
        <w:t>整治</w:t>
      </w:r>
      <w:r>
        <w:t>重点</w:t>
      </w:r>
      <w:r>
        <w:rPr>
          <w:rFonts w:hint="eastAsia"/>
        </w:rPr>
        <w:t>工程</w:t>
      </w:r>
    </w:p>
    <w:p>
      <w:pPr>
        <w:ind w:firstLine="640"/>
      </w:pPr>
      <w:r>
        <w:rPr>
          <w:rFonts w:hint="eastAsia"/>
          <w:bCs/>
        </w:rPr>
        <w:t>全域土地综合整治项目。以全镇为单元整体推进土地综合整治，开展全域土地综合整治项目，包含农用地整治、建设用地整治、乡村生态保护修复、乡村振兴及人居环境提升等。综合整治过程中，以整治重点区域为引，分别侧重综合整治、农用地整理、农村建设用地整理、耕地后备资源开发等，分解补充耕地任务，完成耕地保护目标。</w:t>
      </w:r>
    </w:p>
    <w:p>
      <w:pPr>
        <w:pStyle w:val="3"/>
      </w:pPr>
      <w:r>
        <w:rPr>
          <w:rFonts w:hint="eastAsia"/>
        </w:rPr>
        <w:t>国土空间生态修复</w:t>
      </w:r>
      <w:bookmarkEnd w:id="221"/>
    </w:p>
    <w:p>
      <w:pPr>
        <w:pStyle w:val="4"/>
        <w:spacing w:before="195" w:after="195"/>
      </w:pPr>
      <w:r>
        <w:rPr>
          <w:rFonts w:hint="eastAsia"/>
        </w:rPr>
        <w:t>生态修复</w:t>
      </w:r>
    </w:p>
    <w:p>
      <w:pPr>
        <w:pStyle w:val="5"/>
        <w:ind w:firstLine="640"/>
      </w:pPr>
      <w:r>
        <w:t>水生态修复</w:t>
      </w:r>
    </w:p>
    <w:p>
      <w:pPr>
        <w:spacing w:before="48"/>
        <w:ind w:firstLine="640"/>
        <w:rPr>
          <w:rFonts w:ascii="Times New Roman" w:hAnsi="Times New Roman"/>
          <w:lang w:bidi="ar"/>
        </w:rPr>
      </w:pPr>
      <w:r>
        <w:rPr>
          <w:rFonts w:hint="eastAsia" w:ascii="Times New Roman" w:hAnsi="Times New Roman"/>
          <w:lang w:bidi="ar"/>
        </w:rPr>
        <w:t>系统推进水体生态修复和污染防治，实现水环境质量全面改善。到</w:t>
      </w:r>
      <w:r>
        <w:rPr>
          <w:rFonts w:ascii="Times New Roman" w:hAnsi="Times New Roman"/>
          <w:lang w:bidi="ar"/>
        </w:rPr>
        <w:t>2025年，重要江河湖泊水功能区水质达标率达到100%，余关镇地表水体政府责任目标断面水质达到或优于</w:t>
      </w:r>
      <w:r>
        <w:rPr>
          <w:rFonts w:hint="eastAsia" w:cs="宋体"/>
          <w:lang w:bidi="ar"/>
        </w:rPr>
        <w:t>Ⅳ</w:t>
      </w:r>
      <w:r>
        <w:rPr>
          <w:rFonts w:ascii="Times New Roman" w:hAnsi="Times New Roman"/>
          <w:lang w:bidi="ar"/>
        </w:rPr>
        <w:t>类水质；到2035年，重要江河湖泊水功能区水质达标率达到100%，余关镇地表水体政府责任目标断面水质达到或优于</w:t>
      </w:r>
      <w:r>
        <w:rPr>
          <w:rFonts w:hint="eastAsia" w:cs="宋体"/>
          <w:lang w:bidi="ar"/>
        </w:rPr>
        <w:t>Ⅲ</w:t>
      </w:r>
      <w:r>
        <w:rPr>
          <w:rFonts w:ascii="Times New Roman" w:hAnsi="Times New Roman"/>
          <w:lang w:bidi="ar"/>
        </w:rPr>
        <w:t>类水质。</w:t>
      </w:r>
    </w:p>
    <w:p>
      <w:pPr>
        <w:spacing w:before="48"/>
        <w:ind w:firstLine="640"/>
        <w:rPr>
          <w:rFonts w:ascii="Times New Roman" w:hAnsi="Times New Roman"/>
          <w:lang w:bidi="ar"/>
        </w:rPr>
      </w:pPr>
      <w:r>
        <w:rPr>
          <w:rFonts w:hint="eastAsia" w:ascii="Times New Roman" w:hAnsi="Times New Roman"/>
          <w:lang w:bidi="ar"/>
        </w:rPr>
        <w:t>针对镇域内</w:t>
      </w:r>
      <w:bookmarkStart w:id="228" w:name="_Hlk207725314"/>
      <w:r>
        <w:rPr>
          <w:rFonts w:hint="eastAsia" w:ascii="Times New Roman" w:hAnsi="Times New Roman"/>
          <w:lang w:bidi="ar"/>
        </w:rPr>
        <w:t>代军河、余关庙河、板桥河</w:t>
      </w:r>
      <w:bookmarkEnd w:id="228"/>
      <w:r>
        <w:rPr>
          <w:rFonts w:hint="eastAsia" w:ascii="Times New Roman" w:hAnsi="Times New Roman"/>
          <w:lang w:bidi="ar"/>
        </w:rPr>
        <w:t>及连通的王庄水库、杨洼水库等开展综合整治及生态建设项目，包括清淤疏浚、构建河道防洪体系、生态湿地建设、坑塘整治、水利基础设施建设、农业污染防治等</w:t>
      </w:r>
      <w:r>
        <w:rPr>
          <w:rFonts w:ascii="Times New Roman" w:hAnsi="Times New Roman"/>
          <w:lang w:bidi="ar"/>
        </w:rPr>
        <w:t>。</w:t>
      </w:r>
    </w:p>
    <w:p>
      <w:pPr>
        <w:pStyle w:val="5"/>
        <w:ind w:firstLine="640"/>
      </w:pPr>
      <w:r>
        <w:t>森林生态修复</w:t>
      </w:r>
    </w:p>
    <w:p>
      <w:pPr>
        <w:spacing w:before="48"/>
        <w:ind w:firstLine="640"/>
        <w:rPr>
          <w:rFonts w:ascii="Times New Roman" w:hAnsi="Times New Roman"/>
          <w:lang w:bidi="ar"/>
        </w:rPr>
      </w:pPr>
      <w:r>
        <w:rPr>
          <w:rFonts w:hint="eastAsia" w:ascii="Times New Roman" w:hAnsi="Times New Roman"/>
          <w:lang w:bidi="ar"/>
        </w:rPr>
        <w:t>统筹推进森林生态修复，森林质量明显提升，森林生态服务功能进一步完善。至</w:t>
      </w:r>
      <w:r>
        <w:rPr>
          <w:rFonts w:ascii="Times New Roman" w:hAnsi="Times New Roman"/>
          <w:lang w:bidi="ar"/>
        </w:rPr>
        <w:t>2035年，宜林荒山、荒地、荒滩绿化率达到90%以上，镇域</w:t>
      </w:r>
      <w:r>
        <w:rPr>
          <w:rFonts w:hint="eastAsia" w:ascii="Times New Roman" w:hAnsi="Times New Roman"/>
          <w:lang w:bidi="ar"/>
        </w:rPr>
        <w:t>国道</w:t>
      </w:r>
      <w:r>
        <w:rPr>
          <w:rFonts w:ascii="Times New Roman" w:hAnsi="Times New Roman"/>
          <w:lang w:bidi="ar"/>
        </w:rPr>
        <w:t>省道全部绿化；县乡道路、旅游通道宜绿化里程95%以上；</w:t>
      </w:r>
      <w:r>
        <w:rPr>
          <w:rFonts w:hint="eastAsia" w:ascii="Times New Roman" w:hAnsi="Times New Roman"/>
          <w:lang w:bidi="ar"/>
        </w:rPr>
        <w:t>代军河、余关庙河、板桥河</w:t>
      </w:r>
      <w:r>
        <w:rPr>
          <w:rFonts w:ascii="Times New Roman" w:hAnsi="Times New Roman"/>
          <w:lang w:bidi="ar"/>
        </w:rPr>
        <w:t>洹河等河流宜绿化地段95%以上；余关镇乡村绿化示范村达标率达到80%，村庄整体绿化率达到35%以上。</w:t>
      </w:r>
    </w:p>
    <w:p>
      <w:pPr>
        <w:spacing w:before="48"/>
        <w:ind w:firstLine="640"/>
        <w:rPr>
          <w:rFonts w:ascii="Times New Roman" w:hAnsi="Times New Roman"/>
          <w:lang w:bidi="ar"/>
        </w:rPr>
      </w:pPr>
      <w:r>
        <w:rPr>
          <w:rFonts w:hint="eastAsia" w:ascii="Times New Roman" w:hAnsi="Times New Roman"/>
          <w:lang w:bidi="ar"/>
        </w:rPr>
        <w:t>强化重点区域修复。重点推进余关镇域内国道省道绿化带建设，加强湿地植被保护与生态修复。</w:t>
      </w:r>
    </w:p>
    <w:p>
      <w:pPr>
        <w:spacing w:before="48"/>
        <w:ind w:firstLine="640"/>
        <w:rPr>
          <w:rFonts w:ascii="Times New Roman" w:hAnsi="Times New Roman"/>
          <w:lang w:bidi="ar"/>
        </w:rPr>
      </w:pPr>
      <w:bookmarkStart w:id="229" w:name="_Hlk209016360"/>
      <w:r>
        <w:rPr>
          <w:rFonts w:hint="eastAsia" w:ascii="Times New Roman" w:hAnsi="Times New Roman"/>
          <w:lang w:bidi="ar"/>
        </w:rPr>
        <w:t>实施重点工程建设。以生态廊道绿化工程为依托，重点推进市域道路绿化子项目、河道绿化子项目；抓好余关镇等乡（镇）森林抚育项目</w:t>
      </w:r>
      <w:bookmarkEnd w:id="229"/>
      <w:r>
        <w:rPr>
          <w:rFonts w:hint="eastAsia" w:ascii="Times New Roman" w:hAnsi="Times New Roman"/>
          <w:lang w:bidi="ar"/>
        </w:rPr>
        <w:t>。</w:t>
      </w:r>
    </w:p>
    <w:p>
      <w:pPr>
        <w:pStyle w:val="5"/>
        <w:ind w:firstLine="640"/>
      </w:pPr>
      <w:r>
        <w:t>矿山生态修复</w:t>
      </w:r>
    </w:p>
    <w:p>
      <w:pPr>
        <w:spacing w:before="48"/>
        <w:ind w:firstLine="640"/>
        <w:rPr>
          <w:rFonts w:ascii="Times New Roman" w:hAnsi="Times New Roman"/>
          <w:lang w:bidi="ar"/>
        </w:rPr>
      </w:pPr>
      <w:r>
        <w:rPr>
          <w:rFonts w:hint="eastAsia" w:ascii="Times New Roman" w:hAnsi="Times New Roman"/>
          <w:lang w:bidi="ar"/>
        </w:rPr>
        <w:t>系统推进矿山地质环境恢复和综合治理，全面提升矿山生态环境质量。到</w:t>
      </w:r>
      <w:r>
        <w:rPr>
          <w:rFonts w:ascii="Times New Roman" w:hAnsi="Times New Roman"/>
          <w:lang w:bidi="ar"/>
        </w:rPr>
        <w:t>2025年，历史遗留矿山治理率不低于95%，生产矿山实行边开采边治理，矿山地质环境治理率达到95%；到2035年，全面完成历史遗留矿山生态修复，历史遗留矿山治理率达到100%。全面推进绿色矿山发展示范区建设，绿色矿山建成率达到100%。</w:t>
      </w:r>
    </w:p>
    <w:p>
      <w:pPr>
        <w:spacing w:before="48"/>
        <w:ind w:firstLine="640"/>
        <w:rPr>
          <w:rFonts w:ascii="Times New Roman" w:hAnsi="Times New Roman"/>
          <w:lang w:bidi="ar"/>
        </w:rPr>
      </w:pPr>
      <w:r>
        <w:rPr>
          <w:rFonts w:hint="eastAsia" w:ascii="Times New Roman" w:hAnsi="Times New Roman"/>
          <w:lang w:bidi="ar"/>
        </w:rPr>
        <w:t>强化重点区域修复。对铁路、县级以上公路、河道两侧可视范围内现存的废弃矿山进行治理，推进废弃矿地综合利用及土地复垦，全面改善矿山生态环境。</w:t>
      </w:r>
    </w:p>
    <w:p>
      <w:pPr>
        <w:spacing w:before="48"/>
        <w:ind w:firstLine="640"/>
        <w:rPr>
          <w:rFonts w:ascii="Times New Roman" w:hAnsi="Times New Roman"/>
          <w:lang w:bidi="ar"/>
        </w:rPr>
      </w:pPr>
      <w:r>
        <w:rPr>
          <w:rFonts w:hint="eastAsia" w:ascii="Times New Roman" w:hAnsi="Times New Roman"/>
          <w:lang w:bidi="ar"/>
        </w:rPr>
        <w:t>实施重点工程建设。以麦子山石庙村范围内矿山为主，通过地形重塑、废弃土地复垦、植被恢复、矿石渣清理、边坡治理、矿山土壤及水资源治理等措施，恢复矿山生态环境，恢复治理面积0.2公顷。</w:t>
      </w:r>
    </w:p>
    <w:p>
      <w:pPr>
        <w:pStyle w:val="5"/>
        <w:ind w:firstLine="640"/>
      </w:pPr>
      <w:r>
        <w:rPr>
          <w:rFonts w:hint="eastAsia"/>
        </w:rPr>
        <w:t>农业生态修复</w:t>
      </w:r>
    </w:p>
    <w:p>
      <w:pPr>
        <w:ind w:firstLine="640"/>
      </w:pPr>
      <w:bookmarkStart w:id="230" w:name="_Hlk209016381"/>
      <w:r>
        <w:rPr>
          <w:rFonts w:hint="eastAsia" w:ascii="Times New Roman" w:hAnsi="Times New Roman"/>
          <w:lang w:bidi="ar"/>
        </w:rPr>
        <w:t>强化重点区域修复。</w:t>
      </w:r>
      <w:r>
        <w:rPr>
          <w:rFonts w:hint="eastAsia"/>
        </w:rPr>
        <w:t>农业生态修复重点区域主要集中在镇域东部朱沟村、孙沟村、东孙沟村，镇域南部黄楝村、谢寨村、王沟村、大桦岭村，及余关村除镇区外的区域。此区域农业较为发达，兼种烟叶等农作物，农药、化肥使用较多，存在白色垃圾，畜牧业发达，地表径流丰富，易造成农业面源污染。</w:t>
      </w:r>
    </w:p>
    <w:p>
      <w:pPr>
        <w:ind w:firstLine="640"/>
      </w:pPr>
      <w:r>
        <w:rPr>
          <w:rFonts w:hint="eastAsia" w:ascii="Times New Roman" w:hAnsi="Times New Roman"/>
          <w:lang w:bidi="ar"/>
        </w:rPr>
        <w:t>实施重点工程建设。</w:t>
      </w:r>
      <w:r>
        <w:rPr>
          <w:rFonts w:hint="eastAsia"/>
        </w:rPr>
        <w:t>针对农业生产过程中农药、化肥使用较多，存在白色垃圾，畜牧业污染等问题，开展农业面源污染治理。通过推进农业现代化，有机种植、有机防治，合理使用农药和化肥，建设农田防渗透工程，制定农业废弃物处理政策，加强污染监测等方式治理农业面源污染</w:t>
      </w:r>
      <w:bookmarkEnd w:id="230"/>
      <w:r>
        <w:rPr>
          <w:rFonts w:hint="eastAsia"/>
        </w:rPr>
        <w:t>。</w:t>
      </w:r>
    </w:p>
    <w:p>
      <w:pPr>
        <w:pStyle w:val="5"/>
        <w:ind w:firstLine="640"/>
      </w:pPr>
      <w:r>
        <w:t>地质灾害治理</w:t>
      </w:r>
    </w:p>
    <w:p>
      <w:pPr>
        <w:spacing w:before="48"/>
        <w:ind w:firstLine="640"/>
        <w:rPr>
          <w:rFonts w:ascii="Times New Roman" w:hAnsi="Times New Roman"/>
          <w:lang w:bidi="ar"/>
        </w:rPr>
      </w:pPr>
      <w:r>
        <w:rPr>
          <w:rFonts w:hint="eastAsia" w:ascii="Times New Roman" w:hAnsi="Times New Roman"/>
          <w:lang w:bidi="ar"/>
        </w:rPr>
        <w:t>明确地质灾害治理目标。地质灾害治理工程与生态措施结合，恢复地质灾害隐患点地质环境。规划目标年，全面建成余关镇地质灾害排查评价体系、监测预警体系、防治体系和应急体系。严格执行、落实地质灾害年度巡查、排查、核查制度，全面掌握地质灾害隐患的基本信息及变动情况，实施内乡县地质灾害防治规划，落实重要地质灾害隐患点专群结合监测预警措施，完成主要地质灾害隐患点的治理工作，使地质灾害得到及时监控和有效处置，最大程度地减少因地质灾害造成的人员伤亡和财产损失。</w:t>
      </w:r>
    </w:p>
    <w:p>
      <w:pPr>
        <w:spacing w:before="48"/>
        <w:ind w:firstLine="640"/>
        <w:rPr>
          <w:rFonts w:ascii="Times New Roman" w:hAnsi="Times New Roman"/>
          <w:lang w:bidi="ar"/>
        </w:rPr>
      </w:pPr>
      <w:r>
        <w:rPr>
          <w:rFonts w:hint="eastAsia" w:ascii="Times New Roman" w:hAnsi="Times New Roman"/>
          <w:lang w:bidi="ar"/>
        </w:rPr>
        <w:t>强化重点区域治理。重点对镇区北部地质灾害高风险区进行治理。</w:t>
      </w:r>
    </w:p>
    <w:p>
      <w:pPr>
        <w:spacing w:before="65" w:after="120"/>
        <w:ind w:firstLine="640"/>
      </w:pPr>
      <w:r>
        <w:br w:type="page"/>
      </w:r>
    </w:p>
    <w:p>
      <w:pPr>
        <w:spacing w:before="65"/>
        <w:ind w:firstLine="640"/>
      </w:pPr>
    </w:p>
    <w:p>
      <w:pPr>
        <w:pStyle w:val="2"/>
        <w:spacing w:before="489" w:after="489"/>
      </w:pPr>
      <w:bookmarkStart w:id="231" w:name="_Toc207114524"/>
      <w:r>
        <w:rPr>
          <w:rFonts w:hint="eastAsia"/>
        </w:rPr>
        <w:t>规划传导</w:t>
      </w:r>
      <w:bookmarkEnd w:id="231"/>
    </w:p>
    <w:p>
      <w:pPr>
        <w:pStyle w:val="3"/>
      </w:pPr>
      <w:r>
        <w:rPr>
          <w:rFonts w:hint="eastAsia"/>
        </w:rPr>
        <w:t>镇区详细规划单元与指引</w:t>
      </w:r>
    </w:p>
    <w:p>
      <w:pPr>
        <w:pStyle w:val="4"/>
        <w:spacing w:before="195" w:after="195"/>
      </w:pPr>
      <w:r>
        <w:rPr>
          <w:rFonts w:hint="eastAsia"/>
        </w:rPr>
        <w:t>划分镇区详规单元</w:t>
      </w:r>
    </w:p>
    <w:p>
      <w:pPr>
        <w:spacing w:before="65"/>
        <w:ind w:firstLine="640"/>
      </w:pPr>
      <w:r>
        <w:rPr>
          <w:rFonts w:hint="eastAsia"/>
        </w:rPr>
        <w:t>根据用地功能、镇区更新和发展需求，以城市道路等为界，划分为若干详细规划管理单元；镇区共划定1</w:t>
      </w:r>
      <w:r>
        <w:t>个详细规划单元。</w:t>
      </w:r>
    </w:p>
    <w:p>
      <w:pPr>
        <w:pStyle w:val="4"/>
        <w:spacing w:before="195" w:after="195"/>
      </w:pPr>
      <w:r>
        <w:rPr>
          <w:rFonts w:hint="eastAsia"/>
        </w:rPr>
        <w:t>单元规划指引</w:t>
      </w:r>
    </w:p>
    <w:p>
      <w:pPr>
        <w:spacing w:before="163" w:beforeLines="50"/>
        <w:ind w:firstLine="640"/>
      </w:pPr>
      <w:bookmarkStart w:id="232" w:name="_Hlk209016422"/>
      <w:bookmarkStart w:id="233" w:name="_Hlk149900601"/>
      <w:r>
        <w:rPr>
          <w:rFonts w:hint="eastAsia"/>
        </w:rPr>
        <w:t>镇区北部、南部以住宅建筑和居住配套设施为主要功能，结合单元住宅总量控制要求与用地潜力分析，按照构建生活圈要求优化居住用地和配套设施布局，推动建设尺度适宜、配套完善、邻里和谐的全龄友好社区。镇区中部以提供商业商务、市民服务、文体中心、医疗卫生等为主要功能导向的区域，传导乡镇国土空间总体规划功能分区中商业商务区和综合服务区的功能，在统筹考虑主导功能、服务能级、服务人口、市政承载力、功能特色的基础上，坚持核心带动、集约高效、功能复合、绿色低碳的原则，打造开放复合、尺度宜人、富有活力的功能片区</w:t>
      </w:r>
      <w:bookmarkEnd w:id="232"/>
      <w:r>
        <w:rPr>
          <w:rFonts w:hint="eastAsia"/>
        </w:rPr>
        <w:t>。</w:t>
      </w:r>
    </w:p>
    <w:bookmarkEnd w:id="233"/>
    <w:p>
      <w:pPr>
        <w:pStyle w:val="3"/>
      </w:pPr>
      <w:r>
        <w:rPr>
          <w:rFonts w:hint="eastAsia"/>
        </w:rPr>
        <w:t>详细规划编制单元与指引</w:t>
      </w:r>
    </w:p>
    <w:p>
      <w:pPr>
        <w:pStyle w:val="4"/>
        <w:spacing w:before="195" w:after="195"/>
      </w:pPr>
      <w:r>
        <w:rPr>
          <w:rFonts w:hint="eastAsia"/>
        </w:rPr>
        <w:t>划定镇域详细规划编制单元</w:t>
      </w:r>
    </w:p>
    <w:p>
      <w:pPr>
        <w:spacing w:before="65"/>
        <w:ind w:firstLine="640"/>
        <w:rPr>
          <w:rFonts w:ascii="仿宋_GB2312"/>
        </w:rPr>
      </w:pPr>
      <w:r>
        <w:rPr>
          <w:rFonts w:hint="eastAsia" w:ascii="仿宋_GB2312"/>
        </w:rPr>
        <w:t>全镇共划定22个详细规划编制单元，包括县中心城区3个编制单元，直接落实县总规单元划分成果，分别为湍东编制单元NX11、开发区编制单元NX12、开发区编制单元NX13；余关镇镇区编制单元YG01，以余关镇镇区城镇开发边界为依据，确定为余关镇镇区编制单元,其余为以行政村界限为边界的详规单元，分别为余关村编制单元YG02、王沟村编制单元YG03、大桦岭村编制单元YG04、黄楝村编制单元YG05、子育村编制单元YG06、李沟村编制单元YG07、谢寨村编制单元YG08、独树村编制单元YG09、岳沟村编制单元YG10、梁坪村编制单元YG11、报事滩村编制单元YG12、麦西村编制单元YG13、石庙村编制单元YG14、麦山村编制单元YG15、东王庄村编制单元YG16、东孙沟村编制单元YG17、朱沟村编制单元YG18、孙沟村编制单元YG19。</w:t>
      </w:r>
    </w:p>
    <w:p>
      <w:pPr>
        <w:pStyle w:val="4"/>
        <w:spacing w:before="195" w:after="195"/>
      </w:pPr>
      <w:r>
        <w:rPr>
          <w:rFonts w:hint="eastAsia"/>
        </w:rPr>
        <w:t>详细规划编制指引</w:t>
      </w:r>
    </w:p>
    <w:p>
      <w:pPr>
        <w:spacing w:before="48"/>
        <w:ind w:firstLine="640"/>
        <w:rPr>
          <w:rFonts w:ascii="仿宋_GB2312"/>
          <w:lang w:bidi="ar"/>
        </w:rPr>
      </w:pPr>
      <w:r>
        <w:rPr>
          <w:rFonts w:hint="eastAsia" w:ascii="仿宋_GB2312"/>
          <w:lang w:bidi="ar"/>
        </w:rPr>
        <w:t>全镇中心城区范围外、城镇开发边界外共涉及18个详细规划编制单元，</w:t>
      </w:r>
      <w:bookmarkStart w:id="234" w:name="_Hlk209624812"/>
      <w:r>
        <w:rPr>
          <w:rFonts w:hint="eastAsia" w:ascii="仿宋_GB2312"/>
          <w:lang w:bidi="ar"/>
        </w:rPr>
        <w:t>根据村庄类型和发展需求选择编制“实用性”村庄规划、“通则式”村庄规划、“通则式村庄规划管理规定”和“单元”村庄规划</w:t>
      </w:r>
      <w:bookmarkEnd w:id="234"/>
      <w:r>
        <w:rPr>
          <w:rFonts w:hint="eastAsia" w:ascii="仿宋_GB2312"/>
          <w:lang w:bidi="ar"/>
        </w:rPr>
        <w:t>。</w:t>
      </w:r>
    </w:p>
    <w:p>
      <w:pPr>
        <w:spacing w:before="48"/>
        <w:ind w:firstLine="640"/>
        <w:rPr>
          <w:rFonts w:ascii="仿宋_GB2312"/>
          <w:lang w:bidi="ar"/>
        </w:rPr>
      </w:pPr>
      <w:bookmarkStart w:id="235" w:name="_Hlk209624822"/>
      <w:r>
        <w:rPr>
          <w:rFonts w:hint="eastAsia" w:ascii="仿宋_GB2312"/>
          <w:lang w:bidi="ar"/>
        </w:rPr>
        <w:t>“实用性”村庄规划编制深度最深，集“策划、规划、设计、管控”四位一体，成果应符合《河南省实用性村庄规划编制导则（第二次修订）》的要求。“通则式”村庄规划内容相对简单，深度介于实用性村庄规划、“通则式村庄规划管理规定”之间，成果应符合《河南省通则式村庄规划管理规定（修订）》的要求。“通则式村庄规划管理规定”的内容最为简单，成果应符合《河南省“通则式村庄规划管理规定”编制导则（试行）》的要求。“单元”村庄规划重点是对规划范围内的村庄建设边界做优化、建设项目做安排、建筑风貌做引导，可参照《河南省实用性村庄规划编制导则（第二次修订）》要求编制涉及的规划内容，无需面面俱到</w:t>
      </w:r>
      <w:bookmarkEnd w:id="235"/>
      <w:r>
        <w:rPr>
          <w:rFonts w:hint="eastAsia" w:ascii="仿宋_GB2312"/>
          <w:lang w:bidi="ar"/>
        </w:rPr>
        <w:t>。</w:t>
      </w:r>
    </w:p>
    <w:p>
      <w:pPr>
        <w:pStyle w:val="3"/>
      </w:pPr>
      <w:r>
        <w:t xml:space="preserve"> “</w:t>
      </w:r>
      <w:r>
        <w:rPr>
          <w:rFonts w:hint="eastAsia"/>
        </w:rPr>
        <w:t>通则式</w:t>
      </w:r>
      <w:r>
        <w:t>”</w:t>
      </w:r>
      <w:r>
        <w:rPr>
          <w:rFonts w:hint="eastAsia"/>
        </w:rPr>
        <w:t>村庄规划管理规定</w:t>
      </w:r>
    </w:p>
    <w:p>
      <w:pPr>
        <w:pStyle w:val="4"/>
      </w:pPr>
      <w:r>
        <w:rPr>
          <w:rFonts w:hint="eastAsia"/>
        </w:rPr>
        <w:t>适用范围</w:t>
      </w:r>
    </w:p>
    <w:p>
      <w:pPr>
        <w:ind w:firstLine="640"/>
      </w:pPr>
      <w:r>
        <w:rPr>
          <w:rFonts w:hint="eastAsia"/>
        </w:rPr>
        <w:t>本管理规定适用于余关镇城镇开发边界外，村庄规划未覆盖的乡村地区。符合条件的农民建房（新建、改建、扩建）、乡村公共服务设施、公用设施和产业项目的建设，可依据通则式村庄规划管理规定，按相关规定办理规划许可手续。已单独编制村庄规划的，可参照执行。</w:t>
      </w:r>
    </w:p>
    <w:p>
      <w:pPr>
        <w:pStyle w:val="4"/>
      </w:pPr>
      <w:r>
        <w:rPr>
          <w:rFonts w:hint="eastAsia"/>
        </w:rPr>
        <w:t>农业空间管控</w:t>
      </w:r>
    </w:p>
    <w:p>
      <w:pPr>
        <w:ind w:firstLine="640"/>
      </w:pPr>
      <w:r>
        <w:rPr>
          <w:rFonts w:hint="eastAsia"/>
        </w:rPr>
        <w:t>1</w:t>
      </w:r>
      <w:r>
        <w:t>.</w:t>
      </w:r>
      <w:r>
        <w:rPr>
          <w:rFonts w:hint="eastAsia"/>
        </w:rPr>
        <w:t>耕地保护</w:t>
      </w:r>
    </w:p>
    <w:p>
      <w:pPr>
        <w:ind w:firstLine="640"/>
      </w:pPr>
      <w:r>
        <w:rPr>
          <w:rFonts w:hint="eastAsia"/>
        </w:rPr>
        <w:t>耕地主要用于粮食和棉、油、糖、蔬菜等农产品及饲草饲料生产；在不破坏耕地耕作层且不造成耕地地类改变的前提下,可以适度种植其他农作物。耕地管控“八不准”、“六严禁、五不得”。</w:t>
      </w:r>
    </w:p>
    <w:p>
      <w:pPr>
        <w:ind w:firstLine="640"/>
      </w:pPr>
    </w:p>
    <w:tbl>
      <w:tblPr>
        <w:tblStyle w:val="31"/>
        <w:tblW w:w="87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13"/>
        <w:gridCol w:w="2913"/>
        <w:gridCol w:w="29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8739" w:type="dxa"/>
            <w:gridSpan w:val="3"/>
            <w:vAlign w:val="center"/>
          </w:tcPr>
          <w:p>
            <w:pPr>
              <w:pStyle w:val="98"/>
            </w:pPr>
            <w:r>
              <w:rPr>
                <w:rFonts w:hint="eastAsia"/>
              </w:rPr>
              <w:t>专栏14-1 耕地管控要求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3" w:hRule="atLeast"/>
          <w:jc w:val="center"/>
        </w:trPr>
        <w:tc>
          <w:tcPr>
            <w:tcW w:w="2913" w:type="dxa"/>
            <w:vAlign w:val="center"/>
          </w:tcPr>
          <w:p>
            <w:pPr>
              <w:pStyle w:val="96"/>
              <w:rPr>
                <w:sz w:val="24"/>
                <w:szCs w:val="24"/>
              </w:rPr>
            </w:pPr>
            <w:r>
              <w:rPr>
                <w:rFonts w:hint="eastAsia"/>
                <w:sz w:val="24"/>
                <w:szCs w:val="24"/>
              </w:rPr>
              <w:t>八不准</w:t>
            </w:r>
          </w:p>
        </w:tc>
        <w:tc>
          <w:tcPr>
            <w:tcW w:w="2913" w:type="dxa"/>
            <w:vAlign w:val="center"/>
          </w:tcPr>
          <w:p>
            <w:pPr>
              <w:pStyle w:val="96"/>
              <w:rPr>
                <w:sz w:val="24"/>
                <w:szCs w:val="24"/>
              </w:rPr>
            </w:pPr>
            <w:r>
              <w:rPr>
                <w:rFonts w:hint="eastAsia"/>
                <w:sz w:val="24"/>
                <w:szCs w:val="24"/>
              </w:rPr>
              <w:t>六严禁</w:t>
            </w:r>
          </w:p>
        </w:tc>
        <w:tc>
          <w:tcPr>
            <w:tcW w:w="2913" w:type="dxa"/>
            <w:vAlign w:val="center"/>
          </w:tcPr>
          <w:p>
            <w:pPr>
              <w:pStyle w:val="96"/>
              <w:rPr>
                <w:sz w:val="24"/>
                <w:szCs w:val="24"/>
              </w:rPr>
            </w:pPr>
            <w:r>
              <w:rPr>
                <w:rFonts w:hint="eastAsia"/>
                <w:sz w:val="24"/>
                <w:szCs w:val="24"/>
              </w:rPr>
              <w:t>五不得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6" w:hRule="atLeast"/>
          <w:jc w:val="center"/>
        </w:trPr>
        <w:tc>
          <w:tcPr>
            <w:tcW w:w="2913" w:type="dxa"/>
          </w:tcPr>
          <w:p>
            <w:pPr>
              <w:pStyle w:val="103"/>
              <w:spacing w:line="500" w:lineRule="exact"/>
              <w:ind w:firstLine="0" w:firstLineChars="0"/>
              <w:jc w:val="left"/>
              <w:rPr>
                <w:sz w:val="24"/>
                <w:szCs w:val="24"/>
              </w:rPr>
            </w:pPr>
            <w:r>
              <w:rPr>
                <w:sz w:val="24"/>
                <w:szCs w:val="24"/>
              </w:rPr>
              <w:t>不准占用永久基本农田建房。</w:t>
            </w:r>
          </w:p>
          <w:p>
            <w:pPr>
              <w:pStyle w:val="103"/>
              <w:spacing w:line="500" w:lineRule="exact"/>
              <w:ind w:firstLine="0" w:firstLineChars="0"/>
              <w:jc w:val="left"/>
              <w:rPr>
                <w:sz w:val="24"/>
                <w:szCs w:val="24"/>
              </w:rPr>
            </w:pPr>
            <w:r>
              <w:rPr>
                <w:sz w:val="24"/>
                <w:szCs w:val="24"/>
              </w:rPr>
              <w:t>不准强占多占耕地建房。</w:t>
            </w:r>
          </w:p>
          <w:p>
            <w:pPr>
              <w:pStyle w:val="103"/>
              <w:spacing w:line="500" w:lineRule="exact"/>
              <w:ind w:firstLine="0" w:firstLineChars="0"/>
              <w:jc w:val="left"/>
              <w:rPr>
                <w:sz w:val="24"/>
                <w:szCs w:val="24"/>
              </w:rPr>
            </w:pPr>
            <w:r>
              <w:rPr>
                <w:sz w:val="24"/>
                <w:szCs w:val="24"/>
              </w:rPr>
              <w:t>不准买卖、流转耕地违法建房。</w:t>
            </w:r>
          </w:p>
          <w:p>
            <w:pPr>
              <w:pStyle w:val="103"/>
              <w:spacing w:line="500" w:lineRule="exact"/>
              <w:ind w:firstLine="0" w:firstLineChars="0"/>
              <w:jc w:val="left"/>
              <w:rPr>
                <w:sz w:val="24"/>
                <w:szCs w:val="24"/>
              </w:rPr>
            </w:pPr>
            <w:r>
              <w:rPr>
                <w:sz w:val="24"/>
                <w:szCs w:val="24"/>
              </w:rPr>
              <w:t>不准在承包耕地上违法建房。</w:t>
            </w:r>
          </w:p>
          <w:p>
            <w:pPr>
              <w:pStyle w:val="103"/>
              <w:spacing w:line="500" w:lineRule="exact"/>
              <w:ind w:firstLine="0" w:firstLineChars="0"/>
              <w:jc w:val="left"/>
              <w:rPr>
                <w:sz w:val="24"/>
                <w:szCs w:val="24"/>
              </w:rPr>
            </w:pPr>
            <w:r>
              <w:rPr>
                <w:sz w:val="24"/>
                <w:szCs w:val="24"/>
              </w:rPr>
              <w:t>不准巧立名目违法占用耕地建房。</w:t>
            </w:r>
          </w:p>
          <w:p>
            <w:pPr>
              <w:pStyle w:val="103"/>
              <w:spacing w:line="500" w:lineRule="exact"/>
              <w:ind w:firstLine="0" w:firstLineChars="0"/>
              <w:jc w:val="left"/>
              <w:rPr>
                <w:sz w:val="24"/>
                <w:szCs w:val="24"/>
              </w:rPr>
            </w:pPr>
            <w:r>
              <w:rPr>
                <w:sz w:val="24"/>
                <w:szCs w:val="24"/>
              </w:rPr>
              <w:t>不准违反“一户一宅”规定占用耕地建房。</w:t>
            </w:r>
          </w:p>
          <w:p>
            <w:pPr>
              <w:pStyle w:val="103"/>
              <w:spacing w:line="500" w:lineRule="exact"/>
              <w:ind w:firstLine="0" w:firstLineChars="0"/>
              <w:jc w:val="left"/>
              <w:rPr>
                <w:sz w:val="24"/>
                <w:szCs w:val="24"/>
              </w:rPr>
            </w:pPr>
            <w:r>
              <w:rPr>
                <w:sz w:val="24"/>
                <w:szCs w:val="24"/>
              </w:rPr>
              <w:t>不准非法出售占用耕地建的房屋。</w:t>
            </w:r>
          </w:p>
          <w:p>
            <w:pPr>
              <w:pStyle w:val="103"/>
              <w:spacing w:line="500" w:lineRule="exact"/>
              <w:ind w:firstLine="0" w:firstLineChars="0"/>
              <w:jc w:val="left"/>
              <w:rPr>
                <w:sz w:val="24"/>
                <w:szCs w:val="24"/>
              </w:rPr>
            </w:pPr>
            <w:r>
              <w:rPr>
                <w:sz w:val="24"/>
                <w:szCs w:val="24"/>
              </w:rPr>
              <w:t>不准违法审批占用耕地建房。</w:t>
            </w:r>
          </w:p>
        </w:tc>
        <w:tc>
          <w:tcPr>
            <w:tcW w:w="2913" w:type="dxa"/>
          </w:tcPr>
          <w:p>
            <w:pPr>
              <w:pStyle w:val="103"/>
              <w:spacing w:line="500" w:lineRule="exact"/>
              <w:ind w:firstLine="0" w:firstLineChars="0"/>
              <w:jc w:val="left"/>
              <w:rPr>
                <w:sz w:val="24"/>
                <w:szCs w:val="24"/>
              </w:rPr>
            </w:pPr>
            <w:r>
              <w:rPr>
                <w:sz w:val="24"/>
                <w:szCs w:val="24"/>
              </w:rPr>
              <w:t>严禁违规占用耕地绿化造林；</w:t>
            </w:r>
          </w:p>
          <w:p>
            <w:pPr>
              <w:pStyle w:val="103"/>
              <w:spacing w:line="500" w:lineRule="exact"/>
              <w:ind w:firstLine="0" w:firstLineChars="0"/>
              <w:jc w:val="left"/>
              <w:rPr>
                <w:sz w:val="24"/>
                <w:szCs w:val="24"/>
              </w:rPr>
            </w:pPr>
            <w:r>
              <w:rPr>
                <w:sz w:val="24"/>
                <w:szCs w:val="24"/>
              </w:rPr>
              <w:t>严禁超标准建设绿色通道</w:t>
            </w:r>
          </w:p>
          <w:p>
            <w:pPr>
              <w:pStyle w:val="103"/>
              <w:spacing w:line="500" w:lineRule="exact"/>
              <w:ind w:firstLine="0" w:firstLineChars="0"/>
              <w:jc w:val="left"/>
              <w:rPr>
                <w:sz w:val="24"/>
                <w:szCs w:val="24"/>
              </w:rPr>
            </w:pPr>
            <w:r>
              <w:rPr>
                <w:sz w:val="24"/>
                <w:szCs w:val="24"/>
              </w:rPr>
              <w:t>严禁违规占用耕地挖湖造景；</w:t>
            </w:r>
          </w:p>
          <w:p>
            <w:pPr>
              <w:pStyle w:val="103"/>
              <w:spacing w:line="500" w:lineRule="exact"/>
              <w:ind w:firstLine="0" w:firstLineChars="0"/>
              <w:jc w:val="left"/>
              <w:rPr>
                <w:sz w:val="24"/>
                <w:szCs w:val="24"/>
              </w:rPr>
            </w:pPr>
            <w:r>
              <w:rPr>
                <w:sz w:val="24"/>
                <w:szCs w:val="24"/>
              </w:rPr>
              <w:t>严禁占用永久基本农田扩大自然保护地；</w:t>
            </w:r>
          </w:p>
          <w:p>
            <w:pPr>
              <w:pStyle w:val="103"/>
              <w:spacing w:line="500" w:lineRule="exact"/>
              <w:ind w:firstLine="0" w:firstLineChars="0"/>
              <w:jc w:val="left"/>
              <w:rPr>
                <w:sz w:val="24"/>
                <w:szCs w:val="24"/>
              </w:rPr>
            </w:pPr>
            <w:r>
              <w:rPr>
                <w:sz w:val="24"/>
                <w:szCs w:val="24"/>
              </w:rPr>
              <w:t>严禁违规占用耕地从事非农建设；</w:t>
            </w:r>
          </w:p>
          <w:p>
            <w:pPr>
              <w:pStyle w:val="103"/>
              <w:spacing w:line="500" w:lineRule="exact"/>
              <w:ind w:firstLine="0" w:firstLineChars="0"/>
              <w:jc w:val="left"/>
              <w:rPr>
                <w:sz w:val="24"/>
                <w:szCs w:val="24"/>
              </w:rPr>
            </w:pPr>
            <w:r>
              <w:rPr>
                <w:sz w:val="24"/>
                <w:szCs w:val="24"/>
              </w:rPr>
              <w:t>严禁违法违规批地用地。</w:t>
            </w:r>
          </w:p>
          <w:p>
            <w:pPr>
              <w:pStyle w:val="103"/>
              <w:spacing w:line="500" w:lineRule="exact"/>
              <w:ind w:firstLine="0" w:firstLineChars="0"/>
              <w:jc w:val="left"/>
              <w:rPr>
                <w:sz w:val="24"/>
                <w:szCs w:val="24"/>
              </w:rPr>
            </w:pPr>
          </w:p>
        </w:tc>
        <w:tc>
          <w:tcPr>
            <w:tcW w:w="2913" w:type="dxa"/>
          </w:tcPr>
          <w:p>
            <w:pPr>
              <w:pStyle w:val="96"/>
              <w:spacing w:line="500" w:lineRule="exact"/>
              <w:jc w:val="left"/>
              <w:rPr>
                <w:sz w:val="24"/>
                <w:szCs w:val="24"/>
              </w:rPr>
            </w:pPr>
            <w:r>
              <w:rPr>
                <w:sz w:val="24"/>
                <w:szCs w:val="24"/>
              </w:rPr>
              <w:t>不得在一般耕地上挖湖造景、种植草皮；</w:t>
            </w:r>
          </w:p>
          <w:p>
            <w:pPr>
              <w:pStyle w:val="96"/>
              <w:spacing w:line="500" w:lineRule="exact"/>
              <w:jc w:val="left"/>
              <w:rPr>
                <w:sz w:val="24"/>
                <w:szCs w:val="24"/>
              </w:rPr>
            </w:pPr>
            <w:r>
              <w:rPr>
                <w:sz w:val="24"/>
                <w:szCs w:val="24"/>
              </w:rPr>
              <w:t>不得擅自扩大退耕还林还草还湖规模；</w:t>
            </w:r>
          </w:p>
          <w:p>
            <w:pPr>
              <w:pStyle w:val="96"/>
              <w:spacing w:line="500" w:lineRule="exact"/>
              <w:jc w:val="left"/>
              <w:rPr>
                <w:sz w:val="24"/>
                <w:szCs w:val="24"/>
              </w:rPr>
            </w:pPr>
            <w:r>
              <w:rPr>
                <w:sz w:val="24"/>
                <w:szCs w:val="24"/>
              </w:rPr>
              <w:t>不得违规超标准在铁路、公路等用地红线外，以及河渠两侧、水库周边占用一般耕地种树建设绿化带；</w:t>
            </w:r>
          </w:p>
          <w:p>
            <w:pPr>
              <w:pStyle w:val="96"/>
              <w:spacing w:line="500" w:lineRule="exact"/>
              <w:jc w:val="left"/>
              <w:rPr>
                <w:sz w:val="24"/>
                <w:szCs w:val="24"/>
              </w:rPr>
            </w:pPr>
            <w:r>
              <w:rPr>
                <w:sz w:val="24"/>
                <w:szCs w:val="24"/>
              </w:rPr>
              <w:t>未经批准不得占用一般耕地实施国土绿化；</w:t>
            </w:r>
          </w:p>
          <w:p>
            <w:pPr>
              <w:pStyle w:val="96"/>
              <w:spacing w:line="500" w:lineRule="exact"/>
              <w:jc w:val="left"/>
              <w:rPr>
                <w:sz w:val="24"/>
                <w:szCs w:val="24"/>
              </w:rPr>
            </w:pPr>
            <w:r>
              <w:rPr>
                <w:sz w:val="24"/>
                <w:szCs w:val="24"/>
              </w:rPr>
              <w:t>未经批准工商企业等社会资本不得将通过流转获得土地经营权的一般耕地转为林地、园地等其他农用地。</w:t>
            </w:r>
          </w:p>
        </w:tc>
      </w:tr>
    </w:tbl>
    <w:p>
      <w:pPr>
        <w:ind w:firstLine="640"/>
      </w:pPr>
      <w:r>
        <w:rPr>
          <w:rFonts w:hint="eastAsia"/>
        </w:rPr>
        <w:t>2</w:t>
      </w:r>
      <w:r>
        <w:t>.</w:t>
      </w:r>
      <w:r>
        <w:rPr>
          <w:rFonts w:hint="eastAsia"/>
        </w:rPr>
        <w:t>永久基本农田保护</w:t>
      </w:r>
    </w:p>
    <w:p>
      <w:pPr>
        <w:ind w:firstLine="640"/>
      </w:pPr>
      <w:r>
        <w:rPr>
          <w:rFonts w:hint="eastAsia"/>
        </w:rPr>
        <w:t>永久基本农田主要用于种植粮食作物，对现状种植棉、油、糖、蔬菜等非粮食作物的,可以维持不变。</w:t>
      </w:r>
    </w:p>
    <w:p>
      <w:pPr>
        <w:ind w:firstLine="640"/>
      </w:pPr>
      <w:r>
        <w:rPr>
          <w:rFonts w:hint="eastAsia"/>
        </w:rPr>
        <w:t>严禁占用永久基本农田发展林果业和挖塘养鱼；严禁占用永久基本农田种植苗木、草皮等用于绿化装饰以及其他破坏耕作层的植物；严禁占用永久基本农田挖湖造景、建设绿化带；严禁新增占用永久基本农田建设畜禽养殖设施、水产养殖设施和破坏耕作层的种植业设施。</w:t>
      </w:r>
    </w:p>
    <w:p>
      <w:pPr>
        <w:ind w:firstLine="640"/>
      </w:pPr>
      <w:r>
        <w:rPr>
          <w:rFonts w:hint="eastAsia"/>
        </w:rPr>
        <w:t>3</w:t>
      </w:r>
      <w:r>
        <w:t>.</w:t>
      </w:r>
      <w:r>
        <w:rPr>
          <w:rFonts w:hint="eastAsia"/>
        </w:rPr>
        <w:t>设施农用地</w:t>
      </w:r>
    </w:p>
    <w:p>
      <w:pPr>
        <w:ind w:firstLine="640"/>
      </w:pPr>
      <w:r>
        <w:rPr>
          <w:rFonts w:hint="eastAsia"/>
        </w:rPr>
        <w:t>设施农业用地包括农业生产中直接用于作物（含食用菌、中药材、茶叶、水果、花木等）种植和畜禽水产养殖的设施用地。其中，作物种植设施用地包括作物生产、育种、制种、初加工和为生产服务的生产场地、化验室、看护房、农资农机具存放场所等，以及与生产农产品直接关联的烘干晾晒、分拣包装、炒制、保鲜存储等设施用地，工厂化农作物（食用菌）栽培烘干、食用菌集中制棒等设施用地；畜禽水产养殖设施用地包括养殖生产及直接关联的粪污处置（含散养密集区建设的非经营性畜禽粪污集中处置站点）、检验检疫等设施用地，不包括屠宰、肉类加工、商业化畜禽粪污集中处理中心等场所用地。</w:t>
      </w:r>
    </w:p>
    <w:p>
      <w:pPr>
        <w:ind w:firstLine="640"/>
      </w:pPr>
      <w:r>
        <w:rPr>
          <w:rFonts w:hint="eastAsia"/>
        </w:rPr>
        <w:t>种植</w:t>
      </w:r>
      <w:r>
        <w:t>设施农业建设尽量利用未利用地、低效闲置的土地以及工矿废弃地等土地，不占或少占耕地，避让永久基本农田。生产设施用地按照种植规模核定用地面积。作物生产的服务和直接关联设施用地，原则上不超过用地规模的10%，确因生产需要可适当增加，但不得超过15%，其中规模化粮食种植的直接关联设施用地，由</w:t>
      </w:r>
      <w:r>
        <w:rPr>
          <w:rFonts w:hint="eastAsia"/>
        </w:rPr>
        <w:t>内乡县</w:t>
      </w:r>
      <w:r>
        <w:t>自然资源主管部门会同农业农村主管部门根据农业生产需要合理确定。看护房应为单层，用地规模控制在22.5平方米以内。</w:t>
      </w:r>
    </w:p>
    <w:p>
      <w:pPr>
        <w:ind w:firstLine="640"/>
      </w:pPr>
      <w:r>
        <w:t>畜禽水产养殖生产设施用地按照养殖规模核定用地面积。畜禽养殖的直接关联用地原则上不超过用地规模的 20%，确因生产需要可适当增加，但不得超过50%；露天水产养殖池的直接关联用地原则上不超过用地规模的15%，确因生产需要可适当增加，但不得超过20%；工厂化水产养殖场的直接关联用地原则上不超过用地规模的20%，确因生产需要可适当增加，但不得超过25%。</w:t>
      </w:r>
    </w:p>
    <w:p>
      <w:pPr>
        <w:ind w:firstLine="640"/>
      </w:pPr>
      <w:r>
        <w:t>设施农业用地不再使用的，由经营者负责恢复原用途。对擅自或变相将设施农用地用于非农建设、违规占用永久基本农田、擅自扩大设施用地规模等行为，按违法用地进行查处，确保农地农用。设施农用地用于非农建设或破坏耕作层的，按建设用地有关规定办理相关手续。</w:t>
      </w:r>
    </w:p>
    <w:p>
      <w:pPr>
        <w:pStyle w:val="4"/>
      </w:pPr>
      <w:r>
        <w:rPr>
          <w:rFonts w:hint="eastAsia"/>
        </w:rPr>
        <w:t>生态空间管控</w:t>
      </w:r>
    </w:p>
    <w:p>
      <w:pPr>
        <w:ind w:firstLine="640"/>
      </w:pPr>
      <w:r>
        <w:rPr>
          <w:rFonts w:hint="eastAsia"/>
        </w:rPr>
        <w:t>水域、林地、草地等生态空间，原则上不允许进行开发性、生产性建设，已有的、不符合资源环境保护要求的建设项目，应限期搬迁。</w:t>
      </w:r>
    </w:p>
    <w:p>
      <w:pPr>
        <w:ind w:firstLine="640"/>
      </w:pPr>
      <w:r>
        <w:rPr>
          <w:rFonts w:hint="eastAsia"/>
        </w:rPr>
        <w:t>禁止任何单位和个人危害、破坏林地，不得擅自毁林开垦和毁林采矿、采石、采砂、取士、造墓、修筑工程设施及其他造成毁坏林地的行为。涉及建设占用林地等生态空间的，须办理林地等相关手续。鼓励利用宜林荒山、荒地、荒滩、废弃地造林。</w:t>
      </w:r>
    </w:p>
    <w:p>
      <w:pPr>
        <w:ind w:firstLine="640"/>
      </w:pPr>
    </w:p>
    <w:p>
      <w:pPr>
        <w:pStyle w:val="4"/>
      </w:pPr>
      <w:r>
        <w:t>建设空间管控</w:t>
      </w:r>
    </w:p>
    <w:p>
      <w:pPr>
        <w:ind w:firstLine="640"/>
      </w:pPr>
      <w:r>
        <w:rPr>
          <w:rFonts w:hint="eastAsia"/>
        </w:rPr>
        <w:t>1</w:t>
      </w:r>
      <w:r>
        <w:t>.</w:t>
      </w:r>
      <w:r>
        <w:rPr>
          <w:rFonts w:hint="eastAsia"/>
        </w:rPr>
        <w:t>村庄建设用地管控</w:t>
      </w:r>
    </w:p>
    <w:p>
      <w:pPr>
        <w:ind w:firstLine="640"/>
      </w:pPr>
      <w:r>
        <w:rPr>
          <w:rFonts w:hint="eastAsia"/>
        </w:rPr>
        <w:t>村庄建设项目应当位于村庄建设边界内，符合镇国土空间规划明确的国土空间用途管制规则和建设管控要求。</w:t>
      </w:r>
    </w:p>
    <w:p>
      <w:pPr>
        <w:ind w:firstLine="640"/>
      </w:pPr>
      <w:r>
        <w:rPr>
          <w:rFonts w:hint="eastAsia"/>
        </w:rPr>
        <w:t>位于村庄建设边界外拟撤并搬迁村庄部分，不得进行翻建、扩建、改建。</w:t>
      </w:r>
    </w:p>
    <w:p>
      <w:pPr>
        <w:ind w:firstLine="640"/>
      </w:pPr>
      <w:r>
        <w:rPr>
          <w:rFonts w:hint="eastAsia"/>
        </w:rPr>
        <w:t>位于村庄建设边界内但属于撤并搬迁类村庄部分，可以进行加固、维修，但不能进行翻建、扩建、改建。</w:t>
      </w:r>
    </w:p>
    <w:p>
      <w:pPr>
        <w:ind w:firstLine="640"/>
      </w:pPr>
      <w:r>
        <w:t>村庄建设项目位于自然保护地、风景名胜区、文物保护范围和建设控制地带、历史文化名村、传统村落等区域的,还须符合相关专项规划。</w:t>
      </w:r>
    </w:p>
    <w:p>
      <w:pPr>
        <w:ind w:firstLine="640"/>
      </w:pPr>
      <w:r>
        <w:t>村庄建设项目选址位置应当遵循的一般原则：</w:t>
      </w:r>
      <w:r>
        <w:rPr>
          <w:rFonts w:hint="eastAsia"/>
        </w:rPr>
        <w:t>应选址在地质条件较好、环境适宜、交通方便的地段。坚持节约集约用地，充分利用村内空闲地、废弃地，满足消防、抗震、防洪要求，不得阻碍交通、侵占公共用地和邻里通道，妥善处理给水、排水、日照、采光、通风等方面的相邻关系。严格控制切坡建房，确因用地因难需要切坡的，应当在乡镇政府指导下，按照有关技术规范做好坡体防护工作，确保安全。</w:t>
      </w:r>
    </w:p>
    <w:p>
      <w:pPr>
        <w:ind w:firstLine="640"/>
      </w:pPr>
      <w:r>
        <w:t>村庄建设项目不得在下列地点或地段选址：</w:t>
      </w:r>
      <w:r>
        <w:rPr>
          <w:rFonts w:hint="eastAsia"/>
        </w:rPr>
        <w:t>山体滑坡、泥石流、危岩、塌陷等地质灾害易发区或次生灾害隐患易发地段。洪涝灾害危险地段。文物保护区。生态保护红线、永久基本农田保护区、永久基本农田储备区、生态资源保护区、饮用水源一级保护区、风景名胜区核心保护区、自然保护区核心区和缓冲区、历史文化核心保护范围内。输油、输气管道上、高压供电走廊下。危险化学品生产企业、危险化学品储存仓库或危房旁边。河道管理范围和水库、渠道的控制区范围内。法律、法规禁止建设建（构）筑物的其他区域。</w:t>
      </w:r>
    </w:p>
    <w:p>
      <w:pPr>
        <w:ind w:firstLine="640"/>
        <w:rPr>
          <w:lang w:bidi="ar"/>
        </w:rPr>
      </w:pPr>
      <w:r>
        <w:rPr>
          <w:lang w:bidi="ar"/>
        </w:rPr>
        <w:t>在高铁、国道、省道等交通干线两侧新建农村建筑，必须满足以下铁路、公路</w:t>
      </w:r>
      <w:r>
        <w:rPr>
          <w:rFonts w:hint="eastAsia"/>
          <w:lang w:bidi="ar"/>
        </w:rPr>
        <w:t>控制距离</w:t>
      </w:r>
      <w:r>
        <w:rPr>
          <w:lang w:bidi="ar"/>
        </w:rPr>
        <w:t>要求：</w:t>
      </w:r>
    </w:p>
    <w:tbl>
      <w:tblPr>
        <w:tblStyle w:val="31"/>
        <w:tblW w:w="8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5155"/>
        <w:gridCol w:w="1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5" w:type="dxa"/>
            <w:gridSpan w:val="3"/>
          </w:tcPr>
          <w:p>
            <w:pPr>
              <w:pStyle w:val="98"/>
              <w:rPr>
                <w:lang w:bidi="ar"/>
              </w:rPr>
            </w:pPr>
            <w:r>
              <w:rPr>
                <w:rFonts w:hint="eastAsia"/>
                <w:lang w:bidi="ar"/>
              </w:rPr>
              <w:t>专栏14</w:t>
            </w:r>
            <w:r>
              <w:rPr>
                <w:lang w:bidi="ar"/>
              </w:rPr>
              <w:t>-</w:t>
            </w:r>
            <w:r>
              <w:rPr>
                <w:rFonts w:hint="eastAsia"/>
                <w:lang w:bidi="ar"/>
              </w:rPr>
              <w:t>2 建筑退让铁路的控制距离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sz w:val="24"/>
                <w:szCs w:val="24"/>
              </w:rPr>
            </w:pPr>
            <w:r>
              <w:rPr>
                <w:rFonts w:hint="eastAsia"/>
                <w:sz w:val="24"/>
                <w:szCs w:val="24"/>
              </w:rPr>
              <w:t>铁路等级</w:t>
            </w:r>
          </w:p>
        </w:tc>
        <w:tc>
          <w:tcPr>
            <w:tcW w:w="5155" w:type="dxa"/>
          </w:tcPr>
          <w:p>
            <w:pPr>
              <w:pStyle w:val="96"/>
              <w:rPr>
                <w:sz w:val="24"/>
                <w:szCs w:val="24"/>
              </w:rPr>
            </w:pPr>
            <w:r>
              <w:rPr>
                <w:rFonts w:hint="eastAsia"/>
                <w:sz w:val="24"/>
                <w:szCs w:val="24"/>
              </w:rPr>
              <w:t>建筑边缘与铁路路基外侧的距离（米）</w:t>
            </w:r>
          </w:p>
        </w:tc>
        <w:tc>
          <w:tcPr>
            <w:tcW w:w="1770" w:type="dxa"/>
          </w:tcPr>
          <w:p>
            <w:pPr>
              <w:pStyle w:val="96"/>
              <w:rPr>
                <w:sz w:val="24"/>
                <w:szCs w:val="24"/>
              </w:rPr>
            </w:pPr>
            <w:r>
              <w:rPr>
                <w:rFonts w:hint="eastAsia"/>
                <w:sz w:val="24"/>
                <w:szCs w:val="24"/>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sz w:val="24"/>
                <w:szCs w:val="24"/>
              </w:rPr>
            </w:pPr>
            <w:r>
              <w:rPr>
                <w:rFonts w:hint="eastAsia"/>
                <w:sz w:val="24"/>
                <w:szCs w:val="24"/>
              </w:rPr>
              <w:t>高铁</w:t>
            </w:r>
          </w:p>
        </w:tc>
        <w:tc>
          <w:tcPr>
            <w:tcW w:w="5155" w:type="dxa"/>
          </w:tcPr>
          <w:p>
            <w:pPr>
              <w:pStyle w:val="96"/>
              <w:rPr>
                <w:sz w:val="24"/>
                <w:szCs w:val="24"/>
              </w:rPr>
            </w:pPr>
            <w:r>
              <w:rPr>
                <w:rFonts w:hint="eastAsia"/>
                <w:sz w:val="24"/>
                <w:szCs w:val="24"/>
              </w:rPr>
              <w:t>不低于50米</w:t>
            </w:r>
          </w:p>
        </w:tc>
        <w:tc>
          <w:tcPr>
            <w:tcW w:w="1770" w:type="dxa"/>
          </w:tcPr>
          <w:p>
            <w:pPr>
              <w:pStyle w:val="96"/>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pStyle w:val="96"/>
              <w:rPr>
                <w:sz w:val="24"/>
                <w:szCs w:val="24"/>
              </w:rPr>
            </w:pPr>
            <w:r>
              <w:rPr>
                <w:rFonts w:hint="eastAsia"/>
                <w:sz w:val="24"/>
                <w:szCs w:val="24"/>
              </w:rPr>
              <w:t>铁路干线</w:t>
            </w:r>
          </w:p>
        </w:tc>
        <w:tc>
          <w:tcPr>
            <w:tcW w:w="5155" w:type="dxa"/>
          </w:tcPr>
          <w:p>
            <w:pPr>
              <w:pStyle w:val="96"/>
              <w:rPr>
                <w:sz w:val="24"/>
                <w:szCs w:val="24"/>
              </w:rPr>
            </w:pPr>
            <w:r>
              <w:rPr>
                <w:rFonts w:hint="eastAsia"/>
                <w:sz w:val="24"/>
                <w:szCs w:val="24"/>
              </w:rPr>
              <w:t>不低于30米</w:t>
            </w:r>
          </w:p>
        </w:tc>
        <w:tc>
          <w:tcPr>
            <w:tcW w:w="1770" w:type="dxa"/>
          </w:tcPr>
          <w:p>
            <w:pPr>
              <w:pStyle w:val="96"/>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sz w:val="24"/>
                <w:szCs w:val="24"/>
              </w:rPr>
            </w:pPr>
            <w:r>
              <w:rPr>
                <w:rFonts w:hint="eastAsia"/>
                <w:sz w:val="24"/>
                <w:szCs w:val="24"/>
              </w:rPr>
              <w:t>铁路支线</w:t>
            </w:r>
          </w:p>
        </w:tc>
        <w:tc>
          <w:tcPr>
            <w:tcW w:w="5155" w:type="dxa"/>
          </w:tcPr>
          <w:p>
            <w:pPr>
              <w:pStyle w:val="96"/>
              <w:rPr>
                <w:sz w:val="24"/>
                <w:szCs w:val="24"/>
              </w:rPr>
            </w:pPr>
            <w:r>
              <w:rPr>
                <w:rFonts w:hint="eastAsia"/>
                <w:sz w:val="24"/>
                <w:szCs w:val="24"/>
              </w:rPr>
              <w:t>不低于20米</w:t>
            </w:r>
          </w:p>
        </w:tc>
        <w:tc>
          <w:tcPr>
            <w:tcW w:w="1770" w:type="dxa"/>
          </w:tcPr>
          <w:p>
            <w:pPr>
              <w:pStyle w:val="96"/>
              <w:rPr>
                <w:sz w:val="24"/>
                <w:szCs w:val="24"/>
              </w:rPr>
            </w:pPr>
          </w:p>
        </w:tc>
      </w:tr>
    </w:tbl>
    <w:p>
      <w:pPr>
        <w:spacing w:line="500" w:lineRule="exact"/>
        <w:ind w:firstLine="560"/>
        <w:jc w:val="center"/>
        <w:rPr>
          <w:rFonts w:ascii="仿宋" w:hAnsi="仿宋" w:eastAsia="仿宋" w:cs="仿宋"/>
          <w:color w:val="000000"/>
          <w:kern w:val="0"/>
          <w:sz w:val="28"/>
          <w:szCs w:val="28"/>
          <w:lang w:bidi="ar"/>
        </w:rPr>
      </w:pPr>
    </w:p>
    <w:tbl>
      <w:tblPr>
        <w:tblStyle w:val="31"/>
        <w:tblW w:w="8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0"/>
        <w:gridCol w:w="5155"/>
        <w:gridCol w:w="1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345" w:type="dxa"/>
            <w:gridSpan w:val="3"/>
          </w:tcPr>
          <w:p>
            <w:pPr>
              <w:pStyle w:val="98"/>
              <w:rPr>
                <w:lang w:bidi="ar"/>
              </w:rPr>
            </w:pPr>
            <w:r>
              <w:rPr>
                <w:rFonts w:hint="eastAsia"/>
                <w:lang w:bidi="ar"/>
              </w:rPr>
              <w:t>专栏14</w:t>
            </w:r>
            <w:r>
              <w:rPr>
                <w:lang w:bidi="ar"/>
              </w:rPr>
              <w:t>-</w:t>
            </w:r>
            <w:r>
              <w:rPr>
                <w:rFonts w:hint="eastAsia"/>
                <w:lang w:bidi="ar"/>
              </w:rPr>
              <w:t>3 建筑退让公路的控制距离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sz w:val="24"/>
                <w:szCs w:val="24"/>
                <w:lang w:bidi="ar"/>
              </w:rPr>
            </w:pPr>
            <w:r>
              <w:rPr>
                <w:rFonts w:hint="eastAsia"/>
                <w:sz w:val="24"/>
                <w:szCs w:val="24"/>
                <w:lang w:bidi="ar"/>
              </w:rPr>
              <w:t>公路等级</w:t>
            </w:r>
          </w:p>
        </w:tc>
        <w:tc>
          <w:tcPr>
            <w:tcW w:w="5155" w:type="dxa"/>
          </w:tcPr>
          <w:p>
            <w:pPr>
              <w:pStyle w:val="96"/>
              <w:rPr>
                <w:sz w:val="24"/>
                <w:szCs w:val="24"/>
                <w:lang w:bidi="ar"/>
              </w:rPr>
            </w:pPr>
            <w:r>
              <w:rPr>
                <w:rFonts w:hint="eastAsia"/>
                <w:sz w:val="24"/>
                <w:szCs w:val="24"/>
                <w:lang w:bidi="ar"/>
              </w:rPr>
              <w:t>建筑边缘与公路边沟外侧的距离（米）</w:t>
            </w:r>
          </w:p>
        </w:tc>
        <w:tc>
          <w:tcPr>
            <w:tcW w:w="1770" w:type="dxa"/>
          </w:tcPr>
          <w:p>
            <w:pPr>
              <w:pStyle w:val="96"/>
              <w:rPr>
                <w:sz w:val="24"/>
                <w:szCs w:val="24"/>
                <w:lang w:bidi="ar"/>
              </w:rPr>
            </w:pPr>
            <w:r>
              <w:rPr>
                <w:rFonts w:hint="eastAsia"/>
                <w:sz w:val="24"/>
                <w:szCs w:val="24"/>
                <w:lang w:bidi="ar"/>
              </w:rPr>
              <w:t>备 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sz w:val="24"/>
                <w:szCs w:val="24"/>
                <w:lang w:bidi="ar"/>
              </w:rPr>
            </w:pPr>
            <w:r>
              <w:rPr>
                <w:rFonts w:hint="eastAsia"/>
                <w:sz w:val="24"/>
                <w:szCs w:val="24"/>
                <w:lang w:bidi="ar"/>
              </w:rPr>
              <w:t>高速</w:t>
            </w:r>
          </w:p>
        </w:tc>
        <w:tc>
          <w:tcPr>
            <w:tcW w:w="5155" w:type="dxa"/>
          </w:tcPr>
          <w:p>
            <w:pPr>
              <w:pStyle w:val="96"/>
              <w:rPr>
                <w:sz w:val="24"/>
                <w:szCs w:val="24"/>
                <w:lang w:bidi="ar"/>
              </w:rPr>
            </w:pPr>
            <w:r>
              <w:rPr>
                <w:rFonts w:hint="eastAsia"/>
                <w:sz w:val="24"/>
                <w:szCs w:val="24"/>
                <w:lang w:bidi="ar"/>
              </w:rPr>
              <w:t>不少于</w:t>
            </w:r>
            <w:r>
              <w:rPr>
                <w:sz w:val="24"/>
                <w:szCs w:val="24"/>
                <w:lang w:bidi="ar"/>
              </w:rPr>
              <w:t>3</w:t>
            </w:r>
            <w:r>
              <w:rPr>
                <w:rFonts w:hint="eastAsia"/>
                <w:sz w:val="24"/>
                <w:szCs w:val="24"/>
                <w:lang w:bidi="ar"/>
              </w:rPr>
              <w:t>0米</w:t>
            </w:r>
          </w:p>
        </w:tc>
        <w:tc>
          <w:tcPr>
            <w:tcW w:w="1770" w:type="dxa"/>
          </w:tcPr>
          <w:p>
            <w:pPr>
              <w:pStyle w:val="96"/>
              <w:rPr>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20" w:type="dxa"/>
          </w:tcPr>
          <w:p>
            <w:pPr>
              <w:pStyle w:val="96"/>
              <w:rPr>
                <w:sz w:val="24"/>
                <w:szCs w:val="24"/>
                <w:lang w:bidi="ar"/>
              </w:rPr>
            </w:pPr>
            <w:r>
              <w:rPr>
                <w:rFonts w:hint="eastAsia"/>
                <w:sz w:val="24"/>
                <w:szCs w:val="24"/>
                <w:lang w:bidi="ar"/>
              </w:rPr>
              <w:t>国道</w:t>
            </w:r>
          </w:p>
        </w:tc>
        <w:tc>
          <w:tcPr>
            <w:tcW w:w="5155" w:type="dxa"/>
          </w:tcPr>
          <w:p>
            <w:pPr>
              <w:pStyle w:val="96"/>
              <w:rPr>
                <w:sz w:val="24"/>
                <w:szCs w:val="24"/>
                <w:lang w:bidi="ar"/>
              </w:rPr>
            </w:pPr>
            <w:r>
              <w:rPr>
                <w:rFonts w:hint="eastAsia"/>
                <w:sz w:val="24"/>
                <w:szCs w:val="24"/>
                <w:lang w:bidi="ar"/>
              </w:rPr>
              <w:t>不少于20米</w:t>
            </w:r>
          </w:p>
        </w:tc>
        <w:tc>
          <w:tcPr>
            <w:tcW w:w="1770" w:type="dxa"/>
          </w:tcPr>
          <w:p>
            <w:pPr>
              <w:pStyle w:val="96"/>
              <w:rPr>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sz w:val="24"/>
                <w:szCs w:val="24"/>
                <w:lang w:bidi="ar"/>
              </w:rPr>
            </w:pPr>
            <w:r>
              <w:rPr>
                <w:rFonts w:hint="eastAsia"/>
                <w:sz w:val="24"/>
                <w:szCs w:val="24"/>
                <w:lang w:bidi="ar"/>
              </w:rPr>
              <w:t>省道</w:t>
            </w:r>
          </w:p>
        </w:tc>
        <w:tc>
          <w:tcPr>
            <w:tcW w:w="5155" w:type="dxa"/>
          </w:tcPr>
          <w:p>
            <w:pPr>
              <w:pStyle w:val="96"/>
              <w:rPr>
                <w:sz w:val="24"/>
                <w:szCs w:val="24"/>
                <w:lang w:bidi="ar"/>
              </w:rPr>
            </w:pPr>
            <w:r>
              <w:rPr>
                <w:rFonts w:hint="eastAsia"/>
                <w:sz w:val="24"/>
                <w:szCs w:val="24"/>
                <w:lang w:bidi="ar"/>
              </w:rPr>
              <w:t>不少于15米</w:t>
            </w:r>
          </w:p>
        </w:tc>
        <w:tc>
          <w:tcPr>
            <w:tcW w:w="1770" w:type="dxa"/>
          </w:tcPr>
          <w:p>
            <w:pPr>
              <w:pStyle w:val="96"/>
              <w:rPr>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sz w:val="24"/>
                <w:szCs w:val="24"/>
                <w:lang w:bidi="ar"/>
              </w:rPr>
            </w:pPr>
            <w:r>
              <w:rPr>
                <w:rFonts w:hint="eastAsia"/>
                <w:sz w:val="24"/>
                <w:szCs w:val="24"/>
                <w:lang w:bidi="ar"/>
              </w:rPr>
              <w:t>县道</w:t>
            </w:r>
          </w:p>
        </w:tc>
        <w:tc>
          <w:tcPr>
            <w:tcW w:w="5155" w:type="dxa"/>
          </w:tcPr>
          <w:p>
            <w:pPr>
              <w:pStyle w:val="96"/>
              <w:rPr>
                <w:sz w:val="24"/>
                <w:szCs w:val="24"/>
                <w:lang w:bidi="ar"/>
              </w:rPr>
            </w:pPr>
            <w:r>
              <w:rPr>
                <w:rFonts w:hint="eastAsia"/>
                <w:sz w:val="24"/>
                <w:szCs w:val="24"/>
                <w:lang w:bidi="ar"/>
              </w:rPr>
              <w:t>不少于10米</w:t>
            </w:r>
          </w:p>
        </w:tc>
        <w:tc>
          <w:tcPr>
            <w:tcW w:w="1770" w:type="dxa"/>
          </w:tcPr>
          <w:p>
            <w:pPr>
              <w:pStyle w:val="96"/>
              <w:rPr>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0" w:type="dxa"/>
          </w:tcPr>
          <w:p>
            <w:pPr>
              <w:pStyle w:val="96"/>
              <w:rPr>
                <w:sz w:val="24"/>
                <w:szCs w:val="24"/>
                <w:lang w:bidi="ar"/>
              </w:rPr>
            </w:pPr>
            <w:r>
              <w:rPr>
                <w:rFonts w:hint="eastAsia"/>
                <w:sz w:val="24"/>
                <w:szCs w:val="24"/>
                <w:lang w:bidi="ar"/>
              </w:rPr>
              <w:t>乡道</w:t>
            </w:r>
          </w:p>
        </w:tc>
        <w:tc>
          <w:tcPr>
            <w:tcW w:w="5155" w:type="dxa"/>
          </w:tcPr>
          <w:p>
            <w:pPr>
              <w:pStyle w:val="96"/>
              <w:rPr>
                <w:sz w:val="24"/>
                <w:szCs w:val="24"/>
                <w:lang w:bidi="ar"/>
              </w:rPr>
            </w:pPr>
            <w:r>
              <w:rPr>
                <w:rFonts w:hint="eastAsia"/>
                <w:sz w:val="24"/>
                <w:szCs w:val="24"/>
                <w:lang w:bidi="ar"/>
              </w:rPr>
              <w:t>不少于5米</w:t>
            </w:r>
          </w:p>
        </w:tc>
        <w:tc>
          <w:tcPr>
            <w:tcW w:w="1770" w:type="dxa"/>
          </w:tcPr>
          <w:p>
            <w:pPr>
              <w:pStyle w:val="96"/>
              <w:rPr>
                <w:sz w:val="24"/>
                <w:szCs w:val="24"/>
                <w:lang w:bidi="ar"/>
              </w:rPr>
            </w:pPr>
          </w:p>
        </w:tc>
      </w:tr>
    </w:tbl>
    <w:p>
      <w:pPr>
        <w:ind w:firstLine="640"/>
      </w:pPr>
      <w:r>
        <w:t>乡村范围内各类建筑退河道（水库）管护范围线不得小于5米，且应结合防洪、生态、水系及其他专项规划进行合理控制。</w:t>
      </w:r>
    </w:p>
    <w:p>
      <w:pPr>
        <w:ind w:firstLine="640"/>
      </w:pPr>
    </w:p>
    <w:p>
      <w:pPr>
        <w:ind w:firstLine="640"/>
      </w:pPr>
      <w:r>
        <w:t>2.农村村民自建住房管控</w:t>
      </w:r>
    </w:p>
    <w:p>
      <w:pPr>
        <w:ind w:firstLine="640"/>
      </w:pPr>
      <w:r>
        <w:t>村庄建设边界内建设用地优先保障村民自建住房用地，住宅用地不足的不得安排其他产业用地。</w:t>
      </w:r>
      <w:r>
        <w:rPr>
          <w:rFonts w:hint="eastAsia"/>
        </w:rPr>
        <w:t>村庄用地规划按住宅用地、村庄公共设施、公益事业、产业用地顺序保障。</w:t>
      </w:r>
    </w:p>
    <w:p>
      <w:pPr>
        <w:ind w:firstLine="640"/>
      </w:pPr>
      <w:r>
        <w:t>农村村民自建住房建设主体应符合农村宅基地申请条件。</w:t>
      </w:r>
      <w:r>
        <w:rPr>
          <w:rFonts w:hint="eastAsia"/>
        </w:rPr>
        <w:t>农村村民一户只能拥有一处宅基地。新建宅基地</w:t>
      </w:r>
      <w:r>
        <w:t>每户宅基地面积不得超过167平方米。</w:t>
      </w:r>
    </w:p>
    <w:p>
      <w:pPr>
        <w:ind w:firstLine="640"/>
      </w:pPr>
      <w:r>
        <w:rPr>
          <w:rFonts w:hint="eastAsia"/>
        </w:rPr>
        <w:t>利用村内原宅基地改造、翻建的，应符合村规民约，与周边住宅建筑对齐，不得扩大用地规模。涉及妨碍村庄道路等公共空间的，须按村规民约退出。</w:t>
      </w:r>
    </w:p>
    <w:p>
      <w:pPr>
        <w:ind w:firstLine="640"/>
      </w:pPr>
      <w:r>
        <w:rPr>
          <w:rFonts w:hint="eastAsia"/>
        </w:rPr>
        <w:t>村民按照规划另选址建房的，无偿退回原有宅基地。</w:t>
      </w:r>
    </w:p>
    <w:p>
      <w:pPr>
        <w:ind w:firstLine="640"/>
      </w:pPr>
      <w:r>
        <w:t>村村民自建住房建筑一般以两层为主，最高不超过三层，建筑限高12米。</w:t>
      </w:r>
    </w:p>
    <w:p>
      <w:pPr>
        <w:ind w:firstLine="640"/>
      </w:pPr>
      <w:r>
        <w:rPr>
          <w:rFonts w:hint="eastAsia"/>
        </w:rPr>
        <w:t>各村村民自建住房在不超建筑限高</w:t>
      </w:r>
      <w:r>
        <w:t>12米的前提下，可根据本村规民约、风土人情、地理环境特点等因素合理确定各村住宅层高及限高，并体现在本村村庄规划或村规民约中。</w:t>
      </w:r>
    </w:p>
    <w:p>
      <w:pPr>
        <w:ind w:firstLine="640"/>
      </w:pPr>
      <w:r>
        <w:rPr>
          <w:rFonts w:hint="eastAsia"/>
        </w:rPr>
        <w:t>对于机场、风景名胜区、文物保护区、传统村落保护区等特殊地段的村民自建住宅，建筑限高还须符合其他相关部门的专项规定。</w:t>
      </w:r>
    </w:p>
    <w:p>
      <w:pPr>
        <w:ind w:firstLine="640"/>
      </w:pPr>
      <w:r>
        <w:rPr>
          <w:rFonts w:hint="eastAsia"/>
        </w:rPr>
        <w:t>平原地区室内外高差不宜大于</w:t>
      </w:r>
      <w:r>
        <w:t>0.45米、院落和街巷高差不宜大于0.3米</w:t>
      </w:r>
      <w:r>
        <w:rPr>
          <w:rFonts w:hint="eastAsia" w:ascii="仿宋_GB2312" w:hAnsi="仿宋_GB2312" w:cs="仿宋_GB2312"/>
        </w:rPr>
        <w:t>。</w:t>
      </w:r>
    </w:p>
    <w:p>
      <w:pPr>
        <w:ind w:firstLine="640"/>
      </w:pPr>
      <w:r>
        <w:t>农村村民自建住宅建筑临距应符合村规民约，不妨害相邻权、地役权，应保证相邻利益方房屋的正常采光和通行要求，并符合《农村防火规范（GB50039-2010）》规定。</w:t>
      </w:r>
      <w:r>
        <w:rPr>
          <w:rFonts w:hint="eastAsia"/>
        </w:rPr>
        <w:t>村民联排自建住房（并山）可不考虑山墙建筑间距。</w:t>
      </w:r>
    </w:p>
    <w:p>
      <w:pPr>
        <w:ind w:firstLine="640"/>
      </w:pPr>
      <w:r>
        <w:t>农村村民自建住宅临村内道路进行住宅建设，宜按下列原则退让道路。</w:t>
      </w:r>
      <w:r>
        <w:rPr>
          <w:rFonts w:hint="eastAsia"/>
        </w:rPr>
        <w:t>新建村民自建住房临路方向应与同侧相邻建筑外墙面边界齐平，保证沿路建筑的整齐美观。临路方向退缩距离如有村规民约的，按照村规民约约定退让距离执行。村规民约没有约定的，按照正向临路方向退缩不宜小于</w:t>
      </w:r>
      <w:r>
        <w:t>2米(以道路边线为基准)，侧向临路方向退缩不宜小于1米(以道路中边线为基准)规定执行。</w:t>
      </w:r>
      <w:r>
        <w:rPr>
          <w:rFonts w:hint="eastAsia"/>
        </w:rPr>
        <w:t>村民自建住房与其他公共建筑、企业、仓储等建筑间距离，须符合建筑防火规范。</w:t>
      </w:r>
    </w:p>
    <w:p>
      <w:pPr>
        <w:ind w:firstLine="640"/>
      </w:pPr>
      <w:r>
        <w:t>农村村民自建住房可按照</w:t>
      </w:r>
      <w:r>
        <w:rPr>
          <w:rFonts w:hint="eastAsia"/>
        </w:rPr>
        <w:t>村庄规划推荐</w:t>
      </w:r>
      <w:r>
        <w:t>的</w:t>
      </w:r>
      <w:bookmarkStart w:id="236" w:name="OLE_LINK1"/>
      <w:bookmarkStart w:id="237" w:name="OLE_LINK2"/>
      <w:r>
        <w:t>农村住房设计图集</w:t>
      </w:r>
      <w:bookmarkEnd w:id="236"/>
      <w:bookmarkEnd w:id="237"/>
      <w:r>
        <w:t>建设或自行聘请设计单位进行。自行设计的，建筑风貌应与本村建筑风貌一致，符合村规民约，尊重本村居民居住习惯。村民自建低层经营性建筑或三层（含）以上住宅的，必须由有资质建筑设计单位进行设计，并按有关建筑规范要求施工。</w:t>
      </w:r>
    </w:p>
    <w:p>
      <w:pPr>
        <w:ind w:firstLine="640"/>
      </w:pPr>
      <w:r>
        <w:t>鼓励开展“空心村”、闲置用地整治，集约节约用地。为节约集约用地，对宅基地特别紧张的村庄，集体经济组织可通过综合整治，本着村民自愿的原则，统筹建设多层村民集中住宅楼，实现户有所居。</w:t>
      </w:r>
      <w:r>
        <w:rPr>
          <w:rFonts w:hint="eastAsia"/>
        </w:rPr>
        <w:t>村民集中住宅楼只限本村村民，不得对外销售、租赁。</w:t>
      </w:r>
    </w:p>
    <w:p>
      <w:pPr>
        <w:ind w:firstLine="640"/>
      </w:pPr>
      <w:r>
        <w:t>村民集中住宅楼、保障性租赁住房可按下列指标控制：</w:t>
      </w:r>
    </w:p>
    <w:tbl>
      <w:tblPr>
        <w:tblStyle w:val="31"/>
        <w:tblpPr w:leftFromText="180" w:rightFromText="180" w:vertAnchor="text" w:horzAnchor="page" w:tblpX="1821" w:tblpY="286"/>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44"/>
        <w:gridCol w:w="1328"/>
        <w:gridCol w:w="1464"/>
        <w:gridCol w:w="1464"/>
        <w:gridCol w:w="21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5000" w:type="pct"/>
            <w:gridSpan w:val="5"/>
          </w:tcPr>
          <w:p>
            <w:pPr>
              <w:pStyle w:val="98"/>
            </w:pPr>
            <w:r>
              <w:rPr>
                <w:rFonts w:hint="eastAsia"/>
              </w:rPr>
              <w:t>专栏14</w:t>
            </w:r>
            <w:r>
              <w:t>-</w:t>
            </w:r>
            <w:r>
              <w:rPr>
                <w:rFonts w:hint="eastAsia"/>
              </w:rPr>
              <w:t>4</w:t>
            </w:r>
            <w:r>
              <w:t xml:space="preserve"> </w:t>
            </w:r>
            <w:r>
              <w:rPr>
                <w:rFonts w:hint="eastAsia"/>
              </w:rPr>
              <w:t>村庄集中住宅楼、保障性租赁住房建设指标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1258" w:type="pct"/>
          </w:tcPr>
          <w:p>
            <w:pPr>
              <w:pStyle w:val="96"/>
              <w:rPr>
                <w:sz w:val="24"/>
                <w:szCs w:val="24"/>
              </w:rPr>
            </w:pPr>
            <w:r>
              <w:rPr>
                <w:rFonts w:hint="eastAsia"/>
                <w:sz w:val="24"/>
                <w:szCs w:val="24"/>
              </w:rPr>
              <w:t>容积率</w:t>
            </w:r>
          </w:p>
        </w:tc>
        <w:tc>
          <w:tcPr>
            <w:tcW w:w="779" w:type="pct"/>
          </w:tcPr>
          <w:p>
            <w:pPr>
              <w:pStyle w:val="96"/>
              <w:rPr>
                <w:sz w:val="24"/>
                <w:szCs w:val="24"/>
              </w:rPr>
            </w:pPr>
            <w:r>
              <w:rPr>
                <w:rFonts w:hint="eastAsia"/>
                <w:sz w:val="24"/>
                <w:szCs w:val="24"/>
              </w:rPr>
              <w:t>建筑密度</w:t>
            </w:r>
          </w:p>
        </w:tc>
        <w:tc>
          <w:tcPr>
            <w:tcW w:w="859" w:type="pct"/>
          </w:tcPr>
          <w:p>
            <w:pPr>
              <w:pStyle w:val="96"/>
              <w:rPr>
                <w:sz w:val="24"/>
                <w:szCs w:val="24"/>
              </w:rPr>
            </w:pPr>
            <w:r>
              <w:rPr>
                <w:rFonts w:hint="eastAsia"/>
                <w:sz w:val="24"/>
                <w:szCs w:val="24"/>
              </w:rPr>
              <w:t>绿化率</w:t>
            </w:r>
          </w:p>
        </w:tc>
        <w:tc>
          <w:tcPr>
            <w:tcW w:w="859" w:type="pct"/>
          </w:tcPr>
          <w:p>
            <w:pPr>
              <w:pStyle w:val="96"/>
              <w:rPr>
                <w:sz w:val="24"/>
                <w:szCs w:val="24"/>
              </w:rPr>
            </w:pPr>
            <w:r>
              <w:rPr>
                <w:rFonts w:hint="eastAsia"/>
                <w:sz w:val="24"/>
                <w:szCs w:val="24"/>
              </w:rPr>
              <w:t>建筑高度</w:t>
            </w:r>
          </w:p>
        </w:tc>
        <w:tc>
          <w:tcPr>
            <w:tcW w:w="1245" w:type="pct"/>
          </w:tcPr>
          <w:p>
            <w:pPr>
              <w:pStyle w:val="96"/>
              <w:rPr>
                <w:sz w:val="24"/>
                <w:szCs w:val="24"/>
              </w:rPr>
            </w:pPr>
            <w:r>
              <w:rPr>
                <w:rFonts w:hint="eastAsia"/>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5" w:hRule="atLeast"/>
        </w:trPr>
        <w:tc>
          <w:tcPr>
            <w:tcW w:w="1258" w:type="pct"/>
          </w:tcPr>
          <w:p>
            <w:pPr>
              <w:pStyle w:val="96"/>
              <w:rPr>
                <w:rFonts w:ascii="仿宋_GB2312"/>
                <w:sz w:val="24"/>
                <w:szCs w:val="24"/>
              </w:rPr>
            </w:pPr>
            <w:r>
              <w:rPr>
                <w:rFonts w:hint="eastAsia" w:ascii="仿宋_GB2312" w:hAnsi="Arial" w:cs="Arial"/>
                <w:sz w:val="24"/>
                <w:szCs w:val="24"/>
              </w:rPr>
              <w:t>1.0-</w:t>
            </w:r>
            <w:r>
              <w:rPr>
                <w:rFonts w:hint="eastAsia" w:ascii="仿宋_GB2312"/>
                <w:sz w:val="24"/>
                <w:szCs w:val="24"/>
              </w:rPr>
              <w:t>1.5</w:t>
            </w:r>
          </w:p>
        </w:tc>
        <w:tc>
          <w:tcPr>
            <w:tcW w:w="779" w:type="pct"/>
          </w:tcPr>
          <w:p>
            <w:pPr>
              <w:pStyle w:val="96"/>
              <w:rPr>
                <w:rFonts w:ascii="仿宋_GB2312"/>
                <w:sz w:val="24"/>
                <w:szCs w:val="24"/>
              </w:rPr>
            </w:pPr>
            <w:r>
              <w:rPr>
                <w:rFonts w:hint="eastAsia" w:ascii="仿宋_GB2312"/>
                <w:sz w:val="24"/>
                <w:szCs w:val="24"/>
              </w:rPr>
              <w:t>＜35%</w:t>
            </w:r>
          </w:p>
        </w:tc>
        <w:tc>
          <w:tcPr>
            <w:tcW w:w="859" w:type="pct"/>
          </w:tcPr>
          <w:p>
            <w:pPr>
              <w:pStyle w:val="96"/>
              <w:rPr>
                <w:rFonts w:ascii="仿宋_GB2312"/>
                <w:sz w:val="24"/>
                <w:szCs w:val="24"/>
              </w:rPr>
            </w:pPr>
            <w:r>
              <w:rPr>
                <w:rFonts w:hint="eastAsia" w:ascii="仿宋_GB2312"/>
                <w:sz w:val="24"/>
                <w:szCs w:val="24"/>
              </w:rPr>
              <w:t>＞30%</w:t>
            </w:r>
          </w:p>
        </w:tc>
        <w:tc>
          <w:tcPr>
            <w:tcW w:w="859" w:type="pct"/>
          </w:tcPr>
          <w:p>
            <w:pPr>
              <w:pStyle w:val="96"/>
              <w:rPr>
                <w:rFonts w:ascii="仿宋_GB2312"/>
                <w:sz w:val="24"/>
                <w:szCs w:val="24"/>
              </w:rPr>
            </w:pPr>
            <w:r>
              <w:rPr>
                <w:rFonts w:hint="eastAsia" w:ascii="仿宋_GB2312"/>
                <w:sz w:val="24"/>
                <w:szCs w:val="24"/>
              </w:rPr>
              <w:t>＜</w:t>
            </w:r>
            <w:r>
              <w:rPr>
                <w:rFonts w:hint="eastAsia" w:ascii="仿宋_GB2312" w:hAnsi="Arial" w:cs="Arial"/>
                <w:sz w:val="24"/>
                <w:szCs w:val="24"/>
              </w:rPr>
              <w:t>24米</w:t>
            </w:r>
          </w:p>
        </w:tc>
        <w:tc>
          <w:tcPr>
            <w:tcW w:w="1245" w:type="pct"/>
          </w:tcPr>
          <w:p>
            <w:pPr>
              <w:pStyle w:val="96"/>
              <w:rPr>
                <w:rFonts w:ascii="仿宋_GB2312"/>
                <w:sz w:val="24"/>
                <w:szCs w:val="24"/>
              </w:rPr>
            </w:pPr>
            <w:r>
              <w:rPr>
                <w:rFonts w:hint="eastAsia" w:ascii="仿宋_GB2312"/>
                <w:sz w:val="24"/>
                <w:szCs w:val="24"/>
              </w:rPr>
              <w:t>建议不超6层</w:t>
            </w:r>
          </w:p>
        </w:tc>
      </w:tr>
    </w:tbl>
    <w:p>
      <w:pPr>
        <w:ind w:firstLine="640"/>
      </w:pPr>
      <w:r>
        <w:t>村民集中住宅楼、保障性租赁住房建筑间距、建筑退让及其他配套设施设置可参照城市居住区有关标准执行。</w:t>
      </w:r>
    </w:p>
    <w:p>
      <w:pPr>
        <w:ind w:firstLine="640"/>
      </w:pPr>
      <w:r>
        <w:rPr>
          <w:rFonts w:hint="eastAsia"/>
        </w:rPr>
        <w:t>3</w:t>
      </w:r>
      <w:r>
        <w:t>.</w:t>
      </w:r>
      <w:r>
        <w:rPr>
          <w:rFonts w:hint="eastAsia"/>
        </w:rPr>
        <w:t>村庄基础设施</w:t>
      </w:r>
    </w:p>
    <w:p>
      <w:pPr>
        <w:ind w:firstLine="640"/>
      </w:pPr>
      <w:r>
        <w:t>落实镇国土空间规划规划确定的区域性基础设施，在梳理村庄现状设施的基础上，结合实际需求，明确道路、给排水、环卫等设施的设置要求。</w:t>
      </w:r>
    </w:p>
    <w:tbl>
      <w:tblPr>
        <w:tblStyle w:val="31"/>
        <w:tblW w:w="821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5"/>
        <w:gridCol w:w="2268"/>
        <w:gridCol w:w="1868"/>
        <w:gridCol w:w="1423"/>
        <w:gridCol w:w="11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217" w:type="dxa"/>
            <w:gridSpan w:val="5"/>
            <w:vAlign w:val="center"/>
          </w:tcPr>
          <w:p>
            <w:pPr>
              <w:pStyle w:val="98"/>
              <w:rPr>
                <w:lang w:bidi="ar"/>
              </w:rPr>
            </w:pPr>
            <w:r>
              <w:rPr>
                <w:rFonts w:hint="eastAsia"/>
                <w:lang w:bidi="ar"/>
              </w:rPr>
              <w:t>专栏14</w:t>
            </w:r>
            <w:r>
              <w:rPr>
                <w:lang w:bidi="ar"/>
              </w:rPr>
              <w:t>-</w:t>
            </w:r>
            <w:r>
              <w:rPr>
                <w:rFonts w:hint="eastAsia"/>
                <w:lang w:bidi="ar"/>
              </w:rPr>
              <w:t>5</w:t>
            </w:r>
            <w:r>
              <w:rPr>
                <w:lang w:bidi="ar"/>
              </w:rPr>
              <w:t xml:space="preserve"> </w:t>
            </w:r>
            <w:r>
              <w:rPr>
                <w:rFonts w:hint="eastAsia"/>
                <w:lang w:bidi="ar"/>
              </w:rPr>
              <w:t>村庄基础设施分类及项目基本配置表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sz w:val="24"/>
                <w:szCs w:val="24"/>
                <w:lang w:bidi="ar"/>
              </w:rPr>
            </w:pPr>
            <w:r>
              <w:rPr>
                <w:rFonts w:hint="eastAsia"/>
                <w:sz w:val="24"/>
                <w:szCs w:val="24"/>
                <w:lang w:bidi="ar"/>
              </w:rPr>
              <w:t>类别</w:t>
            </w:r>
          </w:p>
        </w:tc>
        <w:tc>
          <w:tcPr>
            <w:tcW w:w="2268" w:type="dxa"/>
            <w:vMerge w:val="restart"/>
            <w:vAlign w:val="center"/>
          </w:tcPr>
          <w:p>
            <w:pPr>
              <w:pStyle w:val="96"/>
              <w:rPr>
                <w:sz w:val="24"/>
                <w:szCs w:val="24"/>
                <w:lang w:bidi="ar"/>
              </w:rPr>
            </w:pPr>
            <w:r>
              <w:rPr>
                <w:rFonts w:hint="eastAsia"/>
                <w:sz w:val="24"/>
                <w:szCs w:val="24"/>
                <w:lang w:bidi="ar"/>
              </w:rPr>
              <w:t>项目</w:t>
            </w:r>
          </w:p>
        </w:tc>
        <w:tc>
          <w:tcPr>
            <w:tcW w:w="4394" w:type="dxa"/>
            <w:gridSpan w:val="3"/>
            <w:vAlign w:val="center"/>
          </w:tcPr>
          <w:p>
            <w:pPr>
              <w:pStyle w:val="96"/>
              <w:rPr>
                <w:sz w:val="24"/>
                <w:szCs w:val="24"/>
                <w:lang w:bidi="ar"/>
              </w:rPr>
            </w:pPr>
            <w:r>
              <w:rPr>
                <w:rFonts w:hint="eastAsia"/>
                <w:sz w:val="24"/>
                <w:szCs w:val="24"/>
                <w:lang w:bidi="ar"/>
              </w:rPr>
              <w:t>基础设施项目配置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tcPr>
          <w:p>
            <w:pPr>
              <w:pStyle w:val="96"/>
              <w:rPr>
                <w:sz w:val="24"/>
                <w:szCs w:val="24"/>
                <w:lang w:bidi="ar"/>
              </w:rPr>
            </w:pPr>
          </w:p>
        </w:tc>
        <w:tc>
          <w:tcPr>
            <w:tcW w:w="2268" w:type="dxa"/>
            <w:vMerge w:val="continue"/>
          </w:tcPr>
          <w:p>
            <w:pPr>
              <w:pStyle w:val="96"/>
              <w:rPr>
                <w:sz w:val="24"/>
                <w:szCs w:val="24"/>
                <w:lang w:bidi="ar"/>
              </w:rPr>
            </w:pPr>
          </w:p>
        </w:tc>
        <w:tc>
          <w:tcPr>
            <w:tcW w:w="1868" w:type="dxa"/>
          </w:tcPr>
          <w:p>
            <w:pPr>
              <w:pStyle w:val="96"/>
              <w:rPr>
                <w:sz w:val="24"/>
                <w:szCs w:val="24"/>
                <w:lang w:bidi="ar"/>
              </w:rPr>
            </w:pPr>
            <w:r>
              <w:rPr>
                <w:rFonts w:hint="eastAsia"/>
                <w:sz w:val="24"/>
                <w:szCs w:val="24"/>
                <w:lang w:bidi="ar"/>
              </w:rPr>
              <w:t>集聚提升类</w:t>
            </w:r>
          </w:p>
        </w:tc>
        <w:tc>
          <w:tcPr>
            <w:tcW w:w="1423" w:type="dxa"/>
          </w:tcPr>
          <w:p>
            <w:pPr>
              <w:pStyle w:val="96"/>
              <w:rPr>
                <w:sz w:val="24"/>
                <w:szCs w:val="24"/>
                <w:lang w:bidi="ar"/>
              </w:rPr>
            </w:pPr>
            <w:r>
              <w:rPr>
                <w:rFonts w:hint="eastAsia"/>
                <w:sz w:val="24"/>
                <w:szCs w:val="24"/>
                <w:lang w:bidi="ar"/>
              </w:rPr>
              <w:t>特色保护类</w:t>
            </w:r>
          </w:p>
        </w:tc>
        <w:tc>
          <w:tcPr>
            <w:tcW w:w="1103" w:type="dxa"/>
          </w:tcPr>
          <w:p>
            <w:pPr>
              <w:pStyle w:val="96"/>
              <w:rPr>
                <w:sz w:val="24"/>
                <w:szCs w:val="24"/>
                <w:lang w:bidi="ar"/>
              </w:rPr>
            </w:pPr>
            <w:r>
              <w:rPr>
                <w:rFonts w:hint="eastAsia"/>
                <w:sz w:val="24"/>
                <w:szCs w:val="24"/>
                <w:lang w:bidi="ar"/>
              </w:rPr>
              <w:t>整治改善类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sz w:val="24"/>
                <w:szCs w:val="24"/>
                <w:lang w:bidi="ar"/>
              </w:rPr>
            </w:pPr>
            <w:r>
              <w:rPr>
                <w:rFonts w:hint="eastAsia"/>
                <w:sz w:val="24"/>
                <w:szCs w:val="24"/>
                <w:lang w:bidi="ar"/>
              </w:rPr>
              <w:t>道路交通</w:t>
            </w:r>
          </w:p>
        </w:tc>
        <w:tc>
          <w:tcPr>
            <w:tcW w:w="2268" w:type="dxa"/>
          </w:tcPr>
          <w:p>
            <w:pPr>
              <w:pStyle w:val="96"/>
              <w:rPr>
                <w:sz w:val="24"/>
                <w:szCs w:val="24"/>
                <w:lang w:bidi="ar"/>
              </w:rPr>
            </w:pPr>
            <w:r>
              <w:rPr>
                <w:rFonts w:hint="eastAsia"/>
                <w:sz w:val="24"/>
                <w:szCs w:val="24"/>
                <w:lang w:bidi="ar"/>
              </w:rPr>
              <w:t>公交站点</w:t>
            </w:r>
          </w:p>
        </w:tc>
        <w:tc>
          <w:tcPr>
            <w:tcW w:w="1868" w:type="dxa"/>
          </w:tcPr>
          <w:p>
            <w:pPr>
              <w:pStyle w:val="96"/>
              <w:rPr>
                <w:sz w:val="24"/>
                <w:szCs w:val="24"/>
                <w:lang w:bidi="ar"/>
              </w:rPr>
            </w:pPr>
            <w:r>
              <w:rPr>
                <w:rFonts w:hint="eastAsia"/>
                <w:sz w:val="24"/>
                <w:szCs w:val="24"/>
                <w:lang w:bidi="ar"/>
              </w:rPr>
              <w:t>●</w:t>
            </w:r>
          </w:p>
        </w:tc>
        <w:tc>
          <w:tcPr>
            <w:tcW w:w="1423" w:type="dxa"/>
          </w:tcPr>
          <w:p>
            <w:pPr>
              <w:pStyle w:val="96"/>
              <w:rPr>
                <w:sz w:val="24"/>
                <w:szCs w:val="24"/>
                <w:lang w:bidi="ar"/>
              </w:rPr>
            </w:pPr>
            <w:r>
              <w:rPr>
                <w:rFonts w:hint="eastAsia"/>
                <w:sz w:val="24"/>
                <w:szCs w:val="24"/>
                <w:lang w:bidi="ar"/>
              </w:rPr>
              <w:t>○</w:t>
            </w:r>
          </w:p>
        </w:tc>
        <w:tc>
          <w:tcPr>
            <w:tcW w:w="1103" w:type="dxa"/>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sz w:val="24"/>
                <w:szCs w:val="24"/>
                <w:lang w:bidi="ar"/>
              </w:rPr>
            </w:pPr>
          </w:p>
        </w:tc>
        <w:tc>
          <w:tcPr>
            <w:tcW w:w="2268" w:type="dxa"/>
          </w:tcPr>
          <w:p>
            <w:pPr>
              <w:pStyle w:val="96"/>
              <w:rPr>
                <w:sz w:val="24"/>
                <w:szCs w:val="24"/>
                <w:lang w:bidi="ar"/>
              </w:rPr>
            </w:pPr>
            <w:r>
              <w:rPr>
                <w:rFonts w:hint="eastAsia"/>
                <w:sz w:val="24"/>
                <w:szCs w:val="24"/>
                <w:lang w:bidi="ar"/>
              </w:rPr>
              <w:t>停车场</w:t>
            </w:r>
          </w:p>
        </w:tc>
        <w:tc>
          <w:tcPr>
            <w:tcW w:w="1868" w:type="dxa"/>
          </w:tcPr>
          <w:p>
            <w:pPr>
              <w:pStyle w:val="96"/>
              <w:rPr>
                <w:sz w:val="24"/>
                <w:szCs w:val="24"/>
                <w:lang w:bidi="ar"/>
              </w:rPr>
            </w:pPr>
            <w:r>
              <w:rPr>
                <w:rFonts w:hint="eastAsia"/>
                <w:sz w:val="24"/>
                <w:szCs w:val="24"/>
                <w:lang w:bidi="ar"/>
              </w:rPr>
              <w:t>●</w:t>
            </w:r>
          </w:p>
        </w:tc>
        <w:tc>
          <w:tcPr>
            <w:tcW w:w="1423" w:type="dxa"/>
          </w:tcPr>
          <w:p>
            <w:pPr>
              <w:pStyle w:val="96"/>
              <w:rPr>
                <w:sz w:val="24"/>
                <w:szCs w:val="24"/>
                <w:lang w:bidi="ar"/>
              </w:rPr>
            </w:pPr>
            <w:r>
              <w:rPr>
                <w:rFonts w:hint="eastAsia"/>
                <w:sz w:val="24"/>
                <w:szCs w:val="24"/>
                <w:lang w:bidi="ar"/>
              </w:rPr>
              <w:t>●</w:t>
            </w:r>
          </w:p>
        </w:tc>
        <w:tc>
          <w:tcPr>
            <w:tcW w:w="1103" w:type="dxa"/>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sz w:val="24"/>
                <w:szCs w:val="24"/>
                <w:lang w:bidi="ar"/>
              </w:rPr>
            </w:pPr>
            <w:r>
              <w:rPr>
                <w:rFonts w:hint="eastAsia"/>
                <w:sz w:val="24"/>
                <w:szCs w:val="24"/>
                <w:lang w:bidi="ar"/>
              </w:rPr>
              <w:t>市政设施</w:t>
            </w:r>
          </w:p>
        </w:tc>
        <w:tc>
          <w:tcPr>
            <w:tcW w:w="2268" w:type="dxa"/>
          </w:tcPr>
          <w:p>
            <w:pPr>
              <w:pStyle w:val="96"/>
              <w:rPr>
                <w:sz w:val="24"/>
                <w:szCs w:val="24"/>
                <w:lang w:bidi="ar"/>
              </w:rPr>
            </w:pPr>
            <w:r>
              <w:rPr>
                <w:rFonts w:hint="eastAsia"/>
                <w:sz w:val="24"/>
                <w:szCs w:val="24"/>
                <w:lang w:bidi="ar"/>
              </w:rPr>
              <w:t>变压器，配电室</w:t>
            </w:r>
          </w:p>
        </w:tc>
        <w:tc>
          <w:tcPr>
            <w:tcW w:w="1868" w:type="dxa"/>
          </w:tcPr>
          <w:p>
            <w:pPr>
              <w:pStyle w:val="96"/>
              <w:rPr>
                <w:sz w:val="24"/>
                <w:szCs w:val="24"/>
                <w:lang w:bidi="ar"/>
              </w:rPr>
            </w:pPr>
            <w:r>
              <w:rPr>
                <w:rFonts w:hint="eastAsia"/>
                <w:sz w:val="24"/>
                <w:szCs w:val="24"/>
                <w:lang w:bidi="ar"/>
              </w:rPr>
              <w:t>●</w:t>
            </w:r>
          </w:p>
        </w:tc>
        <w:tc>
          <w:tcPr>
            <w:tcW w:w="1423" w:type="dxa"/>
          </w:tcPr>
          <w:p>
            <w:pPr>
              <w:pStyle w:val="96"/>
              <w:rPr>
                <w:sz w:val="24"/>
                <w:szCs w:val="24"/>
                <w:lang w:bidi="ar"/>
              </w:rPr>
            </w:pPr>
            <w:r>
              <w:rPr>
                <w:rFonts w:hint="eastAsia"/>
                <w:sz w:val="24"/>
                <w:szCs w:val="24"/>
                <w:lang w:bidi="ar"/>
              </w:rPr>
              <w:t>●</w:t>
            </w:r>
          </w:p>
        </w:tc>
        <w:tc>
          <w:tcPr>
            <w:tcW w:w="1103" w:type="dxa"/>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sz w:val="24"/>
                <w:szCs w:val="24"/>
                <w:lang w:bidi="ar"/>
              </w:rPr>
            </w:pPr>
          </w:p>
        </w:tc>
        <w:tc>
          <w:tcPr>
            <w:tcW w:w="2268" w:type="dxa"/>
          </w:tcPr>
          <w:p>
            <w:pPr>
              <w:pStyle w:val="96"/>
              <w:rPr>
                <w:sz w:val="24"/>
                <w:szCs w:val="24"/>
                <w:lang w:bidi="ar"/>
              </w:rPr>
            </w:pPr>
            <w:r>
              <w:rPr>
                <w:rFonts w:hint="eastAsia"/>
                <w:sz w:val="24"/>
                <w:szCs w:val="24"/>
                <w:lang w:bidi="ar"/>
              </w:rPr>
              <w:t>污水处理设施</w:t>
            </w:r>
          </w:p>
        </w:tc>
        <w:tc>
          <w:tcPr>
            <w:tcW w:w="1868" w:type="dxa"/>
          </w:tcPr>
          <w:p>
            <w:pPr>
              <w:pStyle w:val="96"/>
              <w:rPr>
                <w:sz w:val="24"/>
                <w:szCs w:val="24"/>
                <w:lang w:bidi="ar"/>
              </w:rPr>
            </w:pPr>
            <w:r>
              <w:rPr>
                <w:rFonts w:hint="eastAsia"/>
                <w:sz w:val="24"/>
                <w:szCs w:val="24"/>
                <w:lang w:bidi="ar"/>
              </w:rPr>
              <w:t>●</w:t>
            </w:r>
          </w:p>
        </w:tc>
        <w:tc>
          <w:tcPr>
            <w:tcW w:w="1423" w:type="dxa"/>
          </w:tcPr>
          <w:p>
            <w:pPr>
              <w:pStyle w:val="96"/>
              <w:rPr>
                <w:sz w:val="24"/>
                <w:szCs w:val="24"/>
                <w:lang w:bidi="ar"/>
              </w:rPr>
            </w:pPr>
            <w:r>
              <w:rPr>
                <w:rFonts w:hint="eastAsia"/>
                <w:sz w:val="24"/>
                <w:szCs w:val="24"/>
                <w:lang w:bidi="ar"/>
              </w:rPr>
              <w:t>●</w:t>
            </w:r>
          </w:p>
        </w:tc>
        <w:tc>
          <w:tcPr>
            <w:tcW w:w="1103" w:type="dxa"/>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continue"/>
            <w:vAlign w:val="center"/>
          </w:tcPr>
          <w:p>
            <w:pPr>
              <w:pStyle w:val="96"/>
              <w:rPr>
                <w:sz w:val="24"/>
                <w:szCs w:val="24"/>
                <w:lang w:bidi="ar"/>
              </w:rPr>
            </w:pPr>
          </w:p>
        </w:tc>
        <w:tc>
          <w:tcPr>
            <w:tcW w:w="2268" w:type="dxa"/>
          </w:tcPr>
          <w:p>
            <w:pPr>
              <w:pStyle w:val="96"/>
              <w:rPr>
                <w:sz w:val="24"/>
                <w:szCs w:val="24"/>
                <w:lang w:bidi="ar"/>
              </w:rPr>
            </w:pPr>
            <w:r>
              <w:rPr>
                <w:rFonts w:hint="eastAsia"/>
                <w:sz w:val="24"/>
                <w:szCs w:val="24"/>
                <w:lang w:bidi="ar"/>
              </w:rPr>
              <w:t>水泵房</w:t>
            </w:r>
          </w:p>
        </w:tc>
        <w:tc>
          <w:tcPr>
            <w:tcW w:w="4394" w:type="dxa"/>
            <w:gridSpan w:val="3"/>
          </w:tcPr>
          <w:p>
            <w:pPr>
              <w:pStyle w:val="96"/>
              <w:rPr>
                <w:sz w:val="24"/>
                <w:szCs w:val="24"/>
                <w:lang w:bidi="ar"/>
              </w:rPr>
            </w:pPr>
            <w:r>
              <w:rPr>
                <w:rFonts w:hint="eastAsia"/>
                <w:sz w:val="24"/>
                <w:szCs w:val="24"/>
                <w:lang w:bidi="ar"/>
              </w:rPr>
              <w:t>非集中供水村庄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1555" w:type="dxa"/>
            <w:vMerge w:val="restart"/>
            <w:vAlign w:val="center"/>
          </w:tcPr>
          <w:p>
            <w:pPr>
              <w:pStyle w:val="96"/>
              <w:rPr>
                <w:sz w:val="24"/>
                <w:szCs w:val="24"/>
                <w:lang w:bidi="ar"/>
              </w:rPr>
            </w:pPr>
            <w:r>
              <w:rPr>
                <w:rFonts w:hint="eastAsia"/>
                <w:sz w:val="24"/>
                <w:szCs w:val="24"/>
                <w:lang w:bidi="ar"/>
              </w:rPr>
              <w:t>环境卫生</w:t>
            </w:r>
          </w:p>
        </w:tc>
        <w:tc>
          <w:tcPr>
            <w:tcW w:w="2268" w:type="dxa"/>
          </w:tcPr>
          <w:p>
            <w:pPr>
              <w:pStyle w:val="96"/>
              <w:rPr>
                <w:sz w:val="24"/>
                <w:szCs w:val="24"/>
                <w:lang w:bidi="ar"/>
              </w:rPr>
            </w:pPr>
            <w:r>
              <w:rPr>
                <w:rFonts w:hint="eastAsia"/>
                <w:sz w:val="24"/>
                <w:szCs w:val="24"/>
                <w:lang w:bidi="ar"/>
              </w:rPr>
              <w:t>垃圾收集点</w:t>
            </w:r>
          </w:p>
        </w:tc>
        <w:tc>
          <w:tcPr>
            <w:tcW w:w="1868" w:type="dxa"/>
          </w:tcPr>
          <w:p>
            <w:pPr>
              <w:pStyle w:val="96"/>
              <w:rPr>
                <w:sz w:val="24"/>
                <w:szCs w:val="24"/>
                <w:lang w:bidi="ar"/>
              </w:rPr>
            </w:pPr>
            <w:r>
              <w:rPr>
                <w:rFonts w:hint="eastAsia"/>
                <w:sz w:val="24"/>
                <w:szCs w:val="24"/>
                <w:lang w:bidi="ar"/>
              </w:rPr>
              <w:t>●</w:t>
            </w:r>
          </w:p>
        </w:tc>
        <w:tc>
          <w:tcPr>
            <w:tcW w:w="1423" w:type="dxa"/>
          </w:tcPr>
          <w:p>
            <w:pPr>
              <w:pStyle w:val="96"/>
              <w:rPr>
                <w:sz w:val="24"/>
                <w:szCs w:val="24"/>
                <w:lang w:bidi="ar"/>
              </w:rPr>
            </w:pPr>
            <w:r>
              <w:rPr>
                <w:rFonts w:hint="eastAsia"/>
                <w:sz w:val="24"/>
                <w:szCs w:val="24"/>
                <w:lang w:bidi="ar"/>
              </w:rPr>
              <w:t>●</w:t>
            </w:r>
          </w:p>
        </w:tc>
        <w:tc>
          <w:tcPr>
            <w:tcW w:w="1103" w:type="dxa"/>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55" w:type="dxa"/>
            <w:vMerge w:val="continue"/>
          </w:tcPr>
          <w:p>
            <w:pPr>
              <w:pStyle w:val="96"/>
              <w:rPr>
                <w:sz w:val="24"/>
                <w:szCs w:val="24"/>
                <w:lang w:bidi="ar"/>
              </w:rPr>
            </w:pPr>
          </w:p>
        </w:tc>
        <w:tc>
          <w:tcPr>
            <w:tcW w:w="2268" w:type="dxa"/>
          </w:tcPr>
          <w:p>
            <w:pPr>
              <w:pStyle w:val="96"/>
              <w:rPr>
                <w:sz w:val="24"/>
                <w:szCs w:val="24"/>
                <w:lang w:bidi="ar"/>
              </w:rPr>
            </w:pPr>
            <w:r>
              <w:rPr>
                <w:rFonts w:hint="eastAsia"/>
                <w:sz w:val="24"/>
                <w:szCs w:val="24"/>
                <w:lang w:bidi="ar"/>
              </w:rPr>
              <w:t>公厕</w:t>
            </w:r>
          </w:p>
        </w:tc>
        <w:tc>
          <w:tcPr>
            <w:tcW w:w="1868" w:type="dxa"/>
          </w:tcPr>
          <w:p>
            <w:pPr>
              <w:pStyle w:val="96"/>
              <w:rPr>
                <w:sz w:val="24"/>
                <w:szCs w:val="24"/>
                <w:lang w:bidi="ar"/>
              </w:rPr>
            </w:pPr>
            <w:r>
              <w:rPr>
                <w:rFonts w:hint="eastAsia"/>
                <w:sz w:val="24"/>
                <w:szCs w:val="24"/>
                <w:lang w:bidi="ar"/>
              </w:rPr>
              <w:t>●</w:t>
            </w:r>
          </w:p>
        </w:tc>
        <w:tc>
          <w:tcPr>
            <w:tcW w:w="1423" w:type="dxa"/>
          </w:tcPr>
          <w:p>
            <w:pPr>
              <w:pStyle w:val="96"/>
              <w:rPr>
                <w:sz w:val="24"/>
                <w:szCs w:val="24"/>
                <w:lang w:bidi="ar"/>
              </w:rPr>
            </w:pPr>
            <w:r>
              <w:rPr>
                <w:rFonts w:hint="eastAsia"/>
                <w:sz w:val="24"/>
                <w:szCs w:val="24"/>
                <w:lang w:bidi="ar"/>
              </w:rPr>
              <w:t>●</w:t>
            </w:r>
          </w:p>
        </w:tc>
        <w:tc>
          <w:tcPr>
            <w:tcW w:w="1103" w:type="dxa"/>
          </w:tcPr>
          <w:p>
            <w:pPr>
              <w:pStyle w:val="96"/>
              <w:rPr>
                <w:sz w:val="24"/>
                <w:szCs w:val="24"/>
                <w:lang w:bidi="ar"/>
              </w:rPr>
            </w:pPr>
            <w:r>
              <w:rPr>
                <w:rFonts w:hint="eastAsia"/>
                <w:sz w:val="24"/>
                <w:szCs w:val="24"/>
                <w:lang w:bidi="ar"/>
              </w:rPr>
              <w:t>○</w:t>
            </w:r>
          </w:p>
        </w:tc>
      </w:tr>
    </w:tbl>
    <w:p>
      <w:pPr>
        <w:autoSpaceDE w:val="0"/>
        <w:autoSpaceDN w:val="0"/>
        <w:ind w:firstLine="420"/>
        <w:jc w:val="left"/>
        <w:rPr>
          <w:rFonts w:ascii="楷体" w:hAnsi="楷体" w:eastAsia="楷体" w:cs="楷体"/>
          <w:color w:val="000000"/>
          <w:kern w:val="0"/>
          <w:sz w:val="21"/>
          <w:szCs w:val="21"/>
        </w:rPr>
      </w:pPr>
      <w:r>
        <w:rPr>
          <w:rFonts w:hint="eastAsia" w:ascii="楷体" w:hAnsi="楷体" w:eastAsia="楷体" w:cs="楷体"/>
          <w:color w:val="000000"/>
          <w:kern w:val="0"/>
          <w:sz w:val="21"/>
          <w:szCs w:val="21"/>
        </w:rPr>
        <w:t>注： ●——为应设的内容  ○——为可设的内容</w:t>
      </w:r>
    </w:p>
    <w:p>
      <w:pPr>
        <w:autoSpaceDE w:val="0"/>
        <w:autoSpaceDN w:val="0"/>
        <w:ind w:firstLine="420"/>
        <w:jc w:val="left"/>
        <w:rPr>
          <w:rFonts w:ascii="楷体" w:hAnsi="楷体" w:eastAsia="楷体" w:cs="楷体"/>
          <w:color w:val="000000"/>
          <w:kern w:val="0"/>
          <w:sz w:val="21"/>
          <w:szCs w:val="21"/>
        </w:rPr>
      </w:pP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6"/>
        <w:gridCol w:w="1417"/>
        <w:gridCol w:w="3119"/>
        <w:gridCol w:w="29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7" w:type="dxa"/>
            <w:gridSpan w:val="4"/>
          </w:tcPr>
          <w:p>
            <w:pPr>
              <w:pStyle w:val="98"/>
              <w:rPr>
                <w:lang w:bidi="ar"/>
              </w:rPr>
            </w:pPr>
            <w:r>
              <w:rPr>
                <w:rFonts w:hint="eastAsia"/>
                <w:lang w:bidi="ar"/>
              </w:rPr>
              <w:t>专栏14</w:t>
            </w:r>
            <w:r>
              <w:rPr>
                <w:lang w:bidi="ar"/>
              </w:rPr>
              <w:t>-</w:t>
            </w:r>
            <w:r>
              <w:rPr>
                <w:rFonts w:hint="eastAsia"/>
                <w:lang w:bidi="ar"/>
              </w:rPr>
              <w:t>6 村庄基础设施配置内容表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tcPr>
          <w:p>
            <w:pPr>
              <w:pStyle w:val="96"/>
              <w:rPr>
                <w:sz w:val="24"/>
                <w:szCs w:val="24"/>
                <w:lang w:bidi="ar"/>
              </w:rPr>
            </w:pPr>
            <w:r>
              <w:rPr>
                <w:rFonts w:hint="eastAsia"/>
                <w:sz w:val="24"/>
                <w:szCs w:val="24"/>
                <w:lang w:bidi="ar"/>
              </w:rPr>
              <w:t>类别</w:t>
            </w:r>
          </w:p>
        </w:tc>
        <w:tc>
          <w:tcPr>
            <w:tcW w:w="1417" w:type="dxa"/>
          </w:tcPr>
          <w:p>
            <w:pPr>
              <w:pStyle w:val="96"/>
              <w:rPr>
                <w:sz w:val="24"/>
                <w:szCs w:val="24"/>
                <w:lang w:bidi="ar"/>
              </w:rPr>
            </w:pPr>
            <w:r>
              <w:rPr>
                <w:rFonts w:hint="eastAsia"/>
                <w:sz w:val="24"/>
                <w:szCs w:val="24"/>
                <w:lang w:bidi="ar"/>
              </w:rPr>
              <w:t>项目</w:t>
            </w:r>
          </w:p>
        </w:tc>
        <w:tc>
          <w:tcPr>
            <w:tcW w:w="3119" w:type="dxa"/>
          </w:tcPr>
          <w:p>
            <w:pPr>
              <w:pStyle w:val="96"/>
              <w:rPr>
                <w:sz w:val="24"/>
                <w:szCs w:val="24"/>
                <w:lang w:bidi="ar"/>
              </w:rPr>
            </w:pPr>
            <w:r>
              <w:rPr>
                <w:rFonts w:hint="eastAsia"/>
                <w:sz w:val="24"/>
                <w:szCs w:val="24"/>
                <w:lang w:bidi="ar"/>
              </w:rPr>
              <w:t>配置方式</w:t>
            </w:r>
          </w:p>
        </w:tc>
        <w:tc>
          <w:tcPr>
            <w:tcW w:w="2915" w:type="dxa"/>
          </w:tcPr>
          <w:p>
            <w:pPr>
              <w:pStyle w:val="96"/>
              <w:rPr>
                <w:sz w:val="24"/>
                <w:szCs w:val="24"/>
                <w:lang w:bidi="ar"/>
              </w:rPr>
            </w:pPr>
            <w:r>
              <w:rPr>
                <w:rFonts w:hint="eastAsia"/>
                <w:sz w:val="24"/>
                <w:szCs w:val="24"/>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6" w:type="dxa"/>
            <w:vMerge w:val="restart"/>
            <w:vAlign w:val="center"/>
          </w:tcPr>
          <w:p>
            <w:pPr>
              <w:pStyle w:val="96"/>
              <w:rPr>
                <w:sz w:val="24"/>
                <w:szCs w:val="24"/>
                <w:lang w:bidi="ar"/>
              </w:rPr>
            </w:pPr>
            <w:r>
              <w:rPr>
                <w:rFonts w:hint="eastAsia"/>
                <w:sz w:val="24"/>
                <w:szCs w:val="24"/>
                <w:lang w:bidi="ar"/>
              </w:rPr>
              <w:t>道路交通</w:t>
            </w:r>
          </w:p>
        </w:tc>
        <w:tc>
          <w:tcPr>
            <w:tcW w:w="1417" w:type="dxa"/>
            <w:vAlign w:val="center"/>
          </w:tcPr>
          <w:p>
            <w:pPr>
              <w:pStyle w:val="96"/>
              <w:rPr>
                <w:sz w:val="24"/>
                <w:szCs w:val="24"/>
                <w:lang w:bidi="ar"/>
              </w:rPr>
            </w:pPr>
            <w:r>
              <w:rPr>
                <w:rFonts w:hint="eastAsia"/>
                <w:sz w:val="24"/>
                <w:szCs w:val="24"/>
                <w:lang w:bidi="ar"/>
              </w:rPr>
              <w:t>公交站点</w:t>
            </w:r>
          </w:p>
        </w:tc>
        <w:tc>
          <w:tcPr>
            <w:tcW w:w="3119" w:type="dxa"/>
            <w:vAlign w:val="center"/>
          </w:tcPr>
          <w:p>
            <w:pPr>
              <w:pStyle w:val="96"/>
              <w:rPr>
                <w:sz w:val="24"/>
                <w:szCs w:val="24"/>
                <w:lang w:bidi="ar"/>
              </w:rPr>
            </w:pPr>
            <w:r>
              <w:rPr>
                <w:rFonts w:hint="eastAsia"/>
                <w:sz w:val="24"/>
                <w:szCs w:val="24"/>
                <w:lang w:bidi="ar"/>
              </w:rPr>
              <w:t>满足公交车辆运行安全要求，同时尽可能不影响其他交通工具在道路的通行。</w:t>
            </w:r>
          </w:p>
        </w:tc>
        <w:tc>
          <w:tcPr>
            <w:tcW w:w="2915" w:type="dxa"/>
          </w:tcPr>
          <w:p>
            <w:pPr>
              <w:pStyle w:val="96"/>
              <w:rPr>
                <w:sz w:val="24"/>
                <w:szCs w:val="24"/>
                <w:lang w:bidi="ar"/>
              </w:rPr>
            </w:pPr>
            <w:r>
              <w:rPr>
                <w:rFonts w:hint="eastAsia"/>
                <w:sz w:val="24"/>
                <w:szCs w:val="24"/>
              </w:rPr>
              <w:t>宜设置在道路使用面积较富裕而人口又比较集中的村居点或村委会附近。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46" w:type="dxa"/>
            <w:vMerge w:val="continue"/>
            <w:vAlign w:val="center"/>
          </w:tcPr>
          <w:p>
            <w:pPr>
              <w:pStyle w:val="96"/>
              <w:rPr>
                <w:sz w:val="24"/>
                <w:szCs w:val="24"/>
                <w:lang w:bidi="ar"/>
              </w:rPr>
            </w:pPr>
          </w:p>
        </w:tc>
        <w:tc>
          <w:tcPr>
            <w:tcW w:w="1417" w:type="dxa"/>
            <w:vAlign w:val="center"/>
          </w:tcPr>
          <w:p>
            <w:pPr>
              <w:pStyle w:val="96"/>
              <w:rPr>
                <w:sz w:val="24"/>
                <w:szCs w:val="24"/>
                <w:lang w:bidi="ar"/>
              </w:rPr>
            </w:pPr>
            <w:r>
              <w:rPr>
                <w:rFonts w:hint="eastAsia"/>
                <w:sz w:val="24"/>
                <w:szCs w:val="24"/>
                <w:lang w:bidi="ar"/>
              </w:rPr>
              <w:t>停车场</w:t>
            </w:r>
          </w:p>
        </w:tc>
        <w:tc>
          <w:tcPr>
            <w:tcW w:w="3119" w:type="dxa"/>
            <w:vAlign w:val="center"/>
          </w:tcPr>
          <w:p>
            <w:pPr>
              <w:pStyle w:val="96"/>
              <w:rPr>
                <w:sz w:val="24"/>
                <w:szCs w:val="24"/>
                <w:lang w:bidi="ar"/>
              </w:rPr>
            </w:pPr>
            <w:r>
              <w:rPr>
                <w:rFonts w:hint="eastAsia"/>
                <w:sz w:val="24"/>
                <w:szCs w:val="24"/>
              </w:rPr>
              <w:t>结合村庄实际，灵活设施</w:t>
            </w:r>
          </w:p>
        </w:tc>
        <w:tc>
          <w:tcPr>
            <w:tcW w:w="2915" w:type="dxa"/>
          </w:tcPr>
          <w:p>
            <w:pPr>
              <w:pStyle w:val="96"/>
              <w:rPr>
                <w:sz w:val="24"/>
                <w:szCs w:val="24"/>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46" w:type="dxa"/>
            <w:vMerge w:val="restart"/>
            <w:vAlign w:val="center"/>
          </w:tcPr>
          <w:p>
            <w:pPr>
              <w:pStyle w:val="96"/>
              <w:rPr>
                <w:sz w:val="24"/>
                <w:szCs w:val="24"/>
                <w:lang w:bidi="ar"/>
              </w:rPr>
            </w:pPr>
            <w:r>
              <w:rPr>
                <w:rFonts w:hint="eastAsia"/>
                <w:sz w:val="24"/>
                <w:szCs w:val="24"/>
                <w:lang w:bidi="ar"/>
              </w:rPr>
              <w:t>市政设施</w:t>
            </w:r>
          </w:p>
        </w:tc>
        <w:tc>
          <w:tcPr>
            <w:tcW w:w="1417" w:type="dxa"/>
            <w:vAlign w:val="center"/>
          </w:tcPr>
          <w:p>
            <w:pPr>
              <w:pStyle w:val="96"/>
              <w:rPr>
                <w:sz w:val="24"/>
                <w:szCs w:val="24"/>
                <w:lang w:bidi="ar"/>
              </w:rPr>
            </w:pPr>
            <w:r>
              <w:rPr>
                <w:rFonts w:hint="eastAsia"/>
                <w:sz w:val="24"/>
                <w:szCs w:val="24"/>
                <w:lang w:bidi="ar"/>
              </w:rPr>
              <w:t>变压器、配电室</w:t>
            </w:r>
          </w:p>
        </w:tc>
        <w:tc>
          <w:tcPr>
            <w:tcW w:w="3119" w:type="dxa"/>
            <w:vAlign w:val="center"/>
          </w:tcPr>
          <w:p>
            <w:pPr>
              <w:pStyle w:val="96"/>
              <w:rPr>
                <w:sz w:val="24"/>
                <w:szCs w:val="24"/>
              </w:rPr>
            </w:pPr>
            <w:r>
              <w:rPr>
                <w:rFonts w:hint="eastAsia"/>
                <w:sz w:val="24"/>
                <w:szCs w:val="24"/>
              </w:rPr>
              <w:t>供电半径以不超过500m为宜。</w:t>
            </w:r>
          </w:p>
        </w:tc>
        <w:tc>
          <w:tcPr>
            <w:tcW w:w="2915" w:type="dxa"/>
          </w:tcPr>
          <w:p>
            <w:pPr>
              <w:pStyle w:val="96"/>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9" w:hRule="atLeast"/>
        </w:trPr>
        <w:tc>
          <w:tcPr>
            <w:tcW w:w="846" w:type="dxa"/>
            <w:vMerge w:val="continue"/>
            <w:vAlign w:val="center"/>
          </w:tcPr>
          <w:p>
            <w:pPr>
              <w:pStyle w:val="96"/>
              <w:rPr>
                <w:sz w:val="24"/>
                <w:szCs w:val="24"/>
                <w:lang w:bidi="ar"/>
              </w:rPr>
            </w:pPr>
          </w:p>
        </w:tc>
        <w:tc>
          <w:tcPr>
            <w:tcW w:w="1417" w:type="dxa"/>
            <w:vAlign w:val="center"/>
          </w:tcPr>
          <w:p>
            <w:pPr>
              <w:pStyle w:val="96"/>
              <w:rPr>
                <w:sz w:val="24"/>
                <w:szCs w:val="24"/>
                <w:lang w:bidi="ar"/>
              </w:rPr>
            </w:pPr>
            <w:r>
              <w:rPr>
                <w:rFonts w:hint="eastAsia"/>
                <w:sz w:val="24"/>
                <w:szCs w:val="24"/>
                <w:lang w:bidi="ar"/>
              </w:rPr>
              <w:t>村庄排水</w:t>
            </w:r>
          </w:p>
        </w:tc>
        <w:tc>
          <w:tcPr>
            <w:tcW w:w="3119" w:type="dxa"/>
            <w:vAlign w:val="center"/>
          </w:tcPr>
          <w:p>
            <w:pPr>
              <w:pStyle w:val="96"/>
              <w:rPr>
                <w:sz w:val="24"/>
                <w:szCs w:val="24"/>
              </w:rPr>
            </w:pPr>
            <w:r>
              <w:rPr>
                <w:rFonts w:hint="eastAsia"/>
                <w:sz w:val="24"/>
                <w:szCs w:val="24"/>
              </w:rPr>
              <w:t>污水量按生活用水量的75%～90%计算。</w:t>
            </w:r>
          </w:p>
        </w:tc>
        <w:tc>
          <w:tcPr>
            <w:tcW w:w="2915" w:type="dxa"/>
          </w:tcPr>
          <w:p>
            <w:pPr>
              <w:pStyle w:val="96"/>
              <w:rPr>
                <w:sz w:val="24"/>
                <w:szCs w:val="24"/>
              </w:rPr>
            </w:pPr>
            <w:r>
              <w:rPr>
                <w:rFonts w:hint="eastAsia"/>
                <w:sz w:val="24"/>
                <w:szCs w:val="24"/>
              </w:rPr>
              <w:t>鼓励雨水采用自然下渗或排水明沟等方式收集，污水根据不同村庄实际，采用盖板渠、管网等方式进行收集。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2" w:hRule="atLeast"/>
        </w:trPr>
        <w:tc>
          <w:tcPr>
            <w:tcW w:w="846" w:type="dxa"/>
            <w:vMerge w:val="continue"/>
            <w:vAlign w:val="center"/>
          </w:tcPr>
          <w:p>
            <w:pPr>
              <w:pStyle w:val="96"/>
              <w:rPr>
                <w:sz w:val="24"/>
                <w:szCs w:val="24"/>
                <w:lang w:bidi="ar"/>
              </w:rPr>
            </w:pPr>
          </w:p>
        </w:tc>
        <w:tc>
          <w:tcPr>
            <w:tcW w:w="1417" w:type="dxa"/>
            <w:vAlign w:val="center"/>
          </w:tcPr>
          <w:p>
            <w:pPr>
              <w:pStyle w:val="96"/>
              <w:rPr>
                <w:sz w:val="24"/>
                <w:szCs w:val="24"/>
                <w:lang w:bidi="ar"/>
              </w:rPr>
            </w:pPr>
            <w:r>
              <w:rPr>
                <w:rFonts w:hint="eastAsia"/>
                <w:sz w:val="24"/>
                <w:szCs w:val="24"/>
                <w:lang w:bidi="ar"/>
              </w:rPr>
              <w:t>水泵房</w:t>
            </w:r>
          </w:p>
        </w:tc>
        <w:tc>
          <w:tcPr>
            <w:tcW w:w="3119" w:type="dxa"/>
            <w:vAlign w:val="center"/>
          </w:tcPr>
          <w:p>
            <w:pPr>
              <w:pStyle w:val="96"/>
              <w:rPr>
                <w:sz w:val="24"/>
                <w:szCs w:val="24"/>
              </w:rPr>
            </w:pPr>
            <w:r>
              <w:rPr>
                <w:rFonts w:hint="eastAsia"/>
                <w:sz w:val="24"/>
                <w:szCs w:val="24"/>
              </w:rPr>
              <w:t>泵房的主要通道宽度不应小于1.2米。</w:t>
            </w:r>
          </w:p>
        </w:tc>
        <w:tc>
          <w:tcPr>
            <w:tcW w:w="2915" w:type="dxa"/>
            <w:vAlign w:val="center"/>
          </w:tcPr>
          <w:p>
            <w:pPr>
              <w:pStyle w:val="96"/>
              <w:rPr>
                <w:sz w:val="24"/>
                <w:szCs w:val="24"/>
              </w:rPr>
            </w:pPr>
            <w:r>
              <w:rPr>
                <w:rFonts w:hint="eastAsia"/>
                <w:sz w:val="24"/>
                <w:szCs w:val="24"/>
              </w:rPr>
              <w:t>非集中供水村庄</w:t>
            </w:r>
          </w:p>
          <w:p>
            <w:pPr>
              <w:pStyle w:val="96"/>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trPr>
        <w:tc>
          <w:tcPr>
            <w:tcW w:w="846" w:type="dxa"/>
            <w:vMerge w:val="restart"/>
            <w:vAlign w:val="center"/>
          </w:tcPr>
          <w:p>
            <w:pPr>
              <w:pStyle w:val="96"/>
              <w:rPr>
                <w:sz w:val="24"/>
                <w:szCs w:val="24"/>
                <w:lang w:bidi="ar"/>
              </w:rPr>
            </w:pPr>
            <w:r>
              <w:rPr>
                <w:rFonts w:hint="eastAsia"/>
                <w:sz w:val="24"/>
                <w:szCs w:val="24"/>
                <w:lang w:bidi="ar"/>
              </w:rPr>
              <w:t>环境卫生</w:t>
            </w:r>
          </w:p>
        </w:tc>
        <w:tc>
          <w:tcPr>
            <w:tcW w:w="1417" w:type="dxa"/>
            <w:vAlign w:val="center"/>
          </w:tcPr>
          <w:p>
            <w:pPr>
              <w:pStyle w:val="96"/>
              <w:rPr>
                <w:sz w:val="24"/>
                <w:szCs w:val="24"/>
                <w:lang w:bidi="ar"/>
              </w:rPr>
            </w:pPr>
            <w:r>
              <w:rPr>
                <w:rFonts w:hint="eastAsia"/>
                <w:sz w:val="24"/>
                <w:szCs w:val="24"/>
                <w:lang w:bidi="ar"/>
              </w:rPr>
              <w:t>垃圾筒</w:t>
            </w:r>
          </w:p>
        </w:tc>
        <w:tc>
          <w:tcPr>
            <w:tcW w:w="3119" w:type="dxa"/>
            <w:vAlign w:val="center"/>
          </w:tcPr>
          <w:p>
            <w:pPr>
              <w:pStyle w:val="96"/>
              <w:rPr>
                <w:sz w:val="24"/>
                <w:szCs w:val="24"/>
              </w:rPr>
            </w:pPr>
            <w:r>
              <w:rPr>
                <w:rFonts w:hint="eastAsia"/>
                <w:sz w:val="24"/>
                <w:szCs w:val="24"/>
              </w:rPr>
              <w:t>服务半径一般不超过70m。</w:t>
            </w:r>
          </w:p>
        </w:tc>
        <w:tc>
          <w:tcPr>
            <w:tcW w:w="2915" w:type="dxa"/>
            <w:vAlign w:val="center"/>
          </w:tcPr>
          <w:p>
            <w:pPr>
              <w:pStyle w:val="96"/>
              <w:rPr>
                <w:sz w:val="24"/>
                <w:szCs w:val="24"/>
              </w:rPr>
            </w:pPr>
            <w:r>
              <w:rPr>
                <w:rFonts w:hint="eastAsia"/>
                <w:sz w:val="24"/>
                <w:szCs w:val="24"/>
              </w:rPr>
              <w:t>五星支部村庄服务半径一般不超过50m。</w:t>
            </w:r>
          </w:p>
          <w:p>
            <w:pPr>
              <w:pStyle w:val="96"/>
              <w:rPr>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5" w:hRule="atLeast"/>
        </w:trPr>
        <w:tc>
          <w:tcPr>
            <w:tcW w:w="846" w:type="dxa"/>
            <w:vMerge w:val="continue"/>
            <w:vAlign w:val="center"/>
          </w:tcPr>
          <w:p>
            <w:pPr>
              <w:pStyle w:val="96"/>
              <w:rPr>
                <w:sz w:val="24"/>
                <w:szCs w:val="24"/>
                <w:lang w:bidi="ar"/>
              </w:rPr>
            </w:pPr>
          </w:p>
        </w:tc>
        <w:tc>
          <w:tcPr>
            <w:tcW w:w="1417" w:type="dxa"/>
            <w:vAlign w:val="center"/>
          </w:tcPr>
          <w:p>
            <w:pPr>
              <w:pStyle w:val="96"/>
              <w:rPr>
                <w:sz w:val="24"/>
                <w:szCs w:val="24"/>
                <w:lang w:bidi="ar"/>
              </w:rPr>
            </w:pPr>
            <w:r>
              <w:rPr>
                <w:rFonts w:hint="eastAsia"/>
                <w:sz w:val="24"/>
                <w:szCs w:val="24"/>
                <w:lang w:bidi="ar"/>
              </w:rPr>
              <w:t>公厕</w:t>
            </w:r>
          </w:p>
        </w:tc>
        <w:tc>
          <w:tcPr>
            <w:tcW w:w="3119" w:type="dxa"/>
            <w:vAlign w:val="center"/>
          </w:tcPr>
          <w:p>
            <w:pPr>
              <w:pStyle w:val="96"/>
              <w:rPr>
                <w:sz w:val="24"/>
                <w:szCs w:val="24"/>
              </w:rPr>
            </w:pPr>
            <w:r>
              <w:rPr>
                <w:rFonts w:hint="eastAsia"/>
                <w:sz w:val="24"/>
                <w:szCs w:val="24"/>
              </w:rPr>
              <w:t>每村至少设置一个。</w:t>
            </w:r>
          </w:p>
        </w:tc>
        <w:tc>
          <w:tcPr>
            <w:tcW w:w="2915" w:type="dxa"/>
            <w:vAlign w:val="center"/>
          </w:tcPr>
          <w:p>
            <w:pPr>
              <w:pStyle w:val="96"/>
              <w:rPr>
                <w:sz w:val="24"/>
                <w:szCs w:val="24"/>
              </w:rPr>
            </w:pPr>
            <w:r>
              <w:rPr>
                <w:rFonts w:hint="eastAsia"/>
                <w:sz w:val="24"/>
                <w:szCs w:val="24"/>
              </w:rPr>
              <w:t>建筑面积不大于60平米。</w:t>
            </w:r>
          </w:p>
        </w:tc>
      </w:tr>
    </w:tbl>
    <w:p>
      <w:pPr>
        <w:ind w:firstLine="560"/>
        <w:rPr>
          <w:rFonts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4</w:t>
      </w:r>
      <w:r>
        <w:rPr>
          <w:rFonts w:ascii="仿宋" w:hAnsi="仿宋" w:eastAsia="仿宋" w:cs="仿宋"/>
          <w:color w:val="000000"/>
          <w:kern w:val="0"/>
          <w:sz w:val="28"/>
          <w:szCs w:val="28"/>
          <w:lang w:bidi="ar"/>
        </w:rPr>
        <w:t>.</w:t>
      </w:r>
      <w:r>
        <w:rPr>
          <w:rFonts w:hint="eastAsia" w:ascii="仿宋" w:hAnsi="仿宋" w:eastAsia="仿宋" w:cs="仿宋"/>
          <w:color w:val="000000"/>
          <w:kern w:val="0"/>
          <w:sz w:val="28"/>
          <w:szCs w:val="28"/>
          <w:lang w:bidi="ar"/>
        </w:rPr>
        <w:t>村庄公共服务设施</w:t>
      </w:r>
    </w:p>
    <w:p>
      <w:pPr>
        <w:ind w:firstLine="560"/>
        <w:rPr>
          <w:rFonts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公共服务设施应根据村庄分类、当地村民的生产生活习惯和地域乡土风貌特色设置。可参照下表设置。</w:t>
      </w:r>
    </w:p>
    <w:tbl>
      <w:tblPr>
        <w:tblStyle w:val="31"/>
        <w:tblW w:w="849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3"/>
        <w:gridCol w:w="1983"/>
        <w:gridCol w:w="1558"/>
        <w:gridCol w:w="1417"/>
        <w:gridCol w:w="14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499" w:type="dxa"/>
            <w:gridSpan w:val="5"/>
            <w:vAlign w:val="center"/>
          </w:tcPr>
          <w:p>
            <w:pPr>
              <w:pStyle w:val="98"/>
              <w:rPr>
                <w:lang w:bidi="ar"/>
              </w:rPr>
            </w:pPr>
            <w:r>
              <w:rPr>
                <w:rFonts w:hint="eastAsia"/>
                <w:lang w:bidi="ar"/>
              </w:rPr>
              <w:t>专栏14</w:t>
            </w:r>
            <w:r>
              <w:rPr>
                <w:lang w:bidi="ar"/>
              </w:rPr>
              <w:t>-</w:t>
            </w:r>
            <w:r>
              <w:rPr>
                <w:rFonts w:hint="eastAsia"/>
                <w:lang w:bidi="ar"/>
              </w:rPr>
              <w:t>7 村庄公共服务设施分类及项目基本配置表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sz w:val="24"/>
                <w:szCs w:val="24"/>
                <w:lang w:bidi="ar"/>
              </w:rPr>
            </w:pPr>
            <w:r>
              <w:rPr>
                <w:rFonts w:hint="eastAsia"/>
                <w:sz w:val="24"/>
                <w:szCs w:val="24"/>
                <w:lang w:bidi="ar"/>
              </w:rPr>
              <w:t>类别</w:t>
            </w:r>
          </w:p>
        </w:tc>
        <w:tc>
          <w:tcPr>
            <w:tcW w:w="1983" w:type="dxa"/>
            <w:vMerge w:val="restart"/>
            <w:vAlign w:val="center"/>
          </w:tcPr>
          <w:p>
            <w:pPr>
              <w:pStyle w:val="96"/>
              <w:rPr>
                <w:sz w:val="24"/>
                <w:szCs w:val="24"/>
                <w:lang w:bidi="ar"/>
              </w:rPr>
            </w:pPr>
            <w:r>
              <w:rPr>
                <w:rFonts w:hint="eastAsia"/>
                <w:sz w:val="24"/>
                <w:szCs w:val="24"/>
                <w:lang w:bidi="ar"/>
              </w:rPr>
              <w:t>项目</w:t>
            </w:r>
          </w:p>
        </w:tc>
        <w:tc>
          <w:tcPr>
            <w:tcW w:w="4393" w:type="dxa"/>
            <w:gridSpan w:val="3"/>
          </w:tcPr>
          <w:p>
            <w:pPr>
              <w:pStyle w:val="96"/>
              <w:rPr>
                <w:sz w:val="24"/>
                <w:szCs w:val="24"/>
                <w:lang w:bidi="ar"/>
              </w:rPr>
            </w:pPr>
            <w:r>
              <w:rPr>
                <w:rFonts w:hint="eastAsia"/>
                <w:sz w:val="24"/>
                <w:szCs w:val="24"/>
                <w:lang w:bidi="ar"/>
              </w:rPr>
              <w:t>公共设施项目配置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tcPr>
          <w:p>
            <w:pPr>
              <w:pStyle w:val="96"/>
              <w:rPr>
                <w:sz w:val="24"/>
                <w:szCs w:val="24"/>
                <w:lang w:bidi="ar"/>
              </w:rPr>
            </w:pPr>
          </w:p>
        </w:tc>
        <w:tc>
          <w:tcPr>
            <w:tcW w:w="1983" w:type="dxa"/>
            <w:vMerge w:val="continue"/>
          </w:tcPr>
          <w:p>
            <w:pPr>
              <w:pStyle w:val="96"/>
              <w:rPr>
                <w:sz w:val="24"/>
                <w:szCs w:val="24"/>
                <w:lang w:bidi="ar"/>
              </w:rPr>
            </w:pPr>
          </w:p>
        </w:tc>
        <w:tc>
          <w:tcPr>
            <w:tcW w:w="1558" w:type="dxa"/>
          </w:tcPr>
          <w:p>
            <w:pPr>
              <w:pStyle w:val="96"/>
              <w:rPr>
                <w:sz w:val="24"/>
                <w:szCs w:val="24"/>
                <w:lang w:bidi="ar"/>
              </w:rPr>
            </w:pPr>
            <w:r>
              <w:rPr>
                <w:rFonts w:hint="eastAsia"/>
                <w:sz w:val="24"/>
                <w:szCs w:val="24"/>
                <w:lang w:bidi="ar"/>
              </w:rPr>
              <w:t>集聚提升类</w:t>
            </w:r>
          </w:p>
        </w:tc>
        <w:tc>
          <w:tcPr>
            <w:tcW w:w="1417" w:type="dxa"/>
          </w:tcPr>
          <w:p>
            <w:pPr>
              <w:pStyle w:val="96"/>
              <w:rPr>
                <w:sz w:val="24"/>
                <w:szCs w:val="24"/>
                <w:lang w:bidi="ar"/>
              </w:rPr>
            </w:pPr>
            <w:r>
              <w:rPr>
                <w:rFonts w:hint="eastAsia"/>
                <w:sz w:val="24"/>
                <w:szCs w:val="24"/>
                <w:lang w:bidi="ar"/>
              </w:rPr>
              <w:t>特色保护类</w:t>
            </w:r>
          </w:p>
        </w:tc>
        <w:tc>
          <w:tcPr>
            <w:tcW w:w="1418" w:type="dxa"/>
          </w:tcPr>
          <w:p>
            <w:pPr>
              <w:pStyle w:val="96"/>
              <w:rPr>
                <w:sz w:val="24"/>
                <w:szCs w:val="24"/>
                <w:lang w:bidi="ar"/>
              </w:rPr>
            </w:pPr>
            <w:r>
              <w:rPr>
                <w:rFonts w:hint="eastAsia"/>
                <w:sz w:val="24"/>
                <w:szCs w:val="24"/>
                <w:lang w:bidi="ar"/>
              </w:rPr>
              <w:t>整治改善类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sz w:val="24"/>
                <w:szCs w:val="24"/>
                <w:lang w:bidi="ar"/>
              </w:rPr>
            </w:pPr>
            <w:r>
              <w:rPr>
                <w:rFonts w:hint="eastAsia"/>
                <w:sz w:val="24"/>
                <w:szCs w:val="24"/>
                <w:lang w:bidi="ar"/>
              </w:rPr>
              <w:t>行政管理</w:t>
            </w:r>
          </w:p>
        </w:tc>
        <w:tc>
          <w:tcPr>
            <w:tcW w:w="1983" w:type="dxa"/>
            <w:vAlign w:val="center"/>
          </w:tcPr>
          <w:p>
            <w:pPr>
              <w:pStyle w:val="96"/>
              <w:rPr>
                <w:sz w:val="24"/>
                <w:szCs w:val="24"/>
                <w:lang w:bidi="ar"/>
              </w:rPr>
            </w:pPr>
            <w:r>
              <w:rPr>
                <w:rFonts w:hint="eastAsia"/>
                <w:sz w:val="24"/>
                <w:szCs w:val="24"/>
                <w:lang w:bidi="ar"/>
              </w:rPr>
              <w:t>村委会</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sz w:val="24"/>
                <w:szCs w:val="24"/>
                <w:lang w:bidi="ar"/>
              </w:rPr>
            </w:pPr>
            <w:r>
              <w:rPr>
                <w:rFonts w:hint="eastAsia"/>
                <w:sz w:val="24"/>
                <w:szCs w:val="24"/>
                <w:lang w:bidi="ar"/>
              </w:rPr>
              <w:t>教育机构</w:t>
            </w:r>
          </w:p>
        </w:tc>
        <w:tc>
          <w:tcPr>
            <w:tcW w:w="1983" w:type="dxa"/>
            <w:vAlign w:val="center"/>
          </w:tcPr>
          <w:p>
            <w:pPr>
              <w:pStyle w:val="96"/>
              <w:rPr>
                <w:sz w:val="24"/>
                <w:szCs w:val="24"/>
                <w:lang w:bidi="ar"/>
              </w:rPr>
            </w:pPr>
            <w:r>
              <w:rPr>
                <w:rFonts w:hint="eastAsia"/>
                <w:sz w:val="24"/>
                <w:szCs w:val="24"/>
                <w:lang w:bidi="ar"/>
              </w:rPr>
              <w:t>小学</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sz w:val="24"/>
                <w:szCs w:val="24"/>
                <w:lang w:bidi="ar"/>
              </w:rPr>
            </w:pPr>
          </w:p>
        </w:tc>
        <w:tc>
          <w:tcPr>
            <w:tcW w:w="1983" w:type="dxa"/>
            <w:vAlign w:val="center"/>
          </w:tcPr>
          <w:p>
            <w:pPr>
              <w:pStyle w:val="96"/>
              <w:rPr>
                <w:sz w:val="24"/>
                <w:szCs w:val="24"/>
                <w:lang w:bidi="ar"/>
              </w:rPr>
            </w:pPr>
            <w:r>
              <w:rPr>
                <w:rFonts w:hint="eastAsia"/>
                <w:sz w:val="24"/>
                <w:szCs w:val="24"/>
                <w:lang w:bidi="ar"/>
              </w:rPr>
              <w:t>幼儿园</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sz w:val="24"/>
                <w:szCs w:val="24"/>
                <w:lang w:bidi="ar"/>
              </w:rPr>
            </w:pPr>
          </w:p>
        </w:tc>
        <w:tc>
          <w:tcPr>
            <w:tcW w:w="1983" w:type="dxa"/>
            <w:vAlign w:val="center"/>
          </w:tcPr>
          <w:p>
            <w:pPr>
              <w:pStyle w:val="96"/>
              <w:rPr>
                <w:sz w:val="24"/>
                <w:szCs w:val="24"/>
                <w:lang w:bidi="ar"/>
              </w:rPr>
            </w:pPr>
            <w:r>
              <w:rPr>
                <w:rFonts w:hint="eastAsia"/>
                <w:sz w:val="24"/>
                <w:szCs w:val="24"/>
                <w:lang w:bidi="ar"/>
              </w:rPr>
              <w:t>托儿所</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sz w:val="24"/>
                <w:szCs w:val="24"/>
                <w:lang w:bidi="ar"/>
              </w:rPr>
            </w:pPr>
            <w:r>
              <w:rPr>
                <w:rFonts w:hint="eastAsia"/>
                <w:sz w:val="24"/>
                <w:szCs w:val="24"/>
                <w:lang w:bidi="ar"/>
              </w:rPr>
              <w:t>文化科技</w:t>
            </w:r>
          </w:p>
        </w:tc>
        <w:tc>
          <w:tcPr>
            <w:tcW w:w="1983" w:type="dxa"/>
            <w:vAlign w:val="center"/>
          </w:tcPr>
          <w:p>
            <w:pPr>
              <w:pStyle w:val="96"/>
              <w:rPr>
                <w:sz w:val="24"/>
                <w:szCs w:val="24"/>
                <w:lang w:bidi="ar"/>
              </w:rPr>
            </w:pPr>
            <w:r>
              <w:rPr>
                <w:rFonts w:hint="eastAsia"/>
                <w:sz w:val="24"/>
                <w:szCs w:val="24"/>
                <w:lang w:bidi="ar"/>
              </w:rPr>
              <w:t>文化大院</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sz w:val="24"/>
                <w:szCs w:val="24"/>
                <w:lang w:bidi="ar"/>
              </w:rPr>
            </w:pPr>
            <w:r>
              <w:rPr>
                <w:rFonts w:hint="eastAsia"/>
                <w:sz w:val="24"/>
                <w:szCs w:val="24"/>
                <w:lang w:bidi="ar"/>
              </w:rPr>
              <w:t>体育设施</w:t>
            </w:r>
          </w:p>
        </w:tc>
        <w:tc>
          <w:tcPr>
            <w:tcW w:w="1983" w:type="dxa"/>
            <w:vAlign w:val="center"/>
          </w:tcPr>
          <w:p>
            <w:pPr>
              <w:pStyle w:val="96"/>
              <w:rPr>
                <w:sz w:val="24"/>
                <w:szCs w:val="24"/>
                <w:lang w:bidi="ar"/>
              </w:rPr>
            </w:pPr>
            <w:r>
              <w:rPr>
                <w:rFonts w:hint="eastAsia"/>
                <w:sz w:val="24"/>
                <w:szCs w:val="24"/>
                <w:lang w:bidi="ar"/>
              </w:rPr>
              <w:t>休闲运动广场</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sz w:val="24"/>
                <w:szCs w:val="24"/>
                <w:lang w:bidi="ar"/>
              </w:rPr>
            </w:pPr>
            <w:r>
              <w:rPr>
                <w:rFonts w:hint="eastAsia"/>
                <w:sz w:val="24"/>
                <w:szCs w:val="24"/>
                <w:lang w:bidi="ar"/>
              </w:rPr>
              <w:t>医疗设施</w:t>
            </w:r>
          </w:p>
        </w:tc>
        <w:tc>
          <w:tcPr>
            <w:tcW w:w="1983" w:type="dxa"/>
            <w:vAlign w:val="center"/>
          </w:tcPr>
          <w:p>
            <w:pPr>
              <w:pStyle w:val="96"/>
              <w:rPr>
                <w:sz w:val="24"/>
                <w:szCs w:val="24"/>
                <w:lang w:bidi="ar"/>
              </w:rPr>
            </w:pPr>
            <w:r>
              <w:rPr>
                <w:rFonts w:hint="eastAsia"/>
                <w:sz w:val="24"/>
                <w:szCs w:val="24"/>
                <w:lang w:bidi="ar"/>
              </w:rPr>
              <w:t>村卫生室</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Align w:val="center"/>
          </w:tcPr>
          <w:p>
            <w:pPr>
              <w:pStyle w:val="96"/>
              <w:rPr>
                <w:sz w:val="24"/>
                <w:szCs w:val="24"/>
                <w:lang w:bidi="ar"/>
              </w:rPr>
            </w:pPr>
            <w:r>
              <w:rPr>
                <w:rFonts w:hint="eastAsia"/>
                <w:sz w:val="24"/>
                <w:szCs w:val="24"/>
                <w:lang w:bidi="ar"/>
              </w:rPr>
              <w:t>社会保障</w:t>
            </w:r>
          </w:p>
        </w:tc>
        <w:tc>
          <w:tcPr>
            <w:tcW w:w="1983" w:type="dxa"/>
            <w:vAlign w:val="center"/>
          </w:tcPr>
          <w:p>
            <w:pPr>
              <w:pStyle w:val="96"/>
              <w:rPr>
                <w:sz w:val="24"/>
                <w:szCs w:val="24"/>
                <w:lang w:bidi="ar"/>
              </w:rPr>
            </w:pPr>
            <w:r>
              <w:rPr>
                <w:rFonts w:hint="eastAsia"/>
                <w:sz w:val="24"/>
                <w:szCs w:val="24"/>
                <w:lang w:bidi="ar"/>
              </w:rPr>
              <w:t>日间照料中心</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restart"/>
            <w:vAlign w:val="center"/>
          </w:tcPr>
          <w:p>
            <w:pPr>
              <w:pStyle w:val="96"/>
              <w:rPr>
                <w:sz w:val="24"/>
                <w:szCs w:val="24"/>
                <w:lang w:bidi="ar"/>
              </w:rPr>
            </w:pPr>
            <w:r>
              <w:rPr>
                <w:rFonts w:hint="eastAsia"/>
                <w:sz w:val="24"/>
                <w:szCs w:val="24"/>
                <w:lang w:bidi="ar"/>
              </w:rPr>
              <w:t>商业服务</w:t>
            </w:r>
          </w:p>
        </w:tc>
        <w:tc>
          <w:tcPr>
            <w:tcW w:w="1983" w:type="dxa"/>
            <w:vAlign w:val="center"/>
          </w:tcPr>
          <w:p>
            <w:pPr>
              <w:pStyle w:val="96"/>
              <w:rPr>
                <w:sz w:val="24"/>
                <w:szCs w:val="24"/>
                <w:lang w:bidi="ar"/>
              </w:rPr>
            </w:pPr>
            <w:r>
              <w:rPr>
                <w:rFonts w:hint="eastAsia"/>
                <w:sz w:val="24"/>
                <w:szCs w:val="24"/>
                <w:lang w:bidi="ar"/>
              </w:rPr>
              <w:t>小卖部</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sz w:val="24"/>
                <w:szCs w:val="24"/>
                <w:lang w:bidi="ar"/>
              </w:rPr>
            </w:pPr>
          </w:p>
        </w:tc>
        <w:tc>
          <w:tcPr>
            <w:tcW w:w="1983" w:type="dxa"/>
            <w:vAlign w:val="center"/>
          </w:tcPr>
          <w:p>
            <w:pPr>
              <w:pStyle w:val="96"/>
              <w:rPr>
                <w:sz w:val="24"/>
                <w:szCs w:val="24"/>
                <w:lang w:bidi="ar"/>
              </w:rPr>
            </w:pPr>
            <w:r>
              <w:rPr>
                <w:rFonts w:hint="eastAsia"/>
                <w:sz w:val="24"/>
                <w:szCs w:val="24"/>
                <w:lang w:bidi="ar"/>
              </w:rPr>
              <w:t>小型超市</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sz w:val="24"/>
                <w:szCs w:val="24"/>
                <w:lang w:bidi="ar"/>
              </w:rPr>
            </w:pPr>
          </w:p>
        </w:tc>
        <w:tc>
          <w:tcPr>
            <w:tcW w:w="1983" w:type="dxa"/>
            <w:vAlign w:val="center"/>
          </w:tcPr>
          <w:p>
            <w:pPr>
              <w:pStyle w:val="96"/>
              <w:rPr>
                <w:sz w:val="24"/>
                <w:szCs w:val="24"/>
                <w:lang w:bidi="ar"/>
              </w:rPr>
            </w:pPr>
            <w:r>
              <w:rPr>
                <w:rFonts w:hint="eastAsia"/>
                <w:sz w:val="24"/>
                <w:szCs w:val="24"/>
                <w:lang w:bidi="ar"/>
              </w:rPr>
              <w:t>餐饮、特产店</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2123" w:type="dxa"/>
            <w:vMerge w:val="continue"/>
            <w:vAlign w:val="center"/>
          </w:tcPr>
          <w:p>
            <w:pPr>
              <w:pStyle w:val="96"/>
              <w:rPr>
                <w:sz w:val="24"/>
                <w:szCs w:val="24"/>
                <w:lang w:bidi="ar"/>
              </w:rPr>
            </w:pPr>
          </w:p>
        </w:tc>
        <w:tc>
          <w:tcPr>
            <w:tcW w:w="1983" w:type="dxa"/>
            <w:vAlign w:val="center"/>
          </w:tcPr>
          <w:p>
            <w:pPr>
              <w:pStyle w:val="96"/>
              <w:rPr>
                <w:sz w:val="24"/>
                <w:szCs w:val="24"/>
                <w:lang w:bidi="ar"/>
              </w:rPr>
            </w:pPr>
            <w:r>
              <w:rPr>
                <w:rFonts w:hint="eastAsia"/>
                <w:sz w:val="24"/>
                <w:szCs w:val="24"/>
                <w:lang w:bidi="ar"/>
              </w:rPr>
              <w:t>旅馆、招待所</w:t>
            </w:r>
          </w:p>
        </w:tc>
        <w:tc>
          <w:tcPr>
            <w:tcW w:w="1558" w:type="dxa"/>
            <w:vAlign w:val="center"/>
          </w:tcPr>
          <w:p>
            <w:pPr>
              <w:pStyle w:val="96"/>
              <w:rPr>
                <w:sz w:val="24"/>
                <w:szCs w:val="24"/>
                <w:lang w:bidi="ar"/>
              </w:rPr>
            </w:pPr>
            <w:r>
              <w:rPr>
                <w:rFonts w:hint="eastAsia"/>
                <w:sz w:val="24"/>
                <w:szCs w:val="24"/>
                <w:lang w:bidi="ar"/>
              </w:rPr>
              <w:t>○</w:t>
            </w:r>
          </w:p>
        </w:tc>
        <w:tc>
          <w:tcPr>
            <w:tcW w:w="1417" w:type="dxa"/>
            <w:vAlign w:val="center"/>
          </w:tcPr>
          <w:p>
            <w:pPr>
              <w:pStyle w:val="96"/>
              <w:rPr>
                <w:sz w:val="24"/>
                <w:szCs w:val="24"/>
                <w:lang w:bidi="ar"/>
              </w:rPr>
            </w:pPr>
            <w:r>
              <w:rPr>
                <w:rFonts w:hint="eastAsia"/>
                <w:sz w:val="24"/>
                <w:szCs w:val="24"/>
                <w:lang w:bidi="ar"/>
              </w:rPr>
              <w:t>○</w:t>
            </w:r>
          </w:p>
        </w:tc>
        <w:tc>
          <w:tcPr>
            <w:tcW w:w="1418" w:type="dxa"/>
            <w:vAlign w:val="center"/>
          </w:tcPr>
          <w:p>
            <w:pPr>
              <w:pStyle w:val="96"/>
              <w:rPr>
                <w:sz w:val="24"/>
                <w:szCs w:val="24"/>
                <w:lang w:bidi="ar"/>
              </w:rPr>
            </w:pPr>
            <w:r>
              <w:rPr>
                <w:rFonts w:hint="eastAsia"/>
                <w:sz w:val="24"/>
                <w:szCs w:val="24"/>
                <w:lang w:bidi="ar"/>
              </w:rPr>
              <w:t>○</w:t>
            </w:r>
          </w:p>
        </w:tc>
      </w:tr>
    </w:tbl>
    <w:p>
      <w:pPr>
        <w:ind w:firstLine="420"/>
        <w:jc w:val="left"/>
        <w:rPr>
          <w:rFonts w:ascii="楷体" w:hAnsi="楷体" w:eastAsia="楷体" w:cs="楷体"/>
          <w:sz w:val="21"/>
          <w:szCs w:val="21"/>
        </w:rPr>
      </w:pPr>
      <w:r>
        <w:rPr>
          <w:rFonts w:hint="eastAsia" w:ascii="楷体" w:hAnsi="楷体" w:eastAsia="楷体" w:cs="楷体"/>
          <w:color w:val="000000"/>
          <w:kern w:val="0"/>
          <w:sz w:val="21"/>
          <w:szCs w:val="21"/>
          <w:lang w:bidi="ar"/>
        </w:rPr>
        <w:t>注： ●—为应设的内容○—为可设的内容</w:t>
      </w:r>
    </w:p>
    <w:p>
      <w:pPr>
        <w:ind w:firstLine="560"/>
        <w:jc w:val="left"/>
        <w:rPr>
          <w:rFonts w:ascii="仿宋" w:hAnsi="仿宋" w:eastAsia="仿宋" w:cs="仿宋"/>
          <w:color w:val="000000"/>
          <w:kern w:val="0"/>
          <w:sz w:val="28"/>
          <w:szCs w:val="28"/>
          <w:lang w:bidi="ar"/>
        </w:rPr>
      </w:pPr>
      <w:r>
        <w:rPr>
          <w:rFonts w:hint="eastAsia" w:ascii="仿宋" w:hAnsi="仿宋" w:eastAsia="仿宋" w:cs="仿宋"/>
          <w:color w:val="000000"/>
          <w:kern w:val="0"/>
          <w:sz w:val="28"/>
          <w:szCs w:val="28"/>
          <w:lang w:bidi="ar"/>
        </w:rPr>
        <w:t>配置标准应根据村庄类别配置村庄公共设施，村庄主要公共设施的单项设施用地面积可参考下表规定。</w:t>
      </w: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2"/>
        <w:gridCol w:w="1478"/>
        <w:gridCol w:w="1961"/>
        <w:gridCol w:w="37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8297" w:type="dxa"/>
            <w:gridSpan w:val="4"/>
          </w:tcPr>
          <w:p>
            <w:pPr>
              <w:pStyle w:val="98"/>
              <w:rPr>
                <w:lang w:bidi="ar"/>
              </w:rPr>
            </w:pPr>
            <w:r>
              <w:rPr>
                <w:rFonts w:hint="eastAsia"/>
                <w:lang w:bidi="ar"/>
              </w:rPr>
              <w:t>专栏14</w:t>
            </w:r>
            <w:r>
              <w:rPr>
                <w:lang w:bidi="ar"/>
              </w:rPr>
              <w:t>-</w:t>
            </w:r>
            <w:r>
              <w:rPr>
                <w:rFonts w:hint="eastAsia"/>
                <w:lang w:bidi="ar"/>
              </w:rPr>
              <w:t>8</w:t>
            </w:r>
            <w:r>
              <w:rPr>
                <w:lang w:bidi="ar"/>
              </w:rPr>
              <w:t xml:space="preserve"> </w:t>
            </w:r>
            <w:r>
              <w:rPr>
                <w:rFonts w:hint="eastAsia"/>
                <w:lang w:bidi="ar"/>
              </w:rPr>
              <w:t>村庄公共设施用地面积参考指标（单位：平方米）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1092" w:type="dxa"/>
          </w:tcPr>
          <w:p>
            <w:pPr>
              <w:pStyle w:val="96"/>
              <w:rPr>
                <w:sz w:val="24"/>
                <w:szCs w:val="24"/>
                <w:lang w:bidi="ar"/>
              </w:rPr>
            </w:pPr>
            <w:r>
              <w:rPr>
                <w:rFonts w:hint="eastAsia"/>
                <w:sz w:val="24"/>
                <w:szCs w:val="24"/>
                <w:lang w:bidi="ar"/>
              </w:rPr>
              <w:t>类别</w:t>
            </w:r>
          </w:p>
        </w:tc>
        <w:tc>
          <w:tcPr>
            <w:tcW w:w="1478" w:type="dxa"/>
          </w:tcPr>
          <w:p>
            <w:pPr>
              <w:pStyle w:val="96"/>
              <w:rPr>
                <w:sz w:val="24"/>
                <w:szCs w:val="24"/>
                <w:lang w:bidi="ar"/>
              </w:rPr>
            </w:pPr>
            <w:r>
              <w:rPr>
                <w:rFonts w:hint="eastAsia"/>
                <w:sz w:val="24"/>
                <w:szCs w:val="24"/>
                <w:lang w:bidi="ar"/>
              </w:rPr>
              <w:t>设施名称</w:t>
            </w:r>
          </w:p>
        </w:tc>
        <w:tc>
          <w:tcPr>
            <w:tcW w:w="1961" w:type="dxa"/>
          </w:tcPr>
          <w:p>
            <w:pPr>
              <w:pStyle w:val="96"/>
              <w:rPr>
                <w:sz w:val="24"/>
                <w:szCs w:val="24"/>
                <w:lang w:bidi="ar"/>
              </w:rPr>
            </w:pPr>
            <w:r>
              <w:rPr>
                <w:rFonts w:hint="eastAsia"/>
                <w:sz w:val="24"/>
                <w:szCs w:val="24"/>
                <w:lang w:bidi="ar"/>
              </w:rPr>
              <w:t>建筑面积（</w:t>
            </w:r>
            <w:r>
              <w:rPr>
                <w:rFonts w:hint="eastAsia" w:ascii="Arial Unicode MS" w:hAnsi="Arial Unicode MS" w:eastAsia="Arial Unicode MS" w:cs="Arial Unicode MS"/>
                <w:sz w:val="24"/>
                <w:szCs w:val="24"/>
                <w:lang w:bidi="ar"/>
              </w:rPr>
              <w:t>㎡</w:t>
            </w:r>
            <w:r>
              <w:rPr>
                <w:rFonts w:hint="eastAsia" w:ascii="仿宋_GB2312" w:hAnsi="仿宋_GB2312" w:cs="仿宋_GB2312"/>
                <w:sz w:val="24"/>
                <w:szCs w:val="24"/>
                <w:lang w:bidi="ar"/>
              </w:rPr>
              <w:t>）</w:t>
            </w:r>
          </w:p>
        </w:tc>
        <w:tc>
          <w:tcPr>
            <w:tcW w:w="3766" w:type="dxa"/>
          </w:tcPr>
          <w:p>
            <w:pPr>
              <w:pStyle w:val="96"/>
              <w:rPr>
                <w:sz w:val="24"/>
                <w:szCs w:val="24"/>
                <w:lang w:bidi="ar"/>
              </w:rPr>
            </w:pPr>
            <w:r>
              <w:rPr>
                <w:rFonts w:hint="eastAsia"/>
                <w:sz w:val="24"/>
                <w:szCs w:val="24"/>
                <w:lang w:bidi="ar"/>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2" w:type="dxa"/>
            <w:vAlign w:val="center"/>
          </w:tcPr>
          <w:p>
            <w:pPr>
              <w:pStyle w:val="96"/>
              <w:rPr>
                <w:sz w:val="24"/>
                <w:szCs w:val="24"/>
                <w:lang w:bidi="ar"/>
              </w:rPr>
            </w:pPr>
            <w:r>
              <w:rPr>
                <w:rFonts w:hint="eastAsia"/>
                <w:sz w:val="24"/>
                <w:szCs w:val="24"/>
                <w:lang w:bidi="ar"/>
              </w:rPr>
              <w:t>行政管理</w:t>
            </w:r>
          </w:p>
        </w:tc>
        <w:tc>
          <w:tcPr>
            <w:tcW w:w="1478" w:type="dxa"/>
            <w:vAlign w:val="center"/>
          </w:tcPr>
          <w:p>
            <w:pPr>
              <w:pStyle w:val="96"/>
              <w:rPr>
                <w:sz w:val="24"/>
                <w:szCs w:val="24"/>
                <w:lang w:bidi="ar"/>
              </w:rPr>
            </w:pPr>
            <w:r>
              <w:rPr>
                <w:rFonts w:hint="eastAsia"/>
                <w:sz w:val="24"/>
                <w:szCs w:val="24"/>
                <w:lang w:bidi="ar"/>
              </w:rPr>
              <w:t>村委会</w:t>
            </w:r>
          </w:p>
        </w:tc>
        <w:tc>
          <w:tcPr>
            <w:tcW w:w="1961" w:type="dxa"/>
            <w:vAlign w:val="center"/>
          </w:tcPr>
          <w:p>
            <w:pPr>
              <w:pStyle w:val="96"/>
              <w:rPr>
                <w:sz w:val="24"/>
                <w:szCs w:val="24"/>
                <w:lang w:bidi="ar"/>
              </w:rPr>
            </w:pPr>
            <w:r>
              <w:rPr>
                <w:rFonts w:hint="eastAsia"/>
                <w:sz w:val="24"/>
                <w:szCs w:val="24"/>
                <w:lang w:bidi="ar"/>
              </w:rPr>
              <w:t>200-500</w:t>
            </w:r>
          </w:p>
        </w:tc>
        <w:tc>
          <w:tcPr>
            <w:tcW w:w="3766" w:type="dxa"/>
          </w:tcPr>
          <w:p>
            <w:pPr>
              <w:pStyle w:val="96"/>
              <w:rPr>
                <w:sz w:val="24"/>
                <w:szCs w:val="24"/>
                <w:lang w:bidi="ar"/>
              </w:rPr>
            </w:pPr>
            <w:r>
              <w:rPr>
                <w:rFonts w:hint="eastAsia"/>
                <w:sz w:val="24"/>
                <w:szCs w:val="24"/>
              </w:rPr>
              <w:t>宜布置在方便出入、便于办事的地点，原则上独立于村民住宅。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2" w:type="dxa"/>
            <w:vMerge w:val="restart"/>
            <w:vAlign w:val="center"/>
          </w:tcPr>
          <w:p>
            <w:pPr>
              <w:pStyle w:val="96"/>
              <w:rPr>
                <w:sz w:val="24"/>
                <w:szCs w:val="24"/>
                <w:lang w:bidi="ar"/>
              </w:rPr>
            </w:pPr>
            <w:r>
              <w:rPr>
                <w:rFonts w:hint="eastAsia"/>
                <w:sz w:val="24"/>
                <w:szCs w:val="24"/>
                <w:lang w:bidi="ar"/>
              </w:rPr>
              <w:t>教育机构</w:t>
            </w:r>
          </w:p>
        </w:tc>
        <w:tc>
          <w:tcPr>
            <w:tcW w:w="1478" w:type="dxa"/>
            <w:vAlign w:val="center"/>
          </w:tcPr>
          <w:p>
            <w:pPr>
              <w:pStyle w:val="96"/>
              <w:rPr>
                <w:sz w:val="24"/>
                <w:szCs w:val="24"/>
                <w:lang w:bidi="ar"/>
              </w:rPr>
            </w:pPr>
            <w:r>
              <w:rPr>
                <w:rFonts w:hint="eastAsia"/>
                <w:sz w:val="24"/>
                <w:szCs w:val="24"/>
                <w:lang w:bidi="ar"/>
              </w:rPr>
              <w:t>小学</w:t>
            </w:r>
          </w:p>
        </w:tc>
        <w:tc>
          <w:tcPr>
            <w:tcW w:w="1961" w:type="dxa"/>
            <w:vAlign w:val="center"/>
          </w:tcPr>
          <w:p>
            <w:pPr>
              <w:pStyle w:val="96"/>
              <w:rPr>
                <w:sz w:val="24"/>
                <w:szCs w:val="24"/>
                <w:lang w:bidi="ar"/>
              </w:rPr>
            </w:pPr>
            <w:r>
              <w:rPr>
                <w:rFonts w:hint="eastAsia"/>
                <w:sz w:val="24"/>
                <w:szCs w:val="24"/>
                <w:lang w:bidi="ar"/>
              </w:rPr>
              <w:t>4000-8000</w:t>
            </w:r>
          </w:p>
        </w:tc>
        <w:tc>
          <w:tcPr>
            <w:tcW w:w="3766" w:type="dxa"/>
          </w:tcPr>
          <w:p>
            <w:pPr>
              <w:pStyle w:val="96"/>
              <w:rPr>
                <w:sz w:val="24"/>
                <w:szCs w:val="24"/>
              </w:rPr>
            </w:pPr>
            <w:r>
              <w:rPr>
                <w:rFonts w:hint="eastAsia"/>
                <w:sz w:val="24"/>
                <w:szCs w:val="24"/>
              </w:rPr>
              <w:t>应独立占地。可根据乡村生活圈配置要求采取多村合设的方式。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4" w:hRule="atLeast"/>
        </w:trPr>
        <w:tc>
          <w:tcPr>
            <w:tcW w:w="1092" w:type="dxa"/>
            <w:vMerge w:val="continue"/>
            <w:vAlign w:val="center"/>
          </w:tcPr>
          <w:p>
            <w:pPr>
              <w:pStyle w:val="96"/>
              <w:rPr>
                <w:sz w:val="24"/>
                <w:szCs w:val="24"/>
                <w:lang w:bidi="ar"/>
              </w:rPr>
            </w:pPr>
          </w:p>
        </w:tc>
        <w:tc>
          <w:tcPr>
            <w:tcW w:w="1478" w:type="dxa"/>
            <w:vAlign w:val="center"/>
          </w:tcPr>
          <w:p>
            <w:pPr>
              <w:pStyle w:val="96"/>
              <w:rPr>
                <w:sz w:val="24"/>
                <w:szCs w:val="24"/>
                <w:lang w:bidi="ar"/>
              </w:rPr>
            </w:pPr>
            <w:r>
              <w:rPr>
                <w:rFonts w:hint="eastAsia"/>
                <w:sz w:val="24"/>
                <w:szCs w:val="24"/>
                <w:lang w:bidi="ar"/>
              </w:rPr>
              <w:t>幼儿园</w:t>
            </w:r>
          </w:p>
        </w:tc>
        <w:tc>
          <w:tcPr>
            <w:tcW w:w="1961" w:type="dxa"/>
            <w:vAlign w:val="center"/>
          </w:tcPr>
          <w:p>
            <w:pPr>
              <w:pStyle w:val="96"/>
              <w:rPr>
                <w:sz w:val="24"/>
                <w:szCs w:val="24"/>
                <w:lang w:bidi="ar"/>
              </w:rPr>
            </w:pPr>
            <w:r>
              <w:rPr>
                <w:rFonts w:hint="eastAsia"/>
                <w:sz w:val="24"/>
                <w:szCs w:val="24"/>
                <w:lang w:bidi="ar"/>
              </w:rPr>
              <w:t>600-1800</w:t>
            </w:r>
          </w:p>
        </w:tc>
        <w:tc>
          <w:tcPr>
            <w:tcW w:w="3766" w:type="dxa"/>
          </w:tcPr>
          <w:p>
            <w:pPr>
              <w:pStyle w:val="96"/>
              <w:rPr>
                <w:sz w:val="24"/>
                <w:szCs w:val="24"/>
              </w:rPr>
            </w:pPr>
            <w:r>
              <w:rPr>
                <w:rFonts w:hint="eastAsia"/>
                <w:sz w:val="24"/>
                <w:szCs w:val="24"/>
              </w:rPr>
              <w:t>独立设置或与绿地结合设置。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2" w:type="dxa"/>
            <w:vMerge w:val="continue"/>
            <w:vAlign w:val="center"/>
          </w:tcPr>
          <w:p>
            <w:pPr>
              <w:pStyle w:val="96"/>
              <w:rPr>
                <w:sz w:val="24"/>
                <w:szCs w:val="24"/>
                <w:lang w:bidi="ar"/>
              </w:rPr>
            </w:pPr>
          </w:p>
        </w:tc>
        <w:tc>
          <w:tcPr>
            <w:tcW w:w="1478" w:type="dxa"/>
            <w:vAlign w:val="center"/>
          </w:tcPr>
          <w:p>
            <w:pPr>
              <w:pStyle w:val="96"/>
              <w:rPr>
                <w:sz w:val="24"/>
                <w:szCs w:val="24"/>
                <w:lang w:bidi="ar"/>
              </w:rPr>
            </w:pPr>
            <w:r>
              <w:rPr>
                <w:rFonts w:hint="eastAsia"/>
                <w:sz w:val="24"/>
                <w:szCs w:val="24"/>
                <w:lang w:bidi="ar"/>
              </w:rPr>
              <w:t>托儿所</w:t>
            </w:r>
          </w:p>
        </w:tc>
        <w:tc>
          <w:tcPr>
            <w:tcW w:w="1961" w:type="dxa"/>
            <w:vAlign w:val="center"/>
          </w:tcPr>
          <w:p>
            <w:pPr>
              <w:pStyle w:val="96"/>
              <w:rPr>
                <w:sz w:val="24"/>
                <w:szCs w:val="24"/>
                <w:lang w:bidi="ar"/>
              </w:rPr>
            </w:pPr>
            <w:r>
              <w:rPr>
                <w:rFonts w:hint="eastAsia"/>
                <w:sz w:val="24"/>
                <w:szCs w:val="24"/>
                <w:lang w:bidi="ar"/>
              </w:rPr>
              <w:t>600-1800</w:t>
            </w:r>
          </w:p>
        </w:tc>
        <w:tc>
          <w:tcPr>
            <w:tcW w:w="3766" w:type="dxa"/>
          </w:tcPr>
          <w:p>
            <w:pPr>
              <w:pStyle w:val="96"/>
              <w:rPr>
                <w:sz w:val="24"/>
                <w:szCs w:val="24"/>
              </w:rPr>
            </w:pPr>
            <w:r>
              <w:rPr>
                <w:rFonts w:hint="eastAsia"/>
                <w:sz w:val="24"/>
                <w:szCs w:val="24"/>
              </w:rPr>
              <w:t>独立设置或与幼儿园、绿地等结合设置。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2" w:type="dxa"/>
            <w:vAlign w:val="center"/>
          </w:tcPr>
          <w:p>
            <w:pPr>
              <w:pStyle w:val="96"/>
              <w:rPr>
                <w:sz w:val="24"/>
                <w:szCs w:val="24"/>
                <w:lang w:bidi="ar"/>
              </w:rPr>
            </w:pPr>
            <w:r>
              <w:rPr>
                <w:rFonts w:hint="eastAsia"/>
                <w:sz w:val="24"/>
                <w:szCs w:val="24"/>
                <w:lang w:bidi="ar"/>
              </w:rPr>
              <w:t>文化科技</w:t>
            </w:r>
          </w:p>
        </w:tc>
        <w:tc>
          <w:tcPr>
            <w:tcW w:w="1478" w:type="dxa"/>
            <w:vAlign w:val="center"/>
          </w:tcPr>
          <w:p>
            <w:pPr>
              <w:pStyle w:val="96"/>
              <w:rPr>
                <w:sz w:val="24"/>
                <w:szCs w:val="24"/>
                <w:lang w:bidi="ar"/>
              </w:rPr>
            </w:pPr>
            <w:r>
              <w:rPr>
                <w:rFonts w:hint="eastAsia"/>
                <w:sz w:val="24"/>
                <w:szCs w:val="24"/>
                <w:lang w:bidi="ar"/>
              </w:rPr>
              <w:t>文化大院</w:t>
            </w:r>
          </w:p>
        </w:tc>
        <w:tc>
          <w:tcPr>
            <w:tcW w:w="1961" w:type="dxa"/>
            <w:vAlign w:val="center"/>
          </w:tcPr>
          <w:p>
            <w:pPr>
              <w:pStyle w:val="96"/>
              <w:rPr>
                <w:sz w:val="24"/>
                <w:szCs w:val="24"/>
                <w:lang w:bidi="ar"/>
              </w:rPr>
            </w:pPr>
            <w:r>
              <w:rPr>
                <w:rFonts w:hint="eastAsia"/>
                <w:sz w:val="24"/>
                <w:szCs w:val="24"/>
                <w:lang w:bidi="ar"/>
              </w:rPr>
              <w:t>200-800</w:t>
            </w:r>
          </w:p>
        </w:tc>
        <w:tc>
          <w:tcPr>
            <w:tcW w:w="3766" w:type="dxa"/>
          </w:tcPr>
          <w:p>
            <w:pPr>
              <w:pStyle w:val="96"/>
              <w:rPr>
                <w:sz w:val="24"/>
                <w:szCs w:val="24"/>
              </w:rPr>
            </w:pPr>
            <w:r>
              <w:rPr>
                <w:rFonts w:hint="eastAsia"/>
                <w:sz w:val="24"/>
                <w:szCs w:val="24"/>
              </w:rPr>
              <w:t>应包括科技服务、图书阅览等功能。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2" w:type="dxa"/>
            <w:vAlign w:val="center"/>
          </w:tcPr>
          <w:p>
            <w:pPr>
              <w:pStyle w:val="96"/>
              <w:rPr>
                <w:sz w:val="24"/>
                <w:szCs w:val="24"/>
                <w:lang w:bidi="ar"/>
              </w:rPr>
            </w:pPr>
            <w:r>
              <w:rPr>
                <w:rFonts w:hint="eastAsia"/>
                <w:sz w:val="24"/>
                <w:szCs w:val="24"/>
                <w:lang w:bidi="ar"/>
              </w:rPr>
              <w:t>体育设施</w:t>
            </w:r>
          </w:p>
        </w:tc>
        <w:tc>
          <w:tcPr>
            <w:tcW w:w="1478" w:type="dxa"/>
            <w:vAlign w:val="center"/>
          </w:tcPr>
          <w:p>
            <w:pPr>
              <w:pStyle w:val="96"/>
              <w:rPr>
                <w:sz w:val="24"/>
                <w:szCs w:val="24"/>
                <w:lang w:bidi="ar"/>
              </w:rPr>
            </w:pPr>
            <w:r>
              <w:rPr>
                <w:rFonts w:hint="eastAsia"/>
                <w:sz w:val="24"/>
                <w:szCs w:val="24"/>
                <w:lang w:bidi="ar"/>
              </w:rPr>
              <w:t>休闲运动广场</w:t>
            </w:r>
          </w:p>
        </w:tc>
        <w:tc>
          <w:tcPr>
            <w:tcW w:w="1961" w:type="dxa"/>
            <w:vAlign w:val="center"/>
          </w:tcPr>
          <w:p>
            <w:pPr>
              <w:pStyle w:val="96"/>
              <w:rPr>
                <w:sz w:val="24"/>
                <w:szCs w:val="24"/>
                <w:lang w:bidi="ar"/>
              </w:rPr>
            </w:pPr>
            <w:r>
              <w:rPr>
                <w:rFonts w:hint="eastAsia"/>
                <w:sz w:val="24"/>
                <w:szCs w:val="24"/>
                <w:lang w:bidi="ar"/>
              </w:rPr>
              <w:t>600-2000</w:t>
            </w:r>
          </w:p>
          <w:p>
            <w:pPr>
              <w:pStyle w:val="96"/>
              <w:rPr>
                <w:sz w:val="24"/>
                <w:szCs w:val="24"/>
                <w:lang w:bidi="ar"/>
              </w:rPr>
            </w:pPr>
            <w:r>
              <w:rPr>
                <w:rFonts w:hint="eastAsia"/>
                <w:sz w:val="24"/>
                <w:szCs w:val="24"/>
                <w:lang w:bidi="ar"/>
              </w:rPr>
              <w:t>（用地面积）</w:t>
            </w:r>
          </w:p>
        </w:tc>
        <w:tc>
          <w:tcPr>
            <w:tcW w:w="3766" w:type="dxa"/>
          </w:tcPr>
          <w:p>
            <w:pPr>
              <w:pStyle w:val="96"/>
              <w:rPr>
                <w:sz w:val="24"/>
                <w:szCs w:val="24"/>
              </w:rPr>
            </w:pPr>
            <w:r>
              <w:rPr>
                <w:rFonts w:hint="eastAsia"/>
                <w:sz w:val="24"/>
                <w:szCs w:val="24"/>
              </w:rPr>
              <w:t>可与绿地结合建设。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92" w:type="dxa"/>
            <w:vAlign w:val="center"/>
          </w:tcPr>
          <w:p>
            <w:pPr>
              <w:pStyle w:val="96"/>
              <w:rPr>
                <w:sz w:val="24"/>
                <w:szCs w:val="24"/>
                <w:lang w:bidi="ar"/>
              </w:rPr>
            </w:pPr>
            <w:r>
              <w:rPr>
                <w:rFonts w:hint="eastAsia"/>
                <w:sz w:val="24"/>
                <w:szCs w:val="24"/>
                <w:lang w:bidi="ar"/>
              </w:rPr>
              <w:t>医疗设施</w:t>
            </w:r>
          </w:p>
        </w:tc>
        <w:tc>
          <w:tcPr>
            <w:tcW w:w="1478" w:type="dxa"/>
            <w:vAlign w:val="center"/>
          </w:tcPr>
          <w:p>
            <w:pPr>
              <w:pStyle w:val="96"/>
              <w:rPr>
                <w:sz w:val="24"/>
                <w:szCs w:val="24"/>
                <w:lang w:bidi="ar"/>
              </w:rPr>
            </w:pPr>
            <w:r>
              <w:rPr>
                <w:rFonts w:hint="eastAsia"/>
                <w:sz w:val="24"/>
                <w:szCs w:val="24"/>
                <w:lang w:bidi="ar"/>
              </w:rPr>
              <w:t>村卫生室</w:t>
            </w:r>
          </w:p>
        </w:tc>
        <w:tc>
          <w:tcPr>
            <w:tcW w:w="1961" w:type="dxa"/>
            <w:vAlign w:val="center"/>
          </w:tcPr>
          <w:p>
            <w:pPr>
              <w:pStyle w:val="96"/>
              <w:rPr>
                <w:sz w:val="24"/>
                <w:szCs w:val="24"/>
                <w:lang w:bidi="ar"/>
              </w:rPr>
            </w:pPr>
            <w:r>
              <w:rPr>
                <w:rFonts w:hint="eastAsia"/>
                <w:sz w:val="24"/>
                <w:szCs w:val="24"/>
                <w:lang w:bidi="ar"/>
              </w:rPr>
              <w:t>50-100</w:t>
            </w:r>
          </w:p>
        </w:tc>
        <w:tc>
          <w:tcPr>
            <w:tcW w:w="3766" w:type="dxa"/>
          </w:tcPr>
          <w:p>
            <w:pPr>
              <w:pStyle w:val="96"/>
              <w:rPr>
                <w:sz w:val="24"/>
                <w:szCs w:val="24"/>
              </w:rPr>
            </w:pPr>
            <w:r>
              <w:rPr>
                <w:rFonts w:hint="eastAsia"/>
                <w:sz w:val="24"/>
                <w:szCs w:val="24"/>
              </w:rPr>
              <w:t>原则上一个行政村设置一所村卫生室，人口较多或者居住分散的行政村可酌情增设;人口较少或面积较小的行政村，可与相邻行政村联合设置村卫生室。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92" w:type="dxa"/>
            <w:vAlign w:val="center"/>
          </w:tcPr>
          <w:p>
            <w:pPr>
              <w:pStyle w:val="96"/>
              <w:rPr>
                <w:sz w:val="24"/>
                <w:szCs w:val="24"/>
                <w:lang w:bidi="ar"/>
              </w:rPr>
            </w:pPr>
            <w:r>
              <w:rPr>
                <w:rFonts w:hint="eastAsia"/>
                <w:sz w:val="24"/>
                <w:szCs w:val="24"/>
                <w:lang w:bidi="ar"/>
              </w:rPr>
              <w:t>社会保障</w:t>
            </w:r>
          </w:p>
        </w:tc>
        <w:tc>
          <w:tcPr>
            <w:tcW w:w="1478" w:type="dxa"/>
            <w:vAlign w:val="center"/>
          </w:tcPr>
          <w:p>
            <w:pPr>
              <w:pStyle w:val="96"/>
              <w:rPr>
                <w:sz w:val="24"/>
                <w:szCs w:val="24"/>
                <w:lang w:bidi="ar"/>
              </w:rPr>
            </w:pPr>
            <w:r>
              <w:rPr>
                <w:rFonts w:hint="eastAsia"/>
                <w:sz w:val="24"/>
                <w:szCs w:val="24"/>
                <w:lang w:bidi="ar"/>
              </w:rPr>
              <w:t>日间照料中心</w:t>
            </w:r>
          </w:p>
        </w:tc>
        <w:tc>
          <w:tcPr>
            <w:tcW w:w="1961" w:type="dxa"/>
            <w:vAlign w:val="center"/>
          </w:tcPr>
          <w:p>
            <w:pPr>
              <w:pStyle w:val="96"/>
              <w:rPr>
                <w:sz w:val="24"/>
                <w:szCs w:val="24"/>
                <w:lang w:bidi="ar"/>
              </w:rPr>
            </w:pPr>
            <w:r>
              <w:rPr>
                <w:rFonts w:hint="eastAsia"/>
                <w:sz w:val="24"/>
                <w:szCs w:val="24"/>
                <w:lang w:bidi="ar"/>
              </w:rPr>
              <w:t>200-800</w:t>
            </w:r>
          </w:p>
        </w:tc>
        <w:tc>
          <w:tcPr>
            <w:tcW w:w="3766" w:type="dxa"/>
          </w:tcPr>
          <w:p>
            <w:pPr>
              <w:pStyle w:val="96"/>
              <w:rPr>
                <w:sz w:val="24"/>
                <w:szCs w:val="24"/>
              </w:rPr>
            </w:pPr>
            <w:r>
              <w:rPr>
                <w:rFonts w:hint="eastAsia"/>
                <w:sz w:val="24"/>
                <w:szCs w:val="24"/>
              </w:rPr>
              <w:t>宜综合设置。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92" w:type="dxa"/>
            <w:vMerge w:val="restart"/>
            <w:vAlign w:val="center"/>
          </w:tcPr>
          <w:p>
            <w:pPr>
              <w:pStyle w:val="96"/>
              <w:rPr>
                <w:sz w:val="24"/>
                <w:szCs w:val="24"/>
                <w:lang w:bidi="ar"/>
              </w:rPr>
            </w:pPr>
            <w:r>
              <w:rPr>
                <w:rFonts w:hint="eastAsia"/>
                <w:sz w:val="24"/>
                <w:szCs w:val="24"/>
                <w:lang w:bidi="ar"/>
              </w:rPr>
              <w:t>商业服务</w:t>
            </w:r>
          </w:p>
        </w:tc>
        <w:tc>
          <w:tcPr>
            <w:tcW w:w="1478" w:type="dxa"/>
            <w:vAlign w:val="center"/>
          </w:tcPr>
          <w:p>
            <w:pPr>
              <w:pStyle w:val="96"/>
              <w:rPr>
                <w:sz w:val="24"/>
                <w:szCs w:val="24"/>
                <w:lang w:bidi="ar"/>
              </w:rPr>
            </w:pPr>
            <w:r>
              <w:rPr>
                <w:rFonts w:hint="eastAsia"/>
                <w:sz w:val="24"/>
                <w:szCs w:val="24"/>
                <w:lang w:bidi="ar"/>
              </w:rPr>
              <w:t>小卖部</w:t>
            </w:r>
          </w:p>
        </w:tc>
        <w:tc>
          <w:tcPr>
            <w:tcW w:w="1961" w:type="dxa"/>
            <w:vAlign w:val="center"/>
          </w:tcPr>
          <w:p>
            <w:pPr>
              <w:pStyle w:val="96"/>
              <w:rPr>
                <w:sz w:val="24"/>
                <w:szCs w:val="24"/>
                <w:lang w:bidi="ar"/>
              </w:rPr>
            </w:pPr>
            <w:r>
              <w:rPr>
                <w:rFonts w:hint="eastAsia"/>
                <w:sz w:val="24"/>
                <w:szCs w:val="24"/>
                <w:lang w:bidi="ar"/>
              </w:rPr>
              <w:t>300-1000</w:t>
            </w:r>
          </w:p>
        </w:tc>
        <w:tc>
          <w:tcPr>
            <w:tcW w:w="3766" w:type="dxa"/>
          </w:tcPr>
          <w:p>
            <w:pPr>
              <w:pStyle w:val="96"/>
              <w:rPr>
                <w:sz w:val="24"/>
                <w:szCs w:val="24"/>
              </w:rPr>
            </w:pPr>
            <w:r>
              <w:rPr>
                <w:rFonts w:hint="eastAsia"/>
                <w:sz w:val="24"/>
                <w:szCs w:val="24"/>
              </w:rPr>
              <w:t>宜综合设置。各行政村设一处，村域面积较大或集中农村居民点较分散情况下可多点设置。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92" w:type="dxa"/>
            <w:vMerge w:val="continue"/>
            <w:vAlign w:val="center"/>
          </w:tcPr>
          <w:p>
            <w:pPr>
              <w:pStyle w:val="96"/>
              <w:rPr>
                <w:lang w:bidi="ar"/>
              </w:rPr>
            </w:pPr>
          </w:p>
        </w:tc>
        <w:tc>
          <w:tcPr>
            <w:tcW w:w="1478" w:type="dxa"/>
            <w:vAlign w:val="center"/>
          </w:tcPr>
          <w:p>
            <w:pPr>
              <w:pStyle w:val="96"/>
              <w:rPr>
                <w:lang w:bidi="ar"/>
              </w:rPr>
            </w:pPr>
            <w:r>
              <w:rPr>
                <w:rFonts w:hint="eastAsia"/>
                <w:lang w:bidi="ar"/>
              </w:rPr>
              <w:t>小型超市</w:t>
            </w:r>
          </w:p>
        </w:tc>
        <w:tc>
          <w:tcPr>
            <w:tcW w:w="1961" w:type="dxa"/>
            <w:vAlign w:val="center"/>
          </w:tcPr>
          <w:p>
            <w:pPr>
              <w:pStyle w:val="96"/>
              <w:rPr>
                <w:lang w:bidi="ar"/>
              </w:rPr>
            </w:pPr>
            <w:r>
              <w:rPr>
                <w:rFonts w:hint="eastAsia"/>
                <w:lang w:bidi="ar"/>
              </w:rPr>
              <w:t>500-800</w:t>
            </w:r>
          </w:p>
        </w:tc>
        <w:tc>
          <w:tcPr>
            <w:tcW w:w="3766" w:type="dxa"/>
          </w:tcPr>
          <w:p>
            <w:pPr>
              <w:pStyle w:val="96"/>
            </w:pPr>
            <w:r>
              <w:rPr>
                <w:rFonts w:hint="eastAsia"/>
              </w:rPr>
              <w:t>根据村庄规模设置。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92" w:type="dxa"/>
            <w:vMerge w:val="continue"/>
            <w:vAlign w:val="center"/>
          </w:tcPr>
          <w:p>
            <w:pPr>
              <w:pStyle w:val="96"/>
              <w:rPr>
                <w:lang w:bidi="ar"/>
              </w:rPr>
            </w:pPr>
          </w:p>
        </w:tc>
        <w:tc>
          <w:tcPr>
            <w:tcW w:w="1478" w:type="dxa"/>
            <w:vAlign w:val="center"/>
          </w:tcPr>
          <w:p>
            <w:pPr>
              <w:pStyle w:val="96"/>
              <w:rPr>
                <w:lang w:bidi="ar"/>
              </w:rPr>
            </w:pPr>
            <w:r>
              <w:rPr>
                <w:rFonts w:hint="eastAsia"/>
                <w:lang w:bidi="ar"/>
              </w:rPr>
              <w:t>餐饮、特产店</w:t>
            </w:r>
          </w:p>
        </w:tc>
        <w:tc>
          <w:tcPr>
            <w:tcW w:w="1961" w:type="dxa"/>
            <w:vAlign w:val="center"/>
          </w:tcPr>
          <w:p>
            <w:pPr>
              <w:pStyle w:val="96"/>
              <w:rPr>
                <w:lang w:bidi="ar"/>
              </w:rPr>
            </w:pPr>
            <w:r>
              <w:rPr>
                <w:rFonts w:hint="eastAsia"/>
                <w:lang w:bidi="ar"/>
              </w:rPr>
              <w:t>——</w:t>
            </w:r>
          </w:p>
        </w:tc>
        <w:tc>
          <w:tcPr>
            <w:tcW w:w="3766" w:type="dxa"/>
          </w:tcPr>
          <w:p>
            <w:pPr>
              <w:pStyle w:val="96"/>
            </w:pPr>
            <w:r>
              <w:rPr>
                <w:rFonts w:hint="eastAsia"/>
              </w:rPr>
              <w:t>根据需求设置。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9" w:hRule="atLeast"/>
        </w:trPr>
        <w:tc>
          <w:tcPr>
            <w:tcW w:w="1092" w:type="dxa"/>
            <w:vMerge w:val="continue"/>
            <w:vAlign w:val="center"/>
          </w:tcPr>
          <w:p>
            <w:pPr>
              <w:pStyle w:val="96"/>
              <w:rPr>
                <w:lang w:bidi="ar"/>
              </w:rPr>
            </w:pPr>
          </w:p>
        </w:tc>
        <w:tc>
          <w:tcPr>
            <w:tcW w:w="1478" w:type="dxa"/>
            <w:vAlign w:val="center"/>
          </w:tcPr>
          <w:p>
            <w:pPr>
              <w:pStyle w:val="96"/>
              <w:rPr>
                <w:lang w:bidi="ar"/>
              </w:rPr>
            </w:pPr>
            <w:r>
              <w:rPr>
                <w:rFonts w:hint="eastAsia"/>
                <w:lang w:bidi="ar"/>
              </w:rPr>
              <w:t>旅馆、招待所</w:t>
            </w:r>
          </w:p>
        </w:tc>
        <w:tc>
          <w:tcPr>
            <w:tcW w:w="1961" w:type="dxa"/>
            <w:vAlign w:val="center"/>
          </w:tcPr>
          <w:p>
            <w:pPr>
              <w:pStyle w:val="96"/>
              <w:rPr>
                <w:lang w:bidi="ar"/>
              </w:rPr>
            </w:pPr>
            <w:r>
              <w:rPr>
                <w:rFonts w:hint="eastAsia"/>
                <w:lang w:bidi="ar"/>
              </w:rPr>
              <w:t>——</w:t>
            </w:r>
          </w:p>
        </w:tc>
        <w:tc>
          <w:tcPr>
            <w:tcW w:w="3766" w:type="dxa"/>
          </w:tcPr>
          <w:p>
            <w:pPr>
              <w:pStyle w:val="96"/>
            </w:pPr>
            <w:r>
              <w:rPr>
                <w:rFonts w:hint="eastAsia"/>
              </w:rPr>
              <w:t>根据需求设置</w:t>
            </w:r>
          </w:p>
        </w:tc>
      </w:tr>
    </w:tbl>
    <w:p>
      <w:pPr>
        <w:spacing w:line="500" w:lineRule="exact"/>
        <w:ind w:firstLine="560"/>
        <w:rPr>
          <w:rFonts w:ascii="仿宋" w:hAnsi="仿宋" w:eastAsia="仿宋" w:cs="仿宋"/>
          <w:sz w:val="28"/>
          <w:szCs w:val="28"/>
        </w:rPr>
      </w:pPr>
      <w:r>
        <w:rPr>
          <w:rFonts w:hint="eastAsia" w:ascii="仿宋" w:hAnsi="仿宋" w:eastAsia="仿宋" w:cs="仿宋"/>
          <w:sz w:val="28"/>
          <w:szCs w:val="28"/>
        </w:rPr>
        <w:t>村庄公共服务建筑建设强度控制指标可参照下表执行。</w:t>
      </w:r>
    </w:p>
    <w:p>
      <w:pPr>
        <w:spacing w:line="500" w:lineRule="exact"/>
        <w:ind w:firstLine="560"/>
        <w:rPr>
          <w:rFonts w:ascii="仿宋" w:hAnsi="仿宋" w:eastAsia="仿宋" w:cs="仿宋"/>
          <w:sz w:val="28"/>
          <w:szCs w:val="28"/>
        </w:rPr>
      </w:pPr>
    </w:p>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1"/>
        <w:gridCol w:w="1660"/>
        <w:gridCol w:w="1660"/>
        <w:gridCol w:w="1658"/>
        <w:gridCol w:w="16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8297" w:type="dxa"/>
            <w:gridSpan w:val="5"/>
          </w:tcPr>
          <w:p>
            <w:pPr>
              <w:pStyle w:val="98"/>
              <w:rPr>
                <w:rFonts w:ascii="仿宋" w:hAnsi="仿宋" w:eastAsia="仿宋" w:cs="仿宋"/>
                <w:sz w:val="21"/>
                <w:szCs w:val="21"/>
              </w:rPr>
            </w:pPr>
            <w:r>
              <w:rPr>
                <w:rFonts w:hint="eastAsia"/>
                <w:lang w:bidi="ar"/>
              </w:rPr>
              <w:t>专栏14</w:t>
            </w:r>
            <w:r>
              <w:rPr>
                <w:lang w:bidi="ar"/>
              </w:rPr>
              <w:t>-</w:t>
            </w:r>
            <w:r>
              <w:rPr>
                <w:rFonts w:hint="eastAsia"/>
                <w:lang w:bidi="ar"/>
              </w:rPr>
              <w:t>9 公共服务建筑建设控制指标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661"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容积率</w:t>
            </w:r>
          </w:p>
        </w:tc>
        <w:tc>
          <w:tcPr>
            <w:tcW w:w="1660"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建筑密度</w:t>
            </w:r>
          </w:p>
        </w:tc>
        <w:tc>
          <w:tcPr>
            <w:tcW w:w="1660"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绿化率</w:t>
            </w:r>
          </w:p>
        </w:tc>
        <w:tc>
          <w:tcPr>
            <w:tcW w:w="1658"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建筑高度</w:t>
            </w:r>
          </w:p>
        </w:tc>
        <w:tc>
          <w:tcPr>
            <w:tcW w:w="1658"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3" w:hRule="atLeast"/>
        </w:trPr>
        <w:tc>
          <w:tcPr>
            <w:tcW w:w="1661"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＜1.5</w:t>
            </w:r>
          </w:p>
        </w:tc>
        <w:tc>
          <w:tcPr>
            <w:tcW w:w="1660"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＜40%</w:t>
            </w:r>
          </w:p>
        </w:tc>
        <w:tc>
          <w:tcPr>
            <w:tcW w:w="1660"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＞30%</w:t>
            </w:r>
          </w:p>
        </w:tc>
        <w:tc>
          <w:tcPr>
            <w:tcW w:w="1658"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w:t>
            </w:r>
            <w:r>
              <w:rPr>
                <w:rFonts w:hint="eastAsia" w:ascii="Arial" w:hAnsi="Arial" w:eastAsia="仿宋" w:cs="Arial"/>
                <w:sz w:val="24"/>
                <w:szCs w:val="24"/>
              </w:rPr>
              <w:t>15米</w:t>
            </w:r>
          </w:p>
        </w:tc>
        <w:tc>
          <w:tcPr>
            <w:tcW w:w="1658" w:type="dxa"/>
            <w:vAlign w:val="center"/>
          </w:tcPr>
          <w:p>
            <w:pPr>
              <w:spacing w:line="500" w:lineRule="exact"/>
              <w:ind w:firstLine="0" w:firstLineChars="0"/>
              <w:jc w:val="center"/>
              <w:rPr>
                <w:rFonts w:ascii="仿宋" w:hAnsi="仿宋" w:eastAsia="仿宋" w:cs="仿宋"/>
                <w:sz w:val="24"/>
                <w:szCs w:val="24"/>
              </w:rPr>
            </w:pPr>
            <w:r>
              <w:rPr>
                <w:rFonts w:hint="eastAsia" w:ascii="仿宋" w:hAnsi="仿宋" w:eastAsia="仿宋" w:cs="仿宋"/>
                <w:sz w:val="24"/>
                <w:szCs w:val="24"/>
              </w:rPr>
              <w:t>一般不超过四层</w:t>
            </w:r>
          </w:p>
        </w:tc>
      </w:tr>
    </w:tbl>
    <w:p>
      <w:pPr>
        <w:ind w:firstLine="640"/>
      </w:pPr>
      <w:r>
        <w:rPr>
          <w:rFonts w:hint="eastAsia"/>
        </w:rPr>
        <w:t>公共服务建筑间距、道路退让、边界退让须符合建筑防火消防安全和日照标准。公共服务建筑原址翻建、改造的，建筑面积不作限制，但须符合地块建设强度控制指标要求。</w:t>
      </w:r>
    </w:p>
    <w:p>
      <w:pPr>
        <w:ind w:firstLine="640"/>
      </w:pPr>
      <w:r>
        <w:rPr>
          <w:rFonts w:hint="eastAsia"/>
        </w:rPr>
        <w:t>鼓励利用村内空闲地、边角地，因地制宜，建设点式分散的小型绿地游园、活动</w:t>
      </w:r>
      <w:r>
        <w:t>广场</w:t>
      </w:r>
      <w:r>
        <w:rPr>
          <w:rFonts w:hint="eastAsia"/>
        </w:rPr>
        <w:t>、停车场等。游园、</w:t>
      </w:r>
      <w:r>
        <w:t>广场</w:t>
      </w:r>
      <w:r>
        <w:rPr>
          <w:rFonts w:hint="eastAsia"/>
        </w:rPr>
        <w:t>应</w:t>
      </w:r>
      <w:r>
        <w:t>当配备健身活动器材、儿童娱乐设施、休闲座椅等</w:t>
      </w:r>
      <w:r>
        <w:rPr>
          <w:rFonts w:hint="eastAsia"/>
        </w:rPr>
        <w:t>活动设施，</w:t>
      </w:r>
      <w:r>
        <w:t>提升村庄环境品质，增加村民休闲场所。</w:t>
      </w:r>
      <w:r>
        <w:rPr>
          <w:rFonts w:hint="eastAsia"/>
        </w:rPr>
        <w:t>村内游园、广场、停车场最大面积一般不超过2000平米；位于旅游景区或特色保护类游客较多的村庄，面积可适当增加。</w:t>
      </w:r>
    </w:p>
    <w:p>
      <w:pPr>
        <w:ind w:firstLine="640"/>
      </w:pPr>
      <w:r>
        <w:rPr>
          <w:rFonts w:hint="eastAsia"/>
        </w:rPr>
        <w:t>5</w:t>
      </w:r>
      <w:r>
        <w:t>.</w:t>
      </w:r>
      <w:r>
        <w:rPr>
          <w:rFonts w:hint="eastAsia"/>
        </w:rPr>
        <w:t>乡村产业管控</w:t>
      </w:r>
    </w:p>
    <w:p>
      <w:pPr>
        <w:ind w:firstLine="640"/>
      </w:pPr>
      <w:r>
        <w:rPr>
          <w:rFonts w:hint="eastAsia"/>
        </w:rPr>
        <w:t>乡村产业主要包括农业产业融合相关类项目和其他产业项目。</w:t>
      </w:r>
    </w:p>
    <w:p>
      <w:pPr>
        <w:ind w:firstLine="640"/>
      </w:pPr>
      <w:r>
        <w:rPr>
          <w:rFonts w:hint="eastAsia"/>
        </w:rPr>
        <w:t>农业产业融合相关类项目主要以农业农村资源为依托，拓展农业农村功能，延伸产业链条，涵盖农产品生产、加工、流通、就地消费等环节，用于农产品加工流通、农村休闲观光旅游、电子商务等混合融合的农村产业融合发展用地，土地用途可确定为工业用地、商业用地、物流仓储用地等。主要包括：农产品加工产业用地（包括农产品烘干、贮藏、保鲜、畜禽屠宰、冷链、净化、分捡、包装等产业）、生产性服务产业用地（包括农资配送、病虫害防治、农机作业服务、畜禽无害化处理与收集转运、畜禽粪污资源化利用、农产品流通、农产品仓储保鲜冷链物流设施、农业废弃物处理等产业）、生活性服务产业用地（包括乡村综合性服务网点、电商、快递、物流、商贸批发和零售等产业）、新产业新业态用地（包括“互联网+”现代农业、农产品电子商务、休闲农业和乡村旅游、民族风情旅游、红色文化与民俗文化、非遗传承、传统手工业、文化创意等新型业态用地；依托乡村资源优势，培育的农业特色小镇、地方特色产业用地）。</w:t>
      </w:r>
    </w:p>
    <w:p>
      <w:pPr>
        <w:ind w:firstLine="640"/>
      </w:pPr>
      <w:r>
        <w:rPr>
          <w:rFonts w:hint="eastAsia"/>
        </w:rPr>
        <w:t>农村产业融合相关类发展用地不得用于商品住宅、别墅、酒店、公寓等房地产开发，不得擅自改变用途或分割转让转租。</w:t>
      </w:r>
    </w:p>
    <w:p>
      <w:pPr>
        <w:ind w:firstLine="640"/>
      </w:pPr>
      <w:r>
        <w:rPr>
          <w:rFonts w:hint="eastAsia"/>
        </w:rPr>
        <w:t>农村产业融合类项目布局要求。项目规模较大、工业化程度高、分散布局配套设施成本高的产业项目要进产业园区。具有一定规模的农产品加工要向市区或有条件的乡镇城镇开发边界内集聚。直接服务种植养殖业的农产品加工、电子商务、仓储保鲜冷链、产地低温直销配送等产业，原则上应集中在行政村村庄建设边界内。利用农村本地资源开展农产品初加工、发展休闲观光旅游而必须的配套设施建设，可在不占用永久基本农田和生态保护红线、不突破国土空间规划建设用地指标等约束条件、不破坏生态环境和乡村风貌的前提下，在村庄建设边界外安排少量建设用地，实行比例和面积控制。符合环保政策的其他产业类项目，在不新建、扩建的条件下，可暂予以保留。集体经营性建设用地可以用于工业、商业、仓储、保障性租赁住房等经营性项目，不得用于房（地）产类开发、别墅类、私人会所等项目建设。</w:t>
      </w:r>
    </w:p>
    <w:p>
      <w:pPr>
        <w:ind w:firstLine="640"/>
      </w:pPr>
      <w:r>
        <w:rPr>
          <w:rFonts w:hint="eastAsia"/>
        </w:rPr>
        <w:t>本着节约集约用地的原则，乡村产业用地类项目建设强度一般符合以下规定：</w:t>
      </w:r>
    </w:p>
    <w:tbl>
      <w:tblPr>
        <w:tblStyle w:val="30"/>
        <w:tblW w:w="5000" w:type="pct"/>
        <w:tblInd w:w="0" w:type="dxa"/>
        <w:tblLayout w:type="autofit"/>
        <w:tblCellMar>
          <w:top w:w="0" w:type="dxa"/>
          <w:left w:w="108" w:type="dxa"/>
          <w:bottom w:w="0" w:type="dxa"/>
          <w:right w:w="108" w:type="dxa"/>
        </w:tblCellMar>
      </w:tblPr>
      <w:tblGrid>
        <w:gridCol w:w="1704"/>
        <w:gridCol w:w="1350"/>
        <w:gridCol w:w="2061"/>
        <w:gridCol w:w="2015"/>
        <w:gridCol w:w="1393"/>
      </w:tblGrid>
      <w:tr>
        <w:tblPrEx>
          <w:tblCellMar>
            <w:top w:w="0" w:type="dxa"/>
            <w:left w:w="108" w:type="dxa"/>
            <w:bottom w:w="0" w:type="dxa"/>
            <w:right w:w="108" w:type="dxa"/>
          </w:tblCellMar>
        </w:tblPrEx>
        <w:trPr>
          <w:trHeight w:val="373" w:hRule="atLeast"/>
        </w:trPr>
        <w:tc>
          <w:tcPr>
            <w:tcW w:w="5000" w:type="pct"/>
            <w:gridSpan w:val="5"/>
            <w:tcBorders>
              <w:top w:val="single" w:color="auto" w:sz="4" w:space="0"/>
              <w:left w:val="single" w:color="auto" w:sz="4" w:space="0"/>
              <w:bottom w:val="single" w:color="auto" w:sz="4" w:space="0"/>
              <w:right w:val="single" w:color="auto" w:sz="4" w:space="0"/>
            </w:tcBorders>
            <w:noWrap/>
            <w:vAlign w:val="center"/>
          </w:tcPr>
          <w:p>
            <w:pPr>
              <w:pStyle w:val="98"/>
            </w:pPr>
            <w:r>
              <w:rPr>
                <w:rFonts w:hint="eastAsia"/>
              </w:rPr>
              <w:t>专栏14</w:t>
            </w:r>
            <w:r>
              <w:t>-1</w:t>
            </w:r>
            <w:r>
              <w:rPr>
                <w:rFonts w:hint="eastAsia"/>
              </w:rPr>
              <w:t>0</w:t>
            </w:r>
            <w:r>
              <w:t xml:space="preserve"> </w:t>
            </w:r>
            <w:r>
              <w:rPr>
                <w:rFonts w:hint="eastAsia"/>
              </w:rPr>
              <w:t>乡村产业用地建设控制指标</w:t>
            </w:r>
          </w:p>
        </w:tc>
      </w:tr>
      <w:tr>
        <w:tblPrEx>
          <w:tblCellMar>
            <w:top w:w="0" w:type="dxa"/>
            <w:left w:w="108" w:type="dxa"/>
            <w:bottom w:w="0" w:type="dxa"/>
            <w:right w:w="108" w:type="dxa"/>
          </w:tblCellMar>
        </w:tblPrEx>
        <w:trPr>
          <w:trHeight w:val="706" w:hRule="atLeast"/>
        </w:trPr>
        <w:tc>
          <w:tcPr>
            <w:tcW w:w="1000" w:type="pct"/>
            <w:tcBorders>
              <w:top w:val="single" w:color="auto" w:sz="4" w:space="0"/>
              <w:left w:val="single" w:color="auto" w:sz="4" w:space="0"/>
              <w:bottom w:val="single" w:color="auto" w:sz="4" w:space="0"/>
              <w:right w:val="single" w:color="auto" w:sz="4" w:space="0"/>
            </w:tcBorders>
            <w:noWrap/>
            <w:vAlign w:val="center"/>
          </w:tcPr>
          <w:p>
            <w:pPr>
              <w:pStyle w:val="96"/>
              <w:rPr>
                <w:sz w:val="24"/>
                <w:szCs w:val="24"/>
              </w:rPr>
            </w:pPr>
            <w:r>
              <w:rPr>
                <w:rFonts w:hint="eastAsia"/>
                <w:sz w:val="24"/>
                <w:szCs w:val="24"/>
              </w:rPr>
              <w:t>用地类型</w:t>
            </w:r>
          </w:p>
        </w:tc>
        <w:tc>
          <w:tcPr>
            <w:tcW w:w="792" w:type="pct"/>
            <w:tcBorders>
              <w:top w:val="single" w:color="auto" w:sz="4" w:space="0"/>
              <w:left w:val="nil"/>
              <w:bottom w:val="single" w:color="auto" w:sz="4" w:space="0"/>
              <w:right w:val="single" w:color="auto" w:sz="4" w:space="0"/>
            </w:tcBorders>
            <w:vAlign w:val="center"/>
          </w:tcPr>
          <w:p>
            <w:pPr>
              <w:pStyle w:val="96"/>
              <w:rPr>
                <w:sz w:val="24"/>
                <w:szCs w:val="24"/>
              </w:rPr>
            </w:pPr>
            <w:r>
              <w:rPr>
                <w:rFonts w:hint="eastAsia"/>
                <w:sz w:val="24"/>
                <w:szCs w:val="24"/>
              </w:rPr>
              <w:t>容积率</w:t>
            </w:r>
          </w:p>
        </w:tc>
        <w:tc>
          <w:tcPr>
            <w:tcW w:w="1209" w:type="pct"/>
            <w:tcBorders>
              <w:top w:val="single" w:color="auto" w:sz="4" w:space="0"/>
              <w:left w:val="nil"/>
              <w:bottom w:val="single" w:color="auto" w:sz="4" w:space="0"/>
              <w:right w:val="single" w:color="auto" w:sz="4" w:space="0"/>
            </w:tcBorders>
            <w:vAlign w:val="center"/>
          </w:tcPr>
          <w:p>
            <w:pPr>
              <w:pStyle w:val="96"/>
              <w:rPr>
                <w:sz w:val="24"/>
                <w:szCs w:val="24"/>
              </w:rPr>
            </w:pPr>
            <w:r>
              <w:rPr>
                <w:rFonts w:hint="eastAsia"/>
                <w:sz w:val="24"/>
                <w:szCs w:val="24"/>
              </w:rPr>
              <w:t>建筑密度（系数）</w:t>
            </w:r>
          </w:p>
        </w:tc>
        <w:tc>
          <w:tcPr>
            <w:tcW w:w="1182" w:type="pct"/>
            <w:tcBorders>
              <w:top w:val="single" w:color="auto" w:sz="4" w:space="0"/>
              <w:left w:val="nil"/>
              <w:bottom w:val="single" w:color="auto" w:sz="4" w:space="0"/>
              <w:right w:val="single" w:color="auto" w:sz="4" w:space="0"/>
            </w:tcBorders>
            <w:vAlign w:val="center"/>
          </w:tcPr>
          <w:p>
            <w:pPr>
              <w:pStyle w:val="96"/>
              <w:rPr>
                <w:sz w:val="24"/>
                <w:szCs w:val="24"/>
              </w:rPr>
            </w:pPr>
            <w:r>
              <w:rPr>
                <w:rFonts w:hint="eastAsia"/>
                <w:sz w:val="24"/>
                <w:szCs w:val="24"/>
              </w:rPr>
              <w:t>办公及配套设施用地所占比例</w:t>
            </w:r>
          </w:p>
        </w:tc>
        <w:tc>
          <w:tcPr>
            <w:tcW w:w="817" w:type="pct"/>
            <w:tcBorders>
              <w:top w:val="single" w:color="auto" w:sz="4" w:space="0"/>
              <w:left w:val="nil"/>
              <w:bottom w:val="single" w:color="auto" w:sz="4" w:space="0"/>
              <w:right w:val="single" w:color="auto" w:sz="4" w:space="0"/>
            </w:tcBorders>
            <w:vAlign w:val="center"/>
          </w:tcPr>
          <w:p>
            <w:pPr>
              <w:pStyle w:val="96"/>
              <w:rPr>
                <w:sz w:val="24"/>
                <w:szCs w:val="24"/>
              </w:rPr>
            </w:pPr>
            <w:r>
              <w:rPr>
                <w:rFonts w:hint="eastAsia"/>
                <w:sz w:val="24"/>
                <w:szCs w:val="24"/>
              </w:rPr>
              <w:t>建筑限高</w:t>
            </w:r>
          </w:p>
        </w:tc>
      </w:tr>
      <w:tr>
        <w:tblPrEx>
          <w:tblCellMar>
            <w:top w:w="0" w:type="dxa"/>
            <w:left w:w="108" w:type="dxa"/>
            <w:bottom w:w="0" w:type="dxa"/>
            <w:right w:w="108" w:type="dxa"/>
          </w:tblCellMar>
        </w:tblPrEx>
        <w:trPr>
          <w:trHeight w:val="288" w:hRule="atLeast"/>
        </w:trPr>
        <w:tc>
          <w:tcPr>
            <w:tcW w:w="1000" w:type="pct"/>
            <w:tcBorders>
              <w:top w:val="nil"/>
              <w:left w:val="single" w:color="auto" w:sz="4" w:space="0"/>
              <w:bottom w:val="single" w:color="auto" w:sz="4" w:space="0"/>
              <w:right w:val="single" w:color="auto" w:sz="4" w:space="0"/>
            </w:tcBorders>
            <w:noWrap/>
            <w:vAlign w:val="center"/>
          </w:tcPr>
          <w:p>
            <w:pPr>
              <w:pStyle w:val="96"/>
              <w:rPr>
                <w:sz w:val="24"/>
                <w:szCs w:val="24"/>
              </w:rPr>
            </w:pPr>
            <w:r>
              <w:rPr>
                <w:rFonts w:hint="eastAsia"/>
                <w:sz w:val="24"/>
                <w:szCs w:val="24"/>
              </w:rPr>
              <w:t>工业</w:t>
            </w:r>
          </w:p>
        </w:tc>
        <w:tc>
          <w:tcPr>
            <w:tcW w:w="792" w:type="pct"/>
            <w:tcBorders>
              <w:top w:val="nil"/>
              <w:left w:val="nil"/>
              <w:bottom w:val="single" w:color="auto" w:sz="4" w:space="0"/>
              <w:right w:val="single" w:color="auto" w:sz="4" w:space="0"/>
            </w:tcBorders>
            <w:vAlign w:val="center"/>
          </w:tcPr>
          <w:p>
            <w:pPr>
              <w:pStyle w:val="96"/>
              <w:rPr>
                <w:sz w:val="24"/>
                <w:szCs w:val="24"/>
              </w:rPr>
            </w:pPr>
            <w:r>
              <w:rPr>
                <w:rFonts w:hint="eastAsia"/>
                <w:sz w:val="24"/>
                <w:szCs w:val="24"/>
              </w:rPr>
              <w:t>＞1.0</w:t>
            </w:r>
          </w:p>
        </w:tc>
        <w:tc>
          <w:tcPr>
            <w:tcW w:w="1209" w:type="pct"/>
            <w:tcBorders>
              <w:top w:val="nil"/>
              <w:left w:val="nil"/>
              <w:bottom w:val="single" w:color="auto" w:sz="4" w:space="0"/>
              <w:right w:val="single" w:color="auto" w:sz="4" w:space="0"/>
            </w:tcBorders>
            <w:vAlign w:val="center"/>
          </w:tcPr>
          <w:p>
            <w:pPr>
              <w:pStyle w:val="96"/>
              <w:rPr>
                <w:sz w:val="24"/>
                <w:szCs w:val="24"/>
              </w:rPr>
            </w:pPr>
            <w:r>
              <w:rPr>
                <w:rFonts w:hint="eastAsia"/>
                <w:sz w:val="24"/>
                <w:szCs w:val="24"/>
              </w:rPr>
              <w:t>＞40%</w:t>
            </w:r>
          </w:p>
        </w:tc>
        <w:tc>
          <w:tcPr>
            <w:tcW w:w="1182" w:type="pct"/>
            <w:tcBorders>
              <w:top w:val="nil"/>
              <w:left w:val="nil"/>
              <w:bottom w:val="single" w:color="auto" w:sz="4" w:space="0"/>
              <w:right w:val="single" w:color="auto" w:sz="4" w:space="0"/>
            </w:tcBorders>
            <w:vAlign w:val="center"/>
          </w:tcPr>
          <w:p>
            <w:pPr>
              <w:pStyle w:val="96"/>
              <w:rPr>
                <w:sz w:val="24"/>
                <w:szCs w:val="24"/>
              </w:rPr>
            </w:pPr>
            <w:r>
              <w:rPr>
                <w:rFonts w:hint="eastAsia"/>
                <w:sz w:val="24"/>
                <w:szCs w:val="24"/>
              </w:rPr>
              <w:t>＜7%</w:t>
            </w:r>
          </w:p>
        </w:tc>
        <w:tc>
          <w:tcPr>
            <w:tcW w:w="817" w:type="pct"/>
            <w:tcBorders>
              <w:top w:val="nil"/>
              <w:left w:val="nil"/>
              <w:bottom w:val="single" w:color="auto" w:sz="4" w:space="0"/>
              <w:right w:val="single" w:color="auto" w:sz="4" w:space="0"/>
            </w:tcBorders>
            <w:vAlign w:val="center"/>
          </w:tcPr>
          <w:p>
            <w:pPr>
              <w:pStyle w:val="96"/>
              <w:rPr>
                <w:sz w:val="24"/>
                <w:szCs w:val="24"/>
              </w:rPr>
            </w:pPr>
            <w:r>
              <w:rPr>
                <w:rFonts w:hint="eastAsia"/>
                <w:sz w:val="24"/>
                <w:szCs w:val="24"/>
              </w:rPr>
              <w:t>＜15</w:t>
            </w:r>
          </w:p>
        </w:tc>
      </w:tr>
      <w:tr>
        <w:tblPrEx>
          <w:tblCellMar>
            <w:top w:w="0" w:type="dxa"/>
            <w:left w:w="108" w:type="dxa"/>
            <w:bottom w:w="0" w:type="dxa"/>
            <w:right w:w="108" w:type="dxa"/>
          </w:tblCellMar>
        </w:tblPrEx>
        <w:trPr>
          <w:trHeight w:val="288" w:hRule="atLeast"/>
        </w:trPr>
        <w:tc>
          <w:tcPr>
            <w:tcW w:w="1000" w:type="pct"/>
            <w:tcBorders>
              <w:top w:val="nil"/>
              <w:left w:val="single" w:color="auto" w:sz="4" w:space="0"/>
              <w:bottom w:val="single" w:color="auto" w:sz="4" w:space="0"/>
              <w:right w:val="single" w:color="auto" w:sz="4" w:space="0"/>
            </w:tcBorders>
            <w:noWrap/>
            <w:vAlign w:val="center"/>
          </w:tcPr>
          <w:p>
            <w:pPr>
              <w:pStyle w:val="96"/>
              <w:rPr>
                <w:sz w:val="24"/>
                <w:szCs w:val="24"/>
              </w:rPr>
            </w:pPr>
            <w:r>
              <w:rPr>
                <w:rFonts w:hint="eastAsia"/>
                <w:sz w:val="24"/>
                <w:szCs w:val="24"/>
              </w:rPr>
              <w:t>仓储</w:t>
            </w:r>
          </w:p>
        </w:tc>
        <w:tc>
          <w:tcPr>
            <w:tcW w:w="792" w:type="pct"/>
            <w:tcBorders>
              <w:top w:val="nil"/>
              <w:left w:val="nil"/>
              <w:bottom w:val="single" w:color="auto" w:sz="4" w:space="0"/>
              <w:right w:val="single" w:color="auto" w:sz="4" w:space="0"/>
            </w:tcBorders>
            <w:vAlign w:val="center"/>
          </w:tcPr>
          <w:p>
            <w:pPr>
              <w:pStyle w:val="96"/>
              <w:rPr>
                <w:sz w:val="24"/>
                <w:szCs w:val="24"/>
              </w:rPr>
            </w:pPr>
            <w:r>
              <w:rPr>
                <w:rFonts w:hint="eastAsia"/>
                <w:sz w:val="24"/>
                <w:szCs w:val="24"/>
              </w:rPr>
              <w:t>＞1.0</w:t>
            </w:r>
          </w:p>
        </w:tc>
        <w:tc>
          <w:tcPr>
            <w:tcW w:w="1209" w:type="pct"/>
            <w:tcBorders>
              <w:top w:val="nil"/>
              <w:left w:val="nil"/>
              <w:bottom w:val="single" w:color="auto" w:sz="4" w:space="0"/>
              <w:right w:val="single" w:color="auto" w:sz="4" w:space="0"/>
            </w:tcBorders>
            <w:vAlign w:val="center"/>
          </w:tcPr>
          <w:p>
            <w:pPr>
              <w:pStyle w:val="96"/>
              <w:rPr>
                <w:sz w:val="24"/>
                <w:szCs w:val="24"/>
              </w:rPr>
            </w:pPr>
            <w:r>
              <w:rPr>
                <w:rFonts w:hint="eastAsia"/>
                <w:sz w:val="24"/>
                <w:szCs w:val="24"/>
              </w:rPr>
              <w:t>＞40%</w:t>
            </w:r>
          </w:p>
        </w:tc>
        <w:tc>
          <w:tcPr>
            <w:tcW w:w="1182" w:type="pct"/>
            <w:tcBorders>
              <w:top w:val="nil"/>
              <w:left w:val="nil"/>
              <w:bottom w:val="single" w:color="auto" w:sz="4" w:space="0"/>
              <w:right w:val="single" w:color="auto" w:sz="4" w:space="0"/>
            </w:tcBorders>
            <w:vAlign w:val="center"/>
          </w:tcPr>
          <w:p>
            <w:pPr>
              <w:pStyle w:val="96"/>
              <w:rPr>
                <w:sz w:val="24"/>
                <w:szCs w:val="24"/>
              </w:rPr>
            </w:pPr>
            <w:r>
              <w:rPr>
                <w:rFonts w:hint="eastAsia"/>
                <w:sz w:val="24"/>
                <w:szCs w:val="24"/>
              </w:rPr>
              <w:t>＜7%</w:t>
            </w:r>
          </w:p>
        </w:tc>
        <w:tc>
          <w:tcPr>
            <w:tcW w:w="817" w:type="pct"/>
            <w:tcBorders>
              <w:top w:val="nil"/>
              <w:left w:val="nil"/>
              <w:bottom w:val="single" w:color="auto" w:sz="4" w:space="0"/>
              <w:right w:val="single" w:color="auto" w:sz="4" w:space="0"/>
            </w:tcBorders>
            <w:vAlign w:val="center"/>
          </w:tcPr>
          <w:p>
            <w:pPr>
              <w:pStyle w:val="96"/>
              <w:rPr>
                <w:sz w:val="24"/>
                <w:szCs w:val="24"/>
              </w:rPr>
            </w:pPr>
            <w:r>
              <w:rPr>
                <w:rFonts w:hint="eastAsia"/>
                <w:sz w:val="24"/>
                <w:szCs w:val="24"/>
              </w:rPr>
              <w:t>＜15</w:t>
            </w:r>
          </w:p>
        </w:tc>
      </w:tr>
      <w:tr>
        <w:tblPrEx>
          <w:tblCellMar>
            <w:top w:w="0" w:type="dxa"/>
            <w:left w:w="108" w:type="dxa"/>
            <w:bottom w:w="0" w:type="dxa"/>
            <w:right w:w="108" w:type="dxa"/>
          </w:tblCellMar>
        </w:tblPrEx>
        <w:trPr>
          <w:trHeight w:val="288" w:hRule="atLeast"/>
        </w:trPr>
        <w:tc>
          <w:tcPr>
            <w:tcW w:w="1000" w:type="pct"/>
            <w:tcBorders>
              <w:top w:val="nil"/>
              <w:left w:val="single" w:color="auto" w:sz="4" w:space="0"/>
              <w:bottom w:val="single" w:color="auto" w:sz="4" w:space="0"/>
              <w:right w:val="single" w:color="auto" w:sz="4" w:space="0"/>
            </w:tcBorders>
            <w:noWrap/>
            <w:vAlign w:val="center"/>
          </w:tcPr>
          <w:p>
            <w:pPr>
              <w:pStyle w:val="96"/>
              <w:rPr>
                <w:sz w:val="24"/>
                <w:szCs w:val="24"/>
              </w:rPr>
            </w:pPr>
            <w:r>
              <w:rPr>
                <w:rFonts w:hint="eastAsia"/>
                <w:sz w:val="24"/>
                <w:szCs w:val="24"/>
              </w:rPr>
              <w:t>商业</w:t>
            </w:r>
          </w:p>
        </w:tc>
        <w:tc>
          <w:tcPr>
            <w:tcW w:w="792" w:type="pct"/>
            <w:tcBorders>
              <w:top w:val="nil"/>
              <w:left w:val="nil"/>
              <w:bottom w:val="single" w:color="auto" w:sz="4" w:space="0"/>
              <w:right w:val="single" w:color="auto" w:sz="4" w:space="0"/>
            </w:tcBorders>
            <w:vAlign w:val="center"/>
          </w:tcPr>
          <w:p>
            <w:pPr>
              <w:pStyle w:val="96"/>
              <w:rPr>
                <w:sz w:val="24"/>
                <w:szCs w:val="24"/>
              </w:rPr>
            </w:pPr>
            <w:r>
              <w:rPr>
                <w:rFonts w:hint="eastAsia"/>
                <w:sz w:val="24"/>
                <w:szCs w:val="24"/>
              </w:rPr>
              <w:t>＜1.5</w:t>
            </w:r>
          </w:p>
        </w:tc>
        <w:tc>
          <w:tcPr>
            <w:tcW w:w="1209" w:type="pct"/>
            <w:tcBorders>
              <w:top w:val="nil"/>
              <w:left w:val="nil"/>
              <w:bottom w:val="single" w:color="auto" w:sz="4" w:space="0"/>
              <w:right w:val="single" w:color="auto" w:sz="4" w:space="0"/>
            </w:tcBorders>
            <w:vAlign w:val="center"/>
          </w:tcPr>
          <w:p>
            <w:pPr>
              <w:pStyle w:val="96"/>
              <w:rPr>
                <w:sz w:val="24"/>
                <w:szCs w:val="24"/>
              </w:rPr>
            </w:pPr>
            <w:r>
              <w:rPr>
                <w:rFonts w:hint="eastAsia"/>
                <w:sz w:val="24"/>
                <w:szCs w:val="24"/>
              </w:rPr>
              <w:t>＜40%</w:t>
            </w:r>
          </w:p>
        </w:tc>
        <w:tc>
          <w:tcPr>
            <w:tcW w:w="1182" w:type="pct"/>
            <w:tcBorders>
              <w:top w:val="nil"/>
              <w:left w:val="nil"/>
              <w:bottom w:val="single" w:color="auto" w:sz="4" w:space="0"/>
              <w:right w:val="single" w:color="auto" w:sz="4" w:space="0"/>
            </w:tcBorders>
            <w:vAlign w:val="center"/>
          </w:tcPr>
          <w:p>
            <w:pPr>
              <w:pStyle w:val="96"/>
              <w:rPr>
                <w:sz w:val="24"/>
                <w:szCs w:val="24"/>
              </w:rPr>
            </w:pPr>
            <w:r>
              <w:rPr>
                <w:rFonts w:hint="eastAsia"/>
                <w:sz w:val="24"/>
                <w:szCs w:val="24"/>
              </w:rPr>
              <w:t>＜20%</w:t>
            </w:r>
          </w:p>
        </w:tc>
        <w:tc>
          <w:tcPr>
            <w:tcW w:w="817" w:type="pct"/>
            <w:tcBorders>
              <w:top w:val="nil"/>
              <w:left w:val="nil"/>
              <w:bottom w:val="single" w:color="auto" w:sz="4" w:space="0"/>
              <w:right w:val="single" w:color="auto" w:sz="4" w:space="0"/>
            </w:tcBorders>
            <w:vAlign w:val="center"/>
          </w:tcPr>
          <w:p>
            <w:pPr>
              <w:pStyle w:val="96"/>
              <w:rPr>
                <w:sz w:val="24"/>
                <w:szCs w:val="24"/>
              </w:rPr>
            </w:pPr>
            <w:r>
              <w:rPr>
                <w:rFonts w:hint="eastAsia"/>
                <w:sz w:val="24"/>
                <w:szCs w:val="24"/>
              </w:rPr>
              <w:t>＜15</w:t>
            </w:r>
          </w:p>
        </w:tc>
      </w:tr>
      <w:tr>
        <w:tblPrEx>
          <w:tblCellMar>
            <w:top w:w="0" w:type="dxa"/>
            <w:left w:w="108" w:type="dxa"/>
            <w:bottom w:w="0" w:type="dxa"/>
            <w:right w:w="108" w:type="dxa"/>
          </w:tblCellMar>
        </w:tblPrEx>
        <w:trPr>
          <w:trHeight w:val="288" w:hRule="atLeast"/>
        </w:trPr>
        <w:tc>
          <w:tcPr>
            <w:tcW w:w="1000" w:type="pct"/>
            <w:tcBorders>
              <w:top w:val="nil"/>
              <w:left w:val="single" w:color="auto" w:sz="4" w:space="0"/>
              <w:bottom w:val="single" w:color="auto" w:sz="4" w:space="0"/>
              <w:right w:val="single" w:color="auto" w:sz="4" w:space="0"/>
            </w:tcBorders>
            <w:noWrap/>
            <w:vAlign w:val="center"/>
          </w:tcPr>
          <w:p>
            <w:pPr>
              <w:pStyle w:val="96"/>
              <w:rPr>
                <w:sz w:val="24"/>
                <w:szCs w:val="24"/>
              </w:rPr>
            </w:pPr>
            <w:r>
              <w:rPr>
                <w:rFonts w:hint="eastAsia"/>
                <w:sz w:val="24"/>
                <w:szCs w:val="24"/>
              </w:rPr>
              <w:t>其他</w:t>
            </w:r>
          </w:p>
        </w:tc>
        <w:tc>
          <w:tcPr>
            <w:tcW w:w="792" w:type="pct"/>
            <w:tcBorders>
              <w:top w:val="nil"/>
              <w:left w:val="nil"/>
              <w:bottom w:val="single" w:color="auto" w:sz="4" w:space="0"/>
              <w:right w:val="single" w:color="auto" w:sz="4" w:space="0"/>
            </w:tcBorders>
            <w:vAlign w:val="center"/>
          </w:tcPr>
          <w:p>
            <w:pPr>
              <w:pStyle w:val="96"/>
              <w:rPr>
                <w:sz w:val="24"/>
                <w:szCs w:val="24"/>
              </w:rPr>
            </w:pPr>
            <w:r>
              <w:rPr>
                <w:rFonts w:hint="eastAsia"/>
                <w:sz w:val="24"/>
                <w:szCs w:val="24"/>
              </w:rPr>
              <w:t>＜1.5</w:t>
            </w:r>
          </w:p>
        </w:tc>
        <w:tc>
          <w:tcPr>
            <w:tcW w:w="1209" w:type="pct"/>
            <w:tcBorders>
              <w:top w:val="nil"/>
              <w:left w:val="nil"/>
              <w:bottom w:val="single" w:color="auto" w:sz="4" w:space="0"/>
              <w:right w:val="single" w:color="auto" w:sz="4" w:space="0"/>
            </w:tcBorders>
            <w:vAlign w:val="center"/>
          </w:tcPr>
          <w:p>
            <w:pPr>
              <w:pStyle w:val="96"/>
              <w:rPr>
                <w:sz w:val="24"/>
                <w:szCs w:val="24"/>
              </w:rPr>
            </w:pPr>
            <w:r>
              <w:rPr>
                <w:rFonts w:hint="eastAsia"/>
                <w:sz w:val="24"/>
                <w:szCs w:val="24"/>
              </w:rPr>
              <w:t>＜35%</w:t>
            </w:r>
          </w:p>
        </w:tc>
        <w:tc>
          <w:tcPr>
            <w:tcW w:w="1182" w:type="pct"/>
            <w:tcBorders>
              <w:top w:val="nil"/>
              <w:left w:val="nil"/>
              <w:bottom w:val="single" w:color="auto" w:sz="4" w:space="0"/>
              <w:right w:val="single" w:color="auto" w:sz="4" w:space="0"/>
            </w:tcBorders>
            <w:vAlign w:val="center"/>
          </w:tcPr>
          <w:p>
            <w:pPr>
              <w:pStyle w:val="96"/>
              <w:rPr>
                <w:sz w:val="24"/>
                <w:szCs w:val="24"/>
              </w:rPr>
            </w:pPr>
            <w:r>
              <w:rPr>
                <w:rFonts w:hint="eastAsia"/>
                <w:sz w:val="24"/>
                <w:szCs w:val="24"/>
              </w:rPr>
              <w:t>＞35%</w:t>
            </w:r>
          </w:p>
        </w:tc>
        <w:tc>
          <w:tcPr>
            <w:tcW w:w="817" w:type="pct"/>
            <w:tcBorders>
              <w:top w:val="nil"/>
              <w:left w:val="nil"/>
              <w:bottom w:val="single" w:color="auto" w:sz="4" w:space="0"/>
              <w:right w:val="single" w:color="auto" w:sz="4" w:space="0"/>
            </w:tcBorders>
            <w:vAlign w:val="center"/>
          </w:tcPr>
          <w:p>
            <w:pPr>
              <w:pStyle w:val="96"/>
              <w:rPr>
                <w:sz w:val="24"/>
                <w:szCs w:val="24"/>
              </w:rPr>
            </w:pPr>
            <w:r>
              <w:rPr>
                <w:rFonts w:hint="eastAsia"/>
                <w:sz w:val="24"/>
                <w:szCs w:val="24"/>
              </w:rPr>
              <w:t>＜15</w:t>
            </w:r>
          </w:p>
        </w:tc>
      </w:tr>
    </w:tbl>
    <w:p>
      <w:pPr>
        <w:ind w:firstLine="640"/>
      </w:pPr>
      <w:r>
        <w:rPr>
          <w:rFonts w:hint="eastAsia"/>
        </w:rPr>
        <w:t>对于远离村庄居民点的产业类项目，在符合国家相关规定且不影响周边相邻方相关权益的情况下，建筑限高可适当提高，最高不超过24（不包括）米。畜牧养殖类产业须符合环保有关政策规定。</w:t>
      </w:r>
    </w:p>
    <w:p>
      <w:pPr>
        <w:ind w:firstLine="640"/>
      </w:pPr>
      <w:r>
        <w:rPr>
          <w:rFonts w:hint="eastAsia"/>
        </w:rPr>
        <w:t>产业类项目建筑间距、建筑退界须满消防规范规定，不影响周边相邻权益的日照采光要求。</w:t>
      </w:r>
    </w:p>
    <w:p>
      <w:pPr>
        <w:ind w:firstLine="640"/>
      </w:pPr>
      <w:r>
        <w:rPr>
          <w:rFonts w:hint="eastAsia"/>
        </w:rPr>
        <w:t>鼓励产业空间用地实行复合利用。他产业用地在符合环保、安全条件下，用地性质可兼容。</w:t>
      </w:r>
    </w:p>
    <w:p>
      <w:pPr>
        <w:ind w:firstLine="640"/>
      </w:pPr>
      <w:r>
        <w:rPr>
          <w:rFonts w:hint="eastAsia"/>
        </w:rPr>
        <w:t>镇国土空间规划或村庄规划中的“预留机动指标”，可用于保障暂时无法确定位置的村民居住、农村公共公益设施以及零星公散的农（矿）产品初加工、乡村文旅设施、农村新产业新业态等一二三产业融合发展用地需求。机动指标不得超过本镇预留机动指标。</w:t>
      </w:r>
    </w:p>
    <w:p>
      <w:pPr>
        <w:ind w:firstLine="640"/>
      </w:pPr>
      <w:r>
        <w:rPr>
          <w:rFonts w:hint="eastAsia"/>
        </w:rPr>
        <w:t>村庄规划确定的“留白”用地，经村民委会员讨论、镇乡村规划委员会审议通过，报自然资源和规划局同意后，可按程序报建相应项目。</w:t>
      </w:r>
    </w:p>
    <w:p>
      <w:pPr>
        <w:ind w:firstLine="640"/>
      </w:pPr>
      <w:r>
        <w:rPr>
          <w:rFonts w:hint="eastAsia"/>
        </w:rPr>
        <w:t>使用预留机动指标或留白用地的，除符合国土产业相关政策外，经县规划委员会审议。</w:t>
      </w:r>
    </w:p>
    <w:p>
      <w:pPr>
        <w:ind w:firstLine="640"/>
      </w:pPr>
      <w:r>
        <w:rPr>
          <w:rFonts w:hint="eastAsia"/>
        </w:rPr>
        <w:t>在产业类项目实施过程中，在不突破镇国土空间规划或村庄规划强制性指标情况下，为实现更好管控，可独立编制地块管控图则，报县规划委员会审议同意后实施。</w:t>
      </w:r>
    </w:p>
    <w:p>
      <w:pPr>
        <w:ind w:firstLine="640"/>
      </w:pPr>
      <w:r>
        <w:rPr>
          <w:rFonts w:hint="eastAsia"/>
        </w:rPr>
        <w:t>使用按程序使用“留白”或“预留机动指标”的，待用地手续批准后，更新国土空间“一张图”。</w:t>
      </w:r>
    </w:p>
    <w:p>
      <w:pPr>
        <w:pStyle w:val="4"/>
      </w:pPr>
      <w:r>
        <w:rPr>
          <w:rFonts w:hint="eastAsia"/>
        </w:rPr>
        <w:t>历史文化保护</w:t>
      </w:r>
    </w:p>
    <w:p>
      <w:pPr>
        <w:ind w:firstLine="640"/>
      </w:pPr>
      <w:r>
        <w:rPr>
          <w:rFonts w:hint="eastAsia"/>
        </w:rPr>
        <w:t>落实市、乡镇规划确定的历史文化保护控制线，加强历史文化要素管控。</w:t>
      </w:r>
    </w:p>
    <w:tbl>
      <w:tblPr>
        <w:tblStyle w:val="3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34"/>
        <w:gridCol w:w="64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5000" w:type="pct"/>
            <w:gridSpan w:val="2"/>
            <w:vAlign w:val="center"/>
          </w:tcPr>
          <w:p>
            <w:pPr>
              <w:pStyle w:val="98"/>
              <w:rPr>
                <w:lang w:val="zh-CN"/>
              </w:rPr>
            </w:pPr>
            <w:r>
              <w:rPr>
                <w:rFonts w:hint="eastAsia"/>
                <w:lang w:val="zh-CN"/>
              </w:rPr>
              <w:t>专栏14</w:t>
            </w:r>
            <w:r>
              <w:rPr>
                <w:lang w:val="zh-CN"/>
              </w:rPr>
              <w:t>-1</w:t>
            </w:r>
            <w:r>
              <w:rPr>
                <w:rFonts w:hint="eastAsia"/>
                <w:lang w:val="zh-CN"/>
              </w:rPr>
              <w:t>1</w:t>
            </w:r>
            <w:r>
              <w:rPr>
                <w:lang w:val="zh-CN"/>
              </w:rPr>
              <w:t xml:space="preserve"> </w:t>
            </w:r>
            <w:r>
              <w:rPr>
                <w:rFonts w:hint="eastAsia"/>
                <w:lang w:val="zh-CN"/>
              </w:rPr>
              <w:t>历史文化要素管控要求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rPr>
                <w:sz w:val="24"/>
                <w:szCs w:val="24"/>
                <w:lang w:val="zh-CN"/>
              </w:rPr>
            </w:pPr>
            <w:r>
              <w:rPr>
                <w:rFonts w:hint="eastAsia"/>
                <w:sz w:val="24"/>
                <w:szCs w:val="24"/>
                <w:lang w:val="zh-CN"/>
              </w:rPr>
              <w:t>历史文化要素</w:t>
            </w:r>
          </w:p>
        </w:tc>
        <w:tc>
          <w:tcPr>
            <w:tcW w:w="3807" w:type="pct"/>
            <w:vAlign w:val="center"/>
          </w:tcPr>
          <w:p>
            <w:pPr>
              <w:pStyle w:val="96"/>
              <w:rPr>
                <w:sz w:val="24"/>
                <w:szCs w:val="24"/>
                <w:lang w:val="zh-CN"/>
              </w:rPr>
            </w:pPr>
            <w:r>
              <w:rPr>
                <w:rFonts w:hint="eastAsia"/>
                <w:sz w:val="24"/>
                <w:szCs w:val="24"/>
                <w:lang w:val="zh-CN"/>
              </w:rPr>
              <w:t>管控要求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rPr>
                <w:sz w:val="24"/>
                <w:szCs w:val="24"/>
                <w:lang w:val="zh-CN"/>
              </w:rPr>
            </w:pPr>
            <w:r>
              <w:rPr>
                <w:rFonts w:hint="eastAsia"/>
                <w:sz w:val="24"/>
                <w:szCs w:val="24"/>
                <w:lang w:val="zh-CN"/>
              </w:rPr>
              <w:t>文物保护单位</w:t>
            </w:r>
          </w:p>
        </w:tc>
        <w:tc>
          <w:tcPr>
            <w:tcW w:w="3807" w:type="pct"/>
            <w:vAlign w:val="center"/>
          </w:tcPr>
          <w:p>
            <w:pPr>
              <w:pStyle w:val="96"/>
              <w:jc w:val="left"/>
              <w:rPr>
                <w:sz w:val="24"/>
                <w:szCs w:val="24"/>
                <w:lang w:val="zh-CN"/>
              </w:rPr>
            </w:pPr>
            <w:r>
              <w:rPr>
                <w:rFonts w:hint="eastAsia"/>
                <w:sz w:val="24"/>
                <w:szCs w:val="24"/>
                <w:lang w:val="zh-CN"/>
              </w:rPr>
              <w:t>各级文物保护单位的保护范围和建设控制地带以及地下文物埋藏区的界线，以各级人民政府公布的保护范围、建设控制地带为准。应严格按照《文物法》相关规定和程序进行保护和修缮。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rPr>
                <w:sz w:val="24"/>
                <w:szCs w:val="24"/>
                <w:lang w:val="zh-CN"/>
              </w:rPr>
            </w:pPr>
            <w:r>
              <w:rPr>
                <w:rFonts w:hint="eastAsia"/>
                <w:sz w:val="24"/>
                <w:szCs w:val="24"/>
                <w:lang w:val="zh-CN"/>
              </w:rPr>
              <w:t>历史建筑</w:t>
            </w:r>
          </w:p>
        </w:tc>
        <w:tc>
          <w:tcPr>
            <w:tcW w:w="3807" w:type="pct"/>
            <w:vAlign w:val="center"/>
          </w:tcPr>
          <w:p>
            <w:pPr>
              <w:pStyle w:val="96"/>
              <w:jc w:val="left"/>
              <w:rPr>
                <w:sz w:val="24"/>
                <w:szCs w:val="24"/>
                <w:lang w:val="zh-CN"/>
              </w:rPr>
            </w:pPr>
            <w:r>
              <w:rPr>
                <w:rFonts w:hint="eastAsia"/>
                <w:sz w:val="24"/>
                <w:szCs w:val="24"/>
                <w:lang w:val="zh-CN"/>
              </w:rPr>
              <w:t>1）采取整体保护、严格保护的措施，确保整体风貌的完整性。</w:t>
            </w:r>
          </w:p>
          <w:p>
            <w:pPr>
              <w:pStyle w:val="96"/>
              <w:jc w:val="left"/>
              <w:rPr>
                <w:sz w:val="24"/>
                <w:szCs w:val="24"/>
                <w:lang w:val="zh-CN"/>
              </w:rPr>
            </w:pPr>
            <w:r>
              <w:rPr>
                <w:rFonts w:hint="eastAsia"/>
                <w:sz w:val="24"/>
                <w:szCs w:val="24"/>
                <w:lang w:val="zh-CN"/>
              </w:rPr>
              <w:t>2）树立保护标志和其他保护设施，明确保护范围界线。</w:t>
            </w:r>
          </w:p>
          <w:p>
            <w:pPr>
              <w:pStyle w:val="96"/>
              <w:jc w:val="left"/>
              <w:rPr>
                <w:sz w:val="24"/>
                <w:szCs w:val="24"/>
                <w:lang w:val="zh-CN"/>
              </w:rPr>
            </w:pPr>
            <w:r>
              <w:rPr>
                <w:rFonts w:hint="eastAsia"/>
                <w:sz w:val="24"/>
                <w:szCs w:val="24"/>
                <w:lang w:val="zh-CN"/>
              </w:rPr>
              <w:t>3）保护传统的街巷格局，保护街巷空间的比例、尺度和材质。</w:t>
            </w:r>
          </w:p>
          <w:p>
            <w:pPr>
              <w:pStyle w:val="96"/>
              <w:jc w:val="left"/>
              <w:rPr>
                <w:sz w:val="24"/>
                <w:szCs w:val="24"/>
                <w:lang w:val="zh-CN"/>
              </w:rPr>
            </w:pPr>
            <w:r>
              <w:rPr>
                <w:rFonts w:hint="eastAsia"/>
                <w:sz w:val="24"/>
                <w:szCs w:val="24"/>
                <w:lang w:val="zh-CN"/>
              </w:rPr>
              <w:t>4）建筑处理应尊重历史，力求保持原貌，严格控制建筑形式、高度、体量、材料、色彩及比例、尺度。</w:t>
            </w:r>
          </w:p>
          <w:p>
            <w:pPr>
              <w:pStyle w:val="96"/>
              <w:jc w:val="left"/>
              <w:rPr>
                <w:sz w:val="24"/>
                <w:szCs w:val="24"/>
                <w:lang w:val="zh-CN"/>
              </w:rPr>
            </w:pPr>
            <w:r>
              <w:rPr>
                <w:rFonts w:hint="eastAsia"/>
                <w:sz w:val="24"/>
                <w:szCs w:val="24"/>
                <w:lang w:val="zh-CN"/>
              </w:rPr>
              <w:t>5）传统建筑一般外部按历史风貌要求保护修缮，内部可进行既符合传统特点又适应现代生活需要的更新改造，改善使用条件。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6" w:hRule="atLeast"/>
        </w:trPr>
        <w:tc>
          <w:tcPr>
            <w:tcW w:w="1193" w:type="pct"/>
            <w:vAlign w:val="center"/>
          </w:tcPr>
          <w:p>
            <w:pPr>
              <w:pStyle w:val="96"/>
              <w:rPr>
                <w:sz w:val="24"/>
                <w:szCs w:val="24"/>
                <w:lang w:val="zh-CN"/>
              </w:rPr>
            </w:pPr>
            <w:r>
              <w:rPr>
                <w:rFonts w:hint="eastAsia"/>
                <w:sz w:val="24"/>
                <w:szCs w:val="24"/>
                <w:lang w:val="zh-CN"/>
              </w:rPr>
              <w:t>古井、古桥、古树</w:t>
            </w:r>
          </w:p>
        </w:tc>
        <w:tc>
          <w:tcPr>
            <w:tcW w:w="3807" w:type="pct"/>
            <w:vAlign w:val="center"/>
          </w:tcPr>
          <w:p>
            <w:pPr>
              <w:pStyle w:val="96"/>
              <w:jc w:val="left"/>
              <w:rPr>
                <w:sz w:val="24"/>
                <w:szCs w:val="24"/>
                <w:lang w:val="zh-CN"/>
              </w:rPr>
            </w:pPr>
            <w:r>
              <w:rPr>
                <w:rFonts w:hint="eastAsia"/>
                <w:sz w:val="24"/>
                <w:szCs w:val="24"/>
                <w:lang w:val="zh-CN"/>
              </w:rPr>
              <w:t>对古井、古桥、古树等环境要素实行“挂牌”保护。</w:t>
            </w:r>
          </w:p>
        </w:tc>
      </w:tr>
    </w:tbl>
    <w:p>
      <w:pPr>
        <w:ind w:firstLine="640"/>
      </w:pPr>
      <w:r>
        <w:rPr>
          <w:rFonts w:hint="eastAsia"/>
        </w:rPr>
        <w:t>切实加强保护。保护范围内禁止新建其他无关建（构）筑物；不得损害历史文化街区、历史建筑、传统村落的原真性和完整性；不得破坏历史文化街区的历史肌理、历史街巷、空间尺度和景观环境 ,以及古井、古桥、古树等环境要素。</w:t>
      </w:r>
    </w:p>
    <w:p>
      <w:pPr>
        <w:ind w:firstLine="640"/>
      </w:pPr>
      <w:r>
        <w:rPr>
          <w:rFonts w:hint="eastAsia"/>
        </w:rPr>
        <w:t>全面修缮维护。采用“绣花”“织补”等微改造方式，充分利用修缮技艺传承人和传统工匠,结合建筑原有形制、结构、材料，运用传统工艺和现代技术，进行修缮加固，保护、延续传统建筑组群的传统格局特征和风貌特色，让不同时代的建筑完整保留城乡发展变迁的脉络，体现价值特色。</w:t>
      </w:r>
    </w:p>
    <w:p>
      <w:pPr>
        <w:ind w:firstLine="640"/>
      </w:pPr>
      <w:r>
        <w:rPr>
          <w:rFonts w:hint="eastAsia"/>
        </w:rPr>
        <w:t>合理开发利用。在风貌协调区，积极引进新业态，利用市场营销的手段，将新兴产业和传统商业引入历史文化街区和历史建筑中，把历史文化街区开发成为保存城乡记忆、延续历史文脉、滋养地域风格的重要载体和平台。坚持“留、改、拆”并举，以“保护、利用、提升”为主的原则,严防大拆大建、拆真建假。在保持历史建筑原有外观风貌、典型构件的基础上，改善内部空间品质，合理增设厨卫设施、适老化设施、消防安全设施等，通过加建、改建和添加设施等方式使之适应现代生产生活需要。保护开发传统村落,建设文化活动场地、老年活动场所、中小学社会实践教育基地、文创基地等公共服务设施，促进生态农业、乡村旅游发展，推动乡村振兴。系统梳理文物资源，深入挖掘其历史价值和旅游资源禀赋，将文物保护与乡村建设统筹结合。鼓励历史文化名城名镇博物馆建设，有条件的名村设立村史馆，通过专项陈列展览和各类教育活动，强化基本公共文化服务功能。</w:t>
      </w:r>
    </w:p>
    <w:p>
      <w:pPr>
        <w:pStyle w:val="4"/>
      </w:pPr>
      <w:r>
        <w:t>防灾减灾管控</w:t>
      </w:r>
    </w:p>
    <w:p>
      <w:pPr>
        <w:ind w:firstLine="640"/>
      </w:pPr>
      <w:r>
        <w:t>加强村庄消防设施建设。根据村庄规模、区域条件、经济发展状况等因素设置消防点。消防点应满足如下要求：</w:t>
      </w:r>
      <w:r>
        <w:rPr>
          <w:rFonts w:hint="eastAsia"/>
        </w:rPr>
        <w:t>有固定的地点和房屋建筑，并有明显标识。配备消防车、手抬机动泵、水枪、水带、灭火器、破拆工具等全部或部分消防设备。设置火警电话和消防值班人员。有专职、义务或志愿消防队员。</w:t>
      </w:r>
    </w:p>
    <w:p>
      <w:pPr>
        <w:ind w:firstLine="640"/>
      </w:pPr>
      <w:r>
        <w:t>村庄应配备消防水源、消防设备。消防水源可结合村庄实际环境条件，充分利用给水管网、水池、坑塘天然水源和消防水池等作为消防水源。充分利用满足一定灭火要求的农用车、洒水车、灌溉机动泵等农用设施作为消防装备的补充。</w:t>
      </w:r>
    </w:p>
    <w:p>
      <w:pPr>
        <w:ind w:firstLine="640"/>
      </w:pPr>
      <w:r>
        <w:t>各行政村应建立相应的消防安全组织，确定消防安全人员，制定防火安全制度，进行消防安全检查，开展消防安全教育，落实消防安全责任，配备必要的消防力量和消防器材装备。</w:t>
      </w:r>
    </w:p>
    <w:p>
      <w:pPr>
        <w:ind w:firstLine="640"/>
      </w:pPr>
      <w:r>
        <w:t>村庄范围内的建筑一般按照7度抗震烈度设防；供水供电等生命线工程按照8度抗震烈度设防，确保震时供水、供电、通讯、医务室等生命线工程设施的有效供给。</w:t>
      </w:r>
    </w:p>
    <w:p>
      <w:pPr>
        <w:ind w:firstLine="640"/>
      </w:pPr>
      <w:r>
        <w:t>村庄防洪及排涝标准按10年一遇设防。</w:t>
      </w:r>
    </w:p>
    <w:p>
      <w:pPr>
        <w:ind w:firstLine="640"/>
      </w:pPr>
      <w:r>
        <w:t>农村建设项目不得在地质灾害危险区、洪涝灾害频发区、河道管理范围内、地下采空区和地展断裂带等危险区域建设，应当避让蓄滞洪区等低洼地区。</w:t>
      </w:r>
    </w:p>
    <w:p>
      <w:pPr>
        <w:pStyle w:val="4"/>
      </w:pPr>
      <w:r>
        <w:t>环境综合整治管控</w:t>
      </w:r>
    </w:p>
    <w:p>
      <w:pPr>
        <w:ind w:firstLine="640"/>
      </w:pPr>
      <w:r>
        <w:t>加大村庄交通、供水、绿化、公共照明、医疗、垃圾处理、厕所、污水处理等基础设施和公共服务设施建设与整治，持续改善农村人居环境。</w:t>
      </w:r>
    </w:p>
    <w:p>
      <w:pPr>
        <w:ind w:firstLine="640"/>
      </w:pPr>
      <w:r>
        <w:t>围绕村庄道路、建筑风貌、村庄院落、坑塘水面、残垣断壁、环境卫生等重点，开展村庄环境综合整治，构建干净、整洁、有序的乡村空间，提升村庄整体品位。</w:t>
      </w:r>
    </w:p>
    <w:p>
      <w:pPr>
        <w:ind w:firstLine="640"/>
      </w:pPr>
      <w:r>
        <w:t>遵循村庄现有道路网格局，尊重原有道路肌理，避免大拆大建，对村庄道路进行改造、整治和提升。对破损的路面进行修整，对未硬化道路进行硬化，对未亮化的道路进行亮化，对空中凌乱线路进行整治整合提升，敷设各类管线，同步建设燃气、给、排水设施，营造良好的村庄交通环境，方便村民生活与出行。</w:t>
      </w:r>
    </w:p>
    <w:p>
      <w:pPr>
        <w:ind w:firstLine="640"/>
      </w:pPr>
      <w:r>
        <w:t>持续开展农村4G网络优化，加快推进农村5G网络建设，加强农村广电和移动基站建设与维护，提升农村网络覆盖质量，打造数字乡村、智慧乡村。</w:t>
      </w:r>
    </w:p>
    <w:p>
      <w:pPr>
        <w:ind w:firstLine="640"/>
      </w:pPr>
      <w:r>
        <w:t>重点清理侵街占道、私搭乱建等违章建筑和残垣断壁，街巷两侧禁止随意堆放物品，柴草、杂物、建筑材料等。有效利用村内空闲地、边角地等闲置建设用地，开展水旁、路旁、宅旁、村旁绿化，沿村庄主要道路种植乔木、灌木、地被等乡土植物，对重要节点进行整治绿化，建设小微游园、小微广场，提升村庄“颜值”。</w:t>
      </w:r>
    </w:p>
    <w:p>
      <w:pPr>
        <w:ind w:firstLine="640"/>
      </w:pPr>
      <w:r>
        <w:t>加大农村环卫设施建设，每村70-100米规划设置一个垃圾筒，集中设置一个垃圾收集点，建立一支专业环卫保洁队全，实现农村垃圾“村收、镇运、市处”。</w:t>
      </w:r>
    </w:p>
    <w:p>
      <w:pPr>
        <w:ind w:firstLine="640"/>
      </w:pPr>
      <w:r>
        <w:t>加快农村污水管网建设，因村制宜，整治废旧坑塘、河道、黑臭水体。推动生活污水治理、厕所粪污与绿色农业发展有机结合，提升农村治污水平。</w:t>
      </w:r>
    </w:p>
    <w:p>
      <w:pPr>
        <w:ind w:firstLine="640"/>
      </w:pPr>
      <w:r>
        <w:t>农村生活污水不得直接外排，宜经过化粪池或沼气池等污水处理设施处理达标后排放。</w:t>
      </w:r>
    </w:p>
    <w:p>
      <w:pPr>
        <w:ind w:firstLine="640"/>
      </w:pPr>
      <w:r>
        <w:t>围绕“去危房、整旧房、治违房、提风貌”的目的，重点开展房前屋后整治提升。对与村庄整体风貌不完全一致的建筑外观加以整修；对影响环境的危旧房和乱搭乱建的附房进行整治和拆除，消除安全隐患，提升村容村貌。</w:t>
      </w:r>
    </w:p>
    <w:p>
      <w:pPr>
        <w:ind w:firstLine="640"/>
      </w:pPr>
    </w:p>
    <w:p>
      <w:pPr>
        <w:pStyle w:val="2"/>
        <w:spacing w:before="489" w:after="489"/>
      </w:pPr>
      <w:bookmarkStart w:id="238" w:name="_Toc207114525"/>
      <w:r>
        <w:rPr>
          <w:rFonts w:hint="eastAsia"/>
        </w:rPr>
        <w:t>规划实施</w:t>
      </w:r>
      <w:bookmarkEnd w:id="238"/>
    </w:p>
    <w:p>
      <w:pPr>
        <w:pStyle w:val="3"/>
      </w:pPr>
      <w:r>
        <w:rPr>
          <w:rFonts w:hint="eastAsia"/>
        </w:rPr>
        <w:t>行动计划制定</w:t>
      </w:r>
    </w:p>
    <w:p>
      <w:pPr>
        <w:pStyle w:val="4"/>
        <w:spacing w:before="195" w:after="195"/>
      </w:pPr>
      <w:bookmarkStart w:id="239" w:name="_Hlk142927673"/>
      <w:bookmarkStart w:id="240" w:name="_Toc122364916"/>
      <w:bookmarkStart w:id="241" w:name="_Toc122362506"/>
      <w:bookmarkStart w:id="242" w:name="_Toc126054148"/>
      <w:r>
        <w:rPr>
          <w:rFonts w:hint="eastAsia"/>
        </w:rPr>
        <w:t>近期实施重点任务</w:t>
      </w:r>
    </w:p>
    <w:bookmarkEnd w:id="239"/>
    <w:p>
      <w:pPr>
        <w:spacing w:before="65"/>
        <w:ind w:firstLine="640"/>
      </w:pPr>
      <w:r>
        <w:rPr>
          <w:rFonts w:hint="eastAsia"/>
        </w:rPr>
        <w:t>编制国土空间五年行动规划和年度实施计划。衔接十五五规划，加强对于国土空间规划目标任务的分解落实和实施推动，统筹各类专项行动，落实重大项目推进要求，滚动编制近期行动以及年度实施计划。</w:t>
      </w:r>
    </w:p>
    <w:bookmarkEnd w:id="240"/>
    <w:bookmarkEnd w:id="241"/>
    <w:bookmarkEnd w:id="242"/>
    <w:p>
      <w:pPr>
        <w:pStyle w:val="4"/>
        <w:spacing w:before="195" w:after="195"/>
      </w:pPr>
      <w:bookmarkStart w:id="243" w:name="_Hlk142927680"/>
      <w:r>
        <w:rPr>
          <w:rFonts w:hint="eastAsia"/>
        </w:rPr>
        <w:t>重点项目</w:t>
      </w:r>
    </w:p>
    <w:bookmarkEnd w:id="243"/>
    <w:p>
      <w:pPr>
        <w:pStyle w:val="5"/>
        <w:numPr>
          <w:ilvl w:val="3"/>
          <w:numId w:val="3"/>
        </w:numPr>
        <w:spacing w:before="97" w:after="97"/>
        <w:ind w:firstLine="640"/>
      </w:pPr>
      <w:bookmarkStart w:id="244" w:name="_Hlk167092865"/>
      <w:r>
        <w:rPr>
          <w:rFonts w:hint="eastAsia"/>
        </w:rPr>
        <w:t>生态修复类项目</w:t>
      </w:r>
    </w:p>
    <w:p>
      <w:pPr>
        <w:spacing w:before="65"/>
        <w:ind w:firstLine="640"/>
      </w:pPr>
      <w:bookmarkStart w:id="245" w:name="_Hlk209016498"/>
      <w:r>
        <w:rPr>
          <w:rFonts w:hint="eastAsia"/>
        </w:rPr>
        <w:t>重点</w:t>
      </w:r>
      <w:r>
        <w:t>推进</w:t>
      </w:r>
      <w:r>
        <w:rPr>
          <w:rFonts w:hint="eastAsia"/>
        </w:rPr>
        <w:t>余关镇生态水系修复项目、内乡县默河水环境综合治理项目、内乡县牧珠沟河综合整治工程、余关镇矿山生态修复项目、余关镇农业面源污染治理项目等5个生态修复类项目</w:t>
      </w:r>
      <w:bookmarkEnd w:id="245"/>
      <w:r>
        <w:rPr>
          <w:rFonts w:hint="eastAsia"/>
        </w:rPr>
        <w:t>。</w:t>
      </w:r>
    </w:p>
    <w:p>
      <w:pPr>
        <w:pStyle w:val="5"/>
        <w:numPr>
          <w:ilvl w:val="3"/>
          <w:numId w:val="3"/>
        </w:numPr>
        <w:spacing w:before="97" w:after="97"/>
        <w:ind w:firstLine="640"/>
      </w:pPr>
      <w:r>
        <w:rPr>
          <w:rFonts w:hint="eastAsia"/>
        </w:rPr>
        <w:t>水利类项目</w:t>
      </w:r>
    </w:p>
    <w:p>
      <w:pPr>
        <w:ind w:firstLine="640"/>
      </w:pPr>
      <w:bookmarkStart w:id="246" w:name="_Hlk209016569"/>
      <w:r>
        <w:rPr>
          <w:rFonts w:hint="eastAsia"/>
        </w:rPr>
        <w:t>重点推进内乡县岗庙垭水库工程等1个水利类项目</w:t>
      </w:r>
      <w:bookmarkEnd w:id="246"/>
      <w:r>
        <w:rPr>
          <w:rFonts w:hint="eastAsia"/>
        </w:rPr>
        <w:t>。</w:t>
      </w:r>
    </w:p>
    <w:p>
      <w:pPr>
        <w:pStyle w:val="5"/>
        <w:numPr>
          <w:ilvl w:val="3"/>
          <w:numId w:val="3"/>
        </w:numPr>
        <w:spacing w:before="97" w:after="97"/>
        <w:ind w:firstLine="640"/>
      </w:pPr>
      <w:r>
        <w:rPr>
          <w:rFonts w:hint="eastAsia"/>
        </w:rPr>
        <w:t>土地整治类项目</w:t>
      </w:r>
    </w:p>
    <w:p>
      <w:pPr>
        <w:spacing w:before="65"/>
        <w:ind w:firstLine="640"/>
      </w:pPr>
      <w:r>
        <w:rPr>
          <w:rFonts w:hint="eastAsia"/>
        </w:rPr>
        <w:t>重点</w:t>
      </w:r>
      <w:r>
        <w:t>推进</w:t>
      </w:r>
      <w:r>
        <w:rPr>
          <w:rFonts w:hint="eastAsia"/>
        </w:rPr>
        <w:t>余关镇全域土地综合整治项目等1个土地整治类项目。</w:t>
      </w:r>
    </w:p>
    <w:p>
      <w:pPr>
        <w:pStyle w:val="5"/>
        <w:numPr>
          <w:ilvl w:val="3"/>
          <w:numId w:val="3"/>
        </w:numPr>
        <w:spacing w:before="97" w:after="97"/>
        <w:ind w:firstLine="640"/>
      </w:pPr>
      <w:r>
        <w:rPr>
          <w:rFonts w:hint="eastAsia"/>
        </w:rPr>
        <w:t>产业发展类项目</w:t>
      </w:r>
    </w:p>
    <w:p>
      <w:pPr>
        <w:spacing w:before="65"/>
        <w:ind w:firstLine="640"/>
      </w:pPr>
      <w:bookmarkStart w:id="247" w:name="_Hlk209016585"/>
      <w:r>
        <w:rPr>
          <w:rFonts w:hint="eastAsia"/>
        </w:rPr>
        <w:t>重点</w:t>
      </w:r>
      <w:r>
        <w:t>推进</w:t>
      </w:r>
      <w:r>
        <w:rPr>
          <w:rFonts w:hint="eastAsia"/>
        </w:rPr>
        <w:t>牧原集团新型环保智能生猪养殖及屠宰加工项目、牧原产业园建设项目、内乡牧原智慧物流园、内乡县牧原肉食综合体建设项目（二期）、内乡县牧原全产业链融合发展示范区建设项目、内乡县余关镇旅游研学一体化项目、内乡县南阳众鼎君辉工程建设有限公司麦子山文旅康养项目、新能源产业园、内乡县农产品骨干冷链物流基地建设项目（一期）、内乡县农业投资公司高标准数字化种养循环示范区、屠宰生猪建设项目、内乡县汇民牧业专业合作社年出栏1500万只肉鸡养殖项目乡村振兴项目、余关镇农产品林果中草药初加工项目等13个产业发展类项目</w:t>
      </w:r>
      <w:bookmarkEnd w:id="247"/>
      <w:r>
        <w:rPr>
          <w:rFonts w:hint="eastAsia"/>
        </w:rPr>
        <w:t>。</w:t>
      </w:r>
    </w:p>
    <w:p>
      <w:pPr>
        <w:pStyle w:val="5"/>
        <w:numPr>
          <w:ilvl w:val="3"/>
          <w:numId w:val="3"/>
        </w:numPr>
        <w:spacing w:before="97" w:after="97"/>
        <w:ind w:firstLine="640"/>
      </w:pPr>
      <w:r>
        <w:rPr>
          <w:rFonts w:hint="eastAsia"/>
        </w:rPr>
        <w:t>基础设施类项目</w:t>
      </w:r>
    </w:p>
    <w:p>
      <w:pPr>
        <w:spacing w:before="65"/>
        <w:ind w:firstLine="640"/>
      </w:pPr>
      <w:bookmarkStart w:id="248" w:name="_Hlk209016596"/>
      <w:r>
        <w:rPr>
          <w:rFonts w:hint="eastAsia"/>
        </w:rPr>
        <w:t>重点推进S243湍源至S329交叉口段公路改建工程、S243线余关报事滩至南环路段改建工程、S243线与S329交叉口至邓州界段公路改建工程、S329镇平内乡界至赤眉段公路改建工程、内乡县省道S249道路升级改造工程、内乡县长信路北延项目、王店拐子李至余关石庙公路改建工程、内乡县东王庄马仓线至胡刘农村公路改建项目、内乡县农村公路提档提质工程、内乡县乡村振兴通村联网道路、内乡县余关子育至赤眉福山农村公路改建项目、内乡县新能源电动汽车公共充电智能服务网络基础设施建设项目、南阳内乡林湍220千伏输变电工程、南阳内乡输变电工程临湍黄悚村站、内乡县城区供水管网改扩建及城乡一体化供水工程项目、内乡县打磨岗灌区续建配套及节水改造项目、内乡县默河水环境综合治理项目（余关镇污水厂）等</w:t>
      </w:r>
      <w:r>
        <w:t>1</w:t>
      </w:r>
      <w:r>
        <w:rPr>
          <w:rFonts w:hint="eastAsia"/>
        </w:rPr>
        <w:t>7个基础设施类项目</w:t>
      </w:r>
      <w:bookmarkEnd w:id="248"/>
      <w:r>
        <w:rPr>
          <w:rFonts w:hint="eastAsia"/>
        </w:rPr>
        <w:t>。</w:t>
      </w:r>
    </w:p>
    <w:p>
      <w:pPr>
        <w:pStyle w:val="5"/>
        <w:numPr>
          <w:ilvl w:val="3"/>
          <w:numId w:val="3"/>
        </w:numPr>
        <w:spacing w:before="97" w:after="97"/>
        <w:ind w:firstLine="640"/>
      </w:pPr>
      <w:r>
        <w:rPr>
          <w:rFonts w:hint="eastAsia"/>
        </w:rPr>
        <w:t>能源类项目</w:t>
      </w:r>
    </w:p>
    <w:p>
      <w:pPr>
        <w:ind w:firstLine="640"/>
      </w:pPr>
      <w:bookmarkStart w:id="249" w:name="_Hlk209016609"/>
      <w:r>
        <w:rPr>
          <w:rFonts w:hint="eastAsia"/>
        </w:rPr>
        <w:t>重点推进内乡县牧原肉食产业综合体一期5.8MW分布式光伏发电项目、牧原内乡源网荷储一体化风电项目等2个能源类项目</w:t>
      </w:r>
      <w:bookmarkEnd w:id="249"/>
      <w:r>
        <w:rPr>
          <w:rFonts w:hint="eastAsia"/>
        </w:rPr>
        <w:t>。</w:t>
      </w:r>
    </w:p>
    <w:p>
      <w:pPr>
        <w:pStyle w:val="5"/>
        <w:numPr>
          <w:ilvl w:val="3"/>
          <w:numId w:val="3"/>
        </w:numPr>
        <w:spacing w:before="97" w:after="97"/>
        <w:ind w:firstLine="640"/>
      </w:pPr>
      <w:r>
        <w:rPr>
          <w:rFonts w:hint="eastAsia"/>
        </w:rPr>
        <w:t>其他类项目</w:t>
      </w:r>
    </w:p>
    <w:p>
      <w:pPr>
        <w:spacing w:before="65"/>
        <w:ind w:firstLine="640"/>
      </w:pPr>
      <w:bookmarkStart w:id="250" w:name="_Hlk209016618"/>
      <w:r>
        <w:rPr>
          <w:rFonts w:hint="eastAsia"/>
        </w:rPr>
        <w:t>重点推进余关镇公墓建设项目、余关富润祥等2个其他类项目</w:t>
      </w:r>
      <w:bookmarkEnd w:id="250"/>
      <w:r>
        <w:rPr>
          <w:rFonts w:hint="eastAsia"/>
        </w:rPr>
        <w:t>。</w:t>
      </w:r>
    </w:p>
    <w:bookmarkEnd w:id="244"/>
    <w:p>
      <w:pPr>
        <w:pStyle w:val="3"/>
      </w:pPr>
      <w:r>
        <w:rPr>
          <w:rFonts w:hint="eastAsia"/>
        </w:rPr>
        <w:t>规划全周期实施监督管理</w:t>
      </w:r>
    </w:p>
    <w:p>
      <w:pPr>
        <w:pStyle w:val="4"/>
        <w:spacing w:before="195" w:after="195"/>
      </w:pPr>
      <w:bookmarkStart w:id="251" w:name="_Hlk142927625"/>
      <w:r>
        <w:rPr>
          <w:rFonts w:hint="eastAsia"/>
        </w:rPr>
        <w:t>提升规划信息化水平</w:t>
      </w:r>
    </w:p>
    <w:bookmarkEnd w:id="251"/>
    <w:p>
      <w:pPr>
        <w:spacing w:before="65"/>
        <w:ind w:firstLine="640"/>
        <w:rPr>
          <w:lang w:bidi="ar"/>
        </w:rPr>
      </w:pPr>
      <w:r>
        <w:rPr>
          <w:rFonts w:hint="eastAsia"/>
          <w:lang w:bidi="ar"/>
        </w:rPr>
        <w:t>形成国土空间规划数据库，数据成果应同步上报，纳入国土空间规划“一张图”实施监督信息系统。</w:t>
      </w:r>
    </w:p>
    <w:p>
      <w:pPr>
        <w:pStyle w:val="4"/>
        <w:spacing w:before="195" w:after="195"/>
      </w:pPr>
      <w:bookmarkStart w:id="252" w:name="_Hlk142927630"/>
      <w:r>
        <w:rPr>
          <w:rFonts w:hint="eastAsia"/>
        </w:rPr>
        <w:t>落实国土空间用途管制制度</w:t>
      </w:r>
    </w:p>
    <w:bookmarkEnd w:id="252"/>
    <w:p>
      <w:pPr>
        <w:spacing w:before="65"/>
        <w:ind w:firstLine="640"/>
        <w:rPr>
          <w:lang w:bidi="ar"/>
        </w:rPr>
      </w:pPr>
      <w:r>
        <w:rPr>
          <w:rFonts w:hint="eastAsia"/>
          <w:lang w:bidi="ar"/>
        </w:rPr>
        <w:t>对所有国土空间分区分类实施用途管制，落实分区准入、用途转换等管制规则。城镇开发边界内实行“详细规划+规划许可”；城镇开发边界外按照主导用途分区，实行“详细规划+规划许可”和“约束指标+分区准入”。严格耕地、自然保护地、生态保护红线、生态敏感脆弱区等特殊区域的用途管制。</w:t>
      </w:r>
    </w:p>
    <w:p>
      <w:pPr>
        <w:pStyle w:val="4"/>
        <w:spacing w:before="195" w:after="195"/>
      </w:pPr>
      <w:bookmarkStart w:id="253" w:name="_Hlk142927634"/>
      <w:r>
        <w:rPr>
          <w:rFonts w:hint="eastAsia"/>
        </w:rPr>
        <w:t>加强规划实施监测评估</w:t>
      </w:r>
    </w:p>
    <w:bookmarkEnd w:id="253"/>
    <w:p>
      <w:pPr>
        <w:spacing w:before="65"/>
        <w:ind w:firstLine="640"/>
        <w:rPr>
          <w:lang w:bidi="ar"/>
        </w:rPr>
      </w:pPr>
      <w:r>
        <w:rPr>
          <w:rFonts w:hint="eastAsia"/>
          <w:lang w:bidi="ar"/>
        </w:rPr>
        <w:t>建立规划实施评估指标体系和“体检评估”机制，落实国土空间规划监测评估预警系统，为城市开展城市体检和规划全周期管理提供支撑。</w:t>
      </w:r>
    </w:p>
    <w:p>
      <w:pPr>
        <w:pStyle w:val="50"/>
        <w:spacing w:line="240" w:lineRule="auto"/>
        <w:ind w:firstLine="0" w:firstLineChars="0"/>
        <w:rPr>
          <w:rFonts w:hint="default"/>
          <w:lang w:val="en"/>
        </w:rPr>
      </w:pPr>
      <w:r>
        <w:rPr>
          <w:rFonts w:hint="default"/>
          <w:lang w:val="en"/>
        </w:rPr>
        <w:drawing>
          <wp:inline distT="0" distB="0" distL="114300" distR="114300">
            <wp:extent cx="5273040" cy="7451725"/>
            <wp:effectExtent l="0" t="0" r="3810" b="15875"/>
            <wp:docPr id="6" name="图片 6" descr="10-余关镇-01-镇域国土空间用地现状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6" name="图片 6" descr="10-余关镇-01-镇域国土空间用地现状图"/>
                    <pic:cNvPicPr>
                      <a:picLocks noChangeAspect="true"/>
                    </pic:cNvPicPr>
                  </pic:nvPicPr>
                  <pic:blipFill>
                    <a:blip r:embed="rId14"/>
                    <a:stretch>
                      <a:fillRect/>
                    </a:stretch>
                  </pic:blipFill>
                  <pic:spPr>
                    <a:xfrm>
                      <a:off x="0" y="0"/>
                      <a:ext cx="5273040" cy="7451725"/>
                    </a:xfrm>
                    <a:prstGeom prst="rect">
                      <a:avLst/>
                    </a:prstGeom>
                  </pic:spPr>
                </pic:pic>
              </a:graphicData>
            </a:graphic>
          </wp:inline>
        </w:drawing>
      </w:r>
      <w:r>
        <w:rPr>
          <w:rFonts w:hint="default"/>
          <w:lang w:val="en"/>
        </w:rPr>
        <w:drawing>
          <wp:inline distT="0" distB="0" distL="114300" distR="114300">
            <wp:extent cx="5273040" cy="7451725"/>
            <wp:effectExtent l="0" t="0" r="3810" b="15875"/>
            <wp:docPr id="5" name="图片 5" descr="10-余关镇-02-镇域国土空间总体格局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5" name="图片 5" descr="10-余关镇-02-镇域国土空间总体格局规划图"/>
                    <pic:cNvPicPr>
                      <a:picLocks noChangeAspect="true"/>
                    </pic:cNvPicPr>
                  </pic:nvPicPr>
                  <pic:blipFill>
                    <a:blip r:embed="rId15"/>
                    <a:stretch>
                      <a:fillRect/>
                    </a:stretch>
                  </pic:blipFill>
                  <pic:spPr>
                    <a:xfrm>
                      <a:off x="0" y="0"/>
                      <a:ext cx="5273040" cy="7451725"/>
                    </a:xfrm>
                    <a:prstGeom prst="rect">
                      <a:avLst/>
                    </a:prstGeom>
                  </pic:spPr>
                </pic:pic>
              </a:graphicData>
            </a:graphic>
          </wp:inline>
        </w:drawing>
      </w:r>
      <w:r>
        <w:rPr>
          <w:rFonts w:hint="default"/>
          <w:lang w:val="en"/>
        </w:rPr>
        <w:drawing>
          <wp:inline distT="0" distB="0" distL="114300" distR="114300">
            <wp:extent cx="5273040" cy="7451725"/>
            <wp:effectExtent l="0" t="0" r="3810" b="15875"/>
            <wp:docPr id="4" name="图片 4" descr="10-余关镇-03-镇域国土空间控制线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4" name="图片 4" descr="10-余关镇-03-镇域国土空间控制线规划图"/>
                    <pic:cNvPicPr>
                      <a:picLocks noChangeAspect="true"/>
                    </pic:cNvPicPr>
                  </pic:nvPicPr>
                  <pic:blipFill>
                    <a:blip r:embed="rId16"/>
                    <a:stretch>
                      <a:fillRect/>
                    </a:stretch>
                  </pic:blipFill>
                  <pic:spPr>
                    <a:xfrm>
                      <a:off x="0" y="0"/>
                      <a:ext cx="5273040" cy="7451725"/>
                    </a:xfrm>
                    <a:prstGeom prst="rect">
                      <a:avLst/>
                    </a:prstGeom>
                  </pic:spPr>
                </pic:pic>
              </a:graphicData>
            </a:graphic>
          </wp:inline>
        </w:drawing>
      </w:r>
      <w:r>
        <w:rPr>
          <w:rFonts w:hint="default"/>
          <w:lang w:val="en"/>
        </w:rPr>
        <w:drawing>
          <wp:inline distT="0" distB="0" distL="114300" distR="114300">
            <wp:extent cx="5273040" cy="7451725"/>
            <wp:effectExtent l="0" t="0" r="3810" b="15875"/>
            <wp:docPr id="3" name="图片 3" descr="10-余关镇-04-镇域村庄布点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3" name="图片 3" descr="10-余关镇-04-镇域村庄布点规划图"/>
                    <pic:cNvPicPr>
                      <a:picLocks noChangeAspect="true"/>
                    </pic:cNvPicPr>
                  </pic:nvPicPr>
                  <pic:blipFill>
                    <a:blip r:embed="rId17"/>
                    <a:stretch>
                      <a:fillRect/>
                    </a:stretch>
                  </pic:blipFill>
                  <pic:spPr>
                    <a:xfrm>
                      <a:off x="0" y="0"/>
                      <a:ext cx="5273040" cy="7451725"/>
                    </a:xfrm>
                    <a:prstGeom prst="rect">
                      <a:avLst/>
                    </a:prstGeom>
                  </pic:spPr>
                </pic:pic>
              </a:graphicData>
            </a:graphic>
          </wp:inline>
        </w:drawing>
      </w:r>
      <w:r>
        <w:rPr>
          <w:rFonts w:hint="default"/>
          <w:lang w:val="en"/>
        </w:rPr>
        <w:drawing>
          <wp:inline distT="0" distB="0" distL="114300" distR="114300">
            <wp:extent cx="5273040" cy="7451725"/>
            <wp:effectExtent l="0" t="0" r="3810" b="15875"/>
            <wp:docPr id="2" name="图片 2" descr="10-余关镇-05-镇域综合交通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2" name="图片 2" descr="10-余关镇-05-镇域综合交通规划图"/>
                    <pic:cNvPicPr>
                      <a:picLocks noChangeAspect="true"/>
                    </pic:cNvPicPr>
                  </pic:nvPicPr>
                  <pic:blipFill>
                    <a:blip r:embed="rId18"/>
                    <a:stretch>
                      <a:fillRect/>
                    </a:stretch>
                  </pic:blipFill>
                  <pic:spPr>
                    <a:xfrm>
                      <a:off x="0" y="0"/>
                      <a:ext cx="5273040" cy="7451725"/>
                    </a:xfrm>
                    <a:prstGeom prst="rect">
                      <a:avLst/>
                    </a:prstGeom>
                  </pic:spPr>
                </pic:pic>
              </a:graphicData>
            </a:graphic>
          </wp:inline>
        </w:drawing>
      </w:r>
      <w:bookmarkStart w:id="254" w:name="_GoBack"/>
      <w:r>
        <w:rPr>
          <w:rFonts w:hint="default"/>
          <w:lang w:val="en"/>
        </w:rPr>
        <w:drawing>
          <wp:inline distT="0" distB="0" distL="114300" distR="114300">
            <wp:extent cx="5273040" cy="7451725"/>
            <wp:effectExtent l="0" t="0" r="3810" b="15875"/>
            <wp:docPr id="1" name="图片 1" descr="10-余关镇-06-镇区国土空间用地规划图"/>
            <wp:cNvGraphicFramePr>
              <a:graphicFrameLocks xmlns:a="http://schemas.openxmlformats.org/drawingml/2006/main" noChangeAspect="true"/>
            </wp:cNvGraphicFramePr>
            <a:graphic xmlns:a="http://schemas.openxmlformats.org/drawingml/2006/main">
              <a:graphicData uri="http://schemas.openxmlformats.org/drawingml/2006/picture">
                <pic:pic xmlns:pic="http://schemas.openxmlformats.org/drawingml/2006/picture">
                  <pic:nvPicPr>
                    <pic:cNvPr id="1" name="图片 1" descr="10-余关镇-06-镇区国土空间用地规划图"/>
                    <pic:cNvPicPr>
                      <a:picLocks noChangeAspect="true"/>
                    </pic:cNvPicPr>
                  </pic:nvPicPr>
                  <pic:blipFill>
                    <a:blip r:embed="rId19"/>
                    <a:stretch>
                      <a:fillRect/>
                    </a:stretch>
                  </pic:blipFill>
                  <pic:spPr>
                    <a:xfrm>
                      <a:off x="0" y="0"/>
                      <a:ext cx="5273040" cy="7451725"/>
                    </a:xfrm>
                    <a:prstGeom prst="rect">
                      <a:avLst/>
                    </a:prstGeom>
                  </pic:spPr>
                </pic:pic>
              </a:graphicData>
            </a:graphic>
          </wp:inline>
        </w:drawing>
      </w:r>
      <w:bookmarkEnd w:id="254"/>
    </w:p>
    <w:sectPr>
      <w:pgSz w:w="11907" w:h="16839"/>
      <w:pgMar w:top="1440" w:right="1800" w:bottom="1440" w:left="1800" w:header="851" w:footer="680" w:gutter="0"/>
      <w:cols w:space="1135"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方正书宋_GBK"/>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Nimbus Roman No9 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altName w:val="DejaVu Sans"/>
    <w:panose1 w:val="020F0502020204030204"/>
    <w:charset w:val="00"/>
    <w:family w:val="swiss"/>
    <w:pitch w:val="default"/>
    <w:sig w:usb0="00000000" w:usb1="00000000" w:usb2="00000001" w:usb3="00000000" w:csb0="0000019F" w:csb1="00000000"/>
  </w:font>
  <w:font w:name="仿宋_GB2312">
    <w:panose1 w:val="02010609030101010101"/>
    <w:charset w:val="86"/>
    <w:family w:val="modern"/>
    <w:pitch w:val="default"/>
    <w:sig w:usb0="00000001" w:usb1="080E0000" w:usb2="00000000" w:usb3="00000000" w:csb0="00040000" w:csb1="00000000"/>
  </w:font>
  <w:font w:name="方正小标宋简体">
    <w:panose1 w:val="02000000000000000000"/>
    <w:charset w:val="86"/>
    <w:family w:val="auto"/>
    <w:pitch w:val="default"/>
    <w:sig w:usb0="A00002BF" w:usb1="184F6CFA" w:usb2="00000012"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Cambria">
    <w:altName w:val="FreeSerif"/>
    <w:panose1 w:val="02040503050406030204"/>
    <w:charset w:val="00"/>
    <w:family w:val="roman"/>
    <w:pitch w:val="default"/>
    <w:sig w:usb0="00000000" w:usb1="00000000" w:usb2="00000000" w:usb3="00000000" w:csb0="0000019F" w:csb1="00000000"/>
  </w:font>
  <w:font w:name="楷体">
    <w:panose1 w:val="02010609060101010101"/>
    <w:charset w:val="86"/>
    <w:family w:val="modern"/>
    <w:pitch w:val="default"/>
    <w:sig w:usb0="800002BF" w:usb1="38CF7CFA" w:usb2="00000016" w:usb3="00000000" w:csb0="00040001" w:csb1="00000000"/>
  </w:font>
  <w:font w:name="等线">
    <w:altName w:val="华文仿宋"/>
    <w:panose1 w:val="02010600030101010101"/>
    <w:charset w:val="86"/>
    <w:family w:val="auto"/>
    <w:pitch w:val="default"/>
    <w:sig w:usb0="00000000" w:usb1="00000000" w:usb2="00000016" w:usb3="00000000" w:csb0="0004000F" w:csb1="00000000"/>
  </w:font>
  <w:font w:name="等线 Light">
    <w:altName w:val="汉仪仿宋S"/>
    <w:panose1 w:val="00000000000000000000"/>
    <w:charset w:val="86"/>
    <w:family w:val="auto"/>
    <w:pitch w:val="default"/>
    <w:sig w:usb0="00000000" w:usb1="00000000" w:usb2="00000016" w:usb3="00000000" w:csb0="0004000F" w:csb1="00000000"/>
  </w:font>
  <w:font w:name="微软雅黑">
    <w:altName w:val="黑体"/>
    <w:panose1 w:val="020B0503020204020204"/>
    <w:charset w:val="86"/>
    <w:family w:val="swiss"/>
    <w:pitch w:val="default"/>
    <w:sig w:usb0="00000000" w:usb1="00000000" w:usb2="00000016" w:usb3="00000000" w:csb0="0004001F" w:csb1="00000000"/>
  </w:font>
  <w:font w:name="仿宋">
    <w:panose1 w:val="02010609060101010101"/>
    <w:charset w:val="86"/>
    <w:family w:val="modern"/>
    <w:pitch w:val="default"/>
    <w:sig w:usb0="800002BF" w:usb1="38CF7CFA" w:usb2="00000016" w:usb3="00000000" w:csb0="00040001" w:csb1="00000000"/>
  </w:font>
  <w:font w:name="Arial">
    <w:altName w:val="Nimbus Roman No9 L"/>
    <w:panose1 w:val="020B0604020202020204"/>
    <w:charset w:val="00"/>
    <w:family w:val="swiss"/>
    <w:pitch w:val="default"/>
    <w:sig w:usb0="00000000" w:usb1="00000000" w:usb2="00000009" w:usb3="00000000" w:csb0="000001FF" w:csb1="00000000"/>
  </w:font>
  <w:font w:name="Arial Unicode MS">
    <w:altName w:val="Nimbus Roman No9 L"/>
    <w:panose1 w:val="020B0604020202020204"/>
    <w:charset w:val="86"/>
    <w:family w:val="swiss"/>
    <w:pitch w:val="default"/>
    <w:sig w:usb0="00000000" w:usb1="00000000" w:usb2="0000003F" w:usb3="00000000" w:csb0="003F01FF" w:csb1="00000000"/>
  </w:font>
  <w:font w:name="方正书宋_GBK">
    <w:panose1 w:val="02000000000000000000"/>
    <w:charset w:val="86"/>
    <w:family w:val="auto"/>
    <w:pitch w:val="default"/>
    <w:sig w:usb0="00000001" w:usb1="08000000" w:usb2="00000000" w:usb3="00000000" w:csb0="00040000" w:csb1="00000000"/>
  </w:font>
  <w:font w:name="等线">
    <w:altName w:val="汉仪仿宋S"/>
    <w:panose1 w:val="00000000000000000000"/>
    <w:charset w:val="00"/>
    <w:family w:val="auto"/>
    <w:pitch w:val="default"/>
    <w:sig w:usb0="00000000" w:usb1="00000000" w:usb2="00000000" w:usb3="00000000" w:csb0="00000000" w:csb1="00000000"/>
  </w:font>
  <w:font w:name="汉仪仿宋S">
    <w:panose1 w:val="00020600040101000101"/>
    <w:charset w:val="86"/>
    <w:family w:val="auto"/>
    <w:pitch w:val="default"/>
    <w:sig w:usb0="A00002BF" w:usb1="38CF7CFA" w:usb2="00000016" w:usb3="00000000" w:csb0="0004009F" w:csb1="00000000"/>
  </w:font>
  <w:font w:name="DejaVu Sans">
    <w:panose1 w:val="020B0603030804020204"/>
    <w:charset w:val="00"/>
    <w:family w:val="auto"/>
    <w:pitch w:val="default"/>
    <w:sig w:usb0="E7006EFF" w:usb1="D200FDFF" w:usb2="0A246029" w:usb3="0400200C" w:csb0="600001FF" w:csb1="DFFF0000"/>
  </w:font>
  <w:font w:name="Liberation Serif">
    <w:panose1 w:val="02020603050405020304"/>
    <w:charset w:val="00"/>
    <w:family w:val="auto"/>
    <w:pitch w:val="default"/>
    <w:sig w:usb0="A00002AF" w:usb1="500078FB" w:usb2="00000000" w:usb3="00000000" w:csb0="6000009F" w:csb1="DFD70000"/>
  </w:font>
  <w:font w:name="Nimbus Roman No9 L">
    <w:panose1 w:val="00000000000000000000"/>
    <w:charset w:val="00"/>
    <w:family w:val="auto"/>
    <w:pitch w:val="default"/>
    <w:sig w:usb0="00000000" w:usb1="00000000" w:usb2="00000000" w:usb3="00000000" w:csb0="00000000" w:csb1="00000000"/>
  </w:font>
  <w:font w:name="FreeSerif">
    <w:panose1 w:val="02020603050405020304"/>
    <w:charset w:val="00"/>
    <w:family w:val="auto"/>
    <w:pitch w:val="default"/>
    <w:sig w:usb0="E59FAFFF" w:usb1="C200FDFF" w:usb2="43501B29" w:usb3="04000043" w:csb0="600101FF" w:csb1="FFFF0000"/>
  </w:font>
  <w:font w:name="方正宋体S-超大字符集">
    <w:panose1 w:val="02000000000000000000"/>
    <w:charset w:val="86"/>
    <w:family w:val="auto"/>
    <w:pitch w:val="default"/>
    <w:sig w:usb0="00000001" w:usb1="08000000" w:usb2="00000000" w:usb3="00000000" w:csb0="00040000" w:csb1="00000000"/>
  </w:font>
  <w:font w:name="华文仿宋">
    <w:panose1 w:val="02010600040101010101"/>
    <w:charset w:val="86"/>
    <w:family w:val="auto"/>
    <w:pitch w:val="default"/>
    <w:sig w:usb0="00000287" w:usb1="080F0000" w:usb2="00000000" w:usb3="00000000" w:csb0="0004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line="240" w:lineRule="auto"/>
      <w:ind w:firstLine="0" w:firstLineChars="0"/>
      <w:jc w:val="center"/>
    </w:pPr>
  </w:p>
  <w:p>
    <w:pPr>
      <w:pStyle w:val="20"/>
      <w:spacing w:before="48" w:after="120"/>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spacing w:before="48" w:after="120"/>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728189101"/>
    </w:sdtPr>
    <w:sdtContent>
      <w:p>
        <w:pPr>
          <w:pStyle w:val="20"/>
          <w:spacing w:line="240" w:lineRule="auto"/>
          <w:ind w:firstLine="0" w:firstLineChars="0"/>
          <w:jc w:val="center"/>
        </w:pPr>
        <w:r>
          <w:rPr>
            <w:rFonts w:ascii="宋体" w:hAnsi="宋体" w:eastAsia="宋体"/>
          </w:rPr>
          <w:fldChar w:fldCharType="begin"/>
        </w:r>
        <w:r>
          <w:rPr>
            <w:rFonts w:ascii="宋体" w:hAnsi="宋体" w:eastAsia="宋体"/>
          </w:rPr>
          <w:instrText xml:space="preserve">PAGE   \* MERGEFORMAT</w:instrText>
        </w:r>
        <w:r>
          <w:rPr>
            <w:rFonts w:ascii="宋体" w:hAnsi="宋体" w:eastAsia="宋体"/>
          </w:rPr>
          <w:fldChar w:fldCharType="separate"/>
        </w:r>
        <w:r>
          <w:rPr>
            <w:rFonts w:ascii="宋体" w:hAnsi="宋体" w:eastAsia="宋体"/>
          </w:rPr>
          <w:t>7</w:t>
        </w:r>
        <w:r>
          <w:rPr>
            <w:rFonts w:ascii="宋体" w:hAnsi="宋体" w:eastAsia="宋体"/>
          </w:rPr>
          <w:fldChar w:fldCharType="end"/>
        </w:r>
      </w:p>
    </w:sdtContent>
  </w:sdt>
  <w:p>
    <w:pPr>
      <w:pStyle w:val="20"/>
      <w:spacing w:before="48" w:after="120"/>
      <w:ind w:firstLineChars="11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640"/>
      </w:pPr>
      <w:r>
        <w:separator/>
      </w:r>
    </w:p>
  </w:footnote>
  <w:footnote w:type="continuationSeparator" w:id="1">
    <w:p>
      <w:pPr>
        <w:spacing w:line="240" w:lineRule="auto"/>
        <w:ind w:firstLine="64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spacing w:before="120" w:after="12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spacing w:before="120" w:after="120"/>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none" w:color="auto" w:sz="0" w:space="0"/>
      </w:pBdr>
    </w:pP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FAC20270"/>
    <w:multiLevelType w:val="multilevel"/>
    <w:tmpl w:val="FAC20270"/>
    <w:lvl w:ilvl="0" w:tentative="0">
      <w:start w:val="1"/>
      <w:numFmt w:val="chineseCountingThousand"/>
      <w:suff w:val="space"/>
      <w:lvlText w:val="第%1章 "/>
      <w:lvlJc w:val="left"/>
      <w:pPr>
        <w:ind w:left="0" w:firstLine="0"/>
      </w:pPr>
      <w:rPr>
        <w:rFonts w:hint="eastAsia" w:ascii="黑体" w:hAnsi="Times New Roman" w:eastAsia="黑体" w:cs="黑体"/>
      </w:rPr>
    </w:lvl>
    <w:lvl w:ilvl="1" w:tentative="0">
      <w:start w:val="1"/>
      <w:numFmt w:val="chineseCountingThousand"/>
      <w:suff w:val="space"/>
      <w:lvlText w:val="第%2节 "/>
      <w:lvlJc w:val="left"/>
      <w:pPr>
        <w:ind w:left="0" w:firstLine="0"/>
      </w:pPr>
      <w:rPr>
        <w:rFonts w:hint="eastAsia" w:ascii="黑体" w:hAnsi="Times New Roman" w:eastAsia="黑体" w:cs="黑体"/>
      </w:rPr>
    </w:lvl>
    <w:lvl w:ilvl="2" w:tentative="0">
      <w:start w:val="1"/>
      <w:numFmt w:val="decimal"/>
      <w:isLgl/>
      <w:suff w:val="space"/>
      <w:lvlText w:val="第%3条 "/>
      <w:lvlJc w:val="left"/>
      <w:pPr>
        <w:ind w:left="0" w:firstLine="0"/>
      </w:pPr>
      <w:rPr>
        <w:rFonts w:hint="eastAsia" w:ascii="黑体" w:hAnsi="Times New Roman" w:eastAsia="黑体" w:cs="黑体"/>
      </w:rPr>
    </w:lvl>
    <w:lvl w:ilvl="3" w:tentative="0">
      <w:start w:val="1"/>
      <w:numFmt w:val="decimal"/>
      <w:isLgl/>
      <w:suff w:val="nothing"/>
      <w:lvlText w:val="%4."/>
      <w:lvlJc w:val="left"/>
      <w:pPr>
        <w:ind w:left="-141" w:firstLine="425"/>
      </w:pPr>
    </w:lvl>
    <w:lvl w:ilvl="4" w:tentative="0">
      <w:start w:val="1"/>
      <w:numFmt w:val="decimal"/>
      <w:isLgl/>
      <w:suff w:val="nothing"/>
      <w:lvlText w:val="（%5）"/>
      <w:lvlJc w:val="left"/>
      <w:pPr>
        <w:ind w:left="0" w:firstLine="340"/>
      </w:pPr>
      <w:rPr>
        <w:rFonts w:hint="eastAsia" w:ascii="宋体" w:hAnsi="Times New Roman" w:eastAsia="宋体" w:cs="宋体"/>
      </w:rPr>
    </w:lvl>
    <w:lvl w:ilvl="5" w:tentative="0">
      <w:start w:val="1"/>
      <w:numFmt w:val="decimal"/>
      <w:isLgl/>
      <w:suff w:val="nothing"/>
      <w:lvlText w:val="附表%6："/>
      <w:lvlJc w:val="left"/>
      <w:pPr>
        <w:ind w:left="0" w:firstLine="0"/>
      </w:pPr>
      <w:rPr>
        <w:rFonts w:hint="eastAsia" w:ascii="黑体" w:hAnsi="Times New Roman" w:eastAsia="黑体" w:cs="黑体"/>
        <w:u w:val="none"/>
        <w:lang w:val="en-US"/>
      </w:rPr>
    </w:lvl>
    <w:lvl w:ilvl="6" w:tentative="0">
      <w:start w:val="1"/>
      <w:numFmt w:val="decimal"/>
      <w:isLgl/>
      <w:suff w:val="nothing"/>
      <w:lvlText w:val="（%7）"/>
      <w:lvlJc w:val="left"/>
      <w:pPr>
        <w:ind w:left="0" w:firstLine="340"/>
      </w:pPr>
      <w:rPr>
        <w:rFonts w:hint="eastAsia" w:ascii="宋体" w:hAnsi="Times New Roman" w:eastAsia="宋体" w:cs="宋体"/>
        <w:u w:val="single"/>
      </w:r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1">
    <w:nsid w:val="1175581F"/>
    <w:multiLevelType w:val="multilevel"/>
    <w:tmpl w:val="1175581F"/>
    <w:lvl w:ilvl="0" w:tentative="0">
      <w:start w:val="1"/>
      <w:numFmt w:val="chineseCountingThousand"/>
      <w:suff w:val="space"/>
      <w:lvlText w:val="第%1章 "/>
      <w:lvlJc w:val="left"/>
      <w:pPr>
        <w:ind w:left="0" w:firstLine="0"/>
      </w:pPr>
      <w:rPr>
        <w:rFonts w:hint="eastAsia" w:ascii="黑体" w:hAnsi="Times New Roman" w:eastAsia="黑体" w:cs="黑体"/>
      </w:rPr>
    </w:lvl>
    <w:lvl w:ilvl="1" w:tentative="0">
      <w:start w:val="1"/>
      <w:numFmt w:val="chineseCountingThousand"/>
      <w:suff w:val="space"/>
      <w:lvlText w:val="第%2节 "/>
      <w:lvlJc w:val="left"/>
      <w:pPr>
        <w:ind w:left="0" w:firstLine="0"/>
      </w:pPr>
      <w:rPr>
        <w:rFonts w:hint="eastAsia" w:ascii="黑体" w:hAnsi="Times New Roman" w:eastAsia="黑体" w:cs="黑体"/>
        <w:lang w:val="en-US"/>
      </w:rPr>
    </w:lvl>
    <w:lvl w:ilvl="2" w:tentative="0">
      <w:start w:val="1"/>
      <w:numFmt w:val="decimal"/>
      <w:isLgl/>
      <w:suff w:val="space"/>
      <w:lvlText w:val="第%3条 "/>
      <w:lvlJc w:val="left"/>
      <w:pPr>
        <w:ind w:left="0" w:firstLine="0"/>
      </w:pPr>
      <w:rPr>
        <w:rFonts w:hint="eastAsia" w:ascii="黑体" w:hAnsi="Times New Roman" w:eastAsia="黑体" w:cs="黑体"/>
      </w:rPr>
    </w:lvl>
    <w:lvl w:ilvl="3" w:tentative="0">
      <w:start w:val="1"/>
      <w:numFmt w:val="decimal"/>
      <w:isLgl/>
      <w:suff w:val="nothing"/>
      <w:lvlText w:val="%4."/>
      <w:lvlJc w:val="left"/>
      <w:pPr>
        <w:ind w:left="-141" w:firstLine="425"/>
      </w:pPr>
    </w:lvl>
    <w:lvl w:ilvl="4" w:tentative="0">
      <w:start w:val="1"/>
      <w:numFmt w:val="decimal"/>
      <w:isLgl/>
      <w:suff w:val="nothing"/>
      <w:lvlText w:val="（%5）"/>
      <w:lvlJc w:val="left"/>
      <w:pPr>
        <w:ind w:left="0" w:firstLine="340"/>
      </w:pPr>
      <w:rPr>
        <w:rFonts w:hint="eastAsia" w:ascii="宋体" w:hAnsi="Times New Roman" w:eastAsia="宋体" w:cs="宋体"/>
      </w:rPr>
    </w:lvl>
    <w:lvl w:ilvl="5" w:tentative="0">
      <w:start w:val="1"/>
      <w:numFmt w:val="decimal"/>
      <w:isLgl/>
      <w:suff w:val="nothing"/>
      <w:lvlText w:val="附表%6："/>
      <w:lvlJc w:val="left"/>
      <w:pPr>
        <w:ind w:left="8223" w:firstLine="0"/>
      </w:pPr>
      <w:rPr>
        <w:rFonts w:hint="eastAsia" w:ascii="黑体" w:hAnsi="Times New Roman" w:eastAsia="黑体" w:cs="黑体"/>
        <w:u w:val="none"/>
        <w:lang w:val="en-US"/>
      </w:rPr>
    </w:lvl>
    <w:lvl w:ilvl="6" w:tentative="0">
      <w:start w:val="1"/>
      <w:numFmt w:val="decimal"/>
      <w:isLgl/>
      <w:suff w:val="nothing"/>
      <w:lvlText w:val="（%7）"/>
      <w:lvlJc w:val="left"/>
      <w:pPr>
        <w:ind w:left="0" w:firstLine="340"/>
      </w:pPr>
      <w:rPr>
        <w:rFonts w:hint="eastAsia" w:ascii="宋体" w:hAnsi="Times New Roman" w:eastAsia="宋体" w:cs="宋体"/>
        <w:u w:val="single"/>
      </w:rPr>
    </w:lvl>
    <w:lvl w:ilvl="7" w:tentative="0">
      <w:start w:val="1"/>
      <w:numFmt w:val="decimal"/>
      <w:lvlText w:val="%1.%2.%3.%4.%5.%6.%7.%8"/>
      <w:lvlJc w:val="left"/>
      <w:pPr>
        <w:ind w:left="1440" w:hanging="1440"/>
      </w:pPr>
    </w:lvl>
    <w:lvl w:ilvl="8" w:tentative="0">
      <w:start w:val="1"/>
      <w:numFmt w:val="decimal"/>
      <w:lvlText w:val="%1.%2.%3.%4.%5.%6.%7.%8.%9"/>
      <w:lvlJc w:val="left"/>
      <w:pPr>
        <w:ind w:left="1584" w:hanging="1584"/>
      </w:pPr>
    </w:lvl>
  </w:abstractNum>
  <w:abstractNum w:abstractNumId="2">
    <w:nsid w:val="78EF3348"/>
    <w:multiLevelType w:val="multilevel"/>
    <w:tmpl w:val="78EF3348"/>
    <w:lvl w:ilvl="0" w:tentative="0">
      <w:start w:val="1"/>
      <w:numFmt w:val="chineseCountingThousand"/>
      <w:pStyle w:val="2"/>
      <w:suff w:val="space"/>
      <w:lvlText w:val="第%1章 "/>
      <w:lvlJc w:val="left"/>
      <w:pPr>
        <w:ind w:left="1135" w:firstLine="0"/>
      </w:pPr>
      <w:rPr>
        <w:rFonts w:hint="eastAsia" w:ascii="方正小标宋简体" w:eastAsia="方正小标宋简体"/>
      </w:rPr>
    </w:lvl>
    <w:lvl w:ilvl="1" w:tentative="0">
      <w:start w:val="1"/>
      <w:numFmt w:val="chineseCountingThousand"/>
      <w:pStyle w:val="3"/>
      <w:suff w:val="space"/>
      <w:lvlText w:val="第%2节 "/>
      <w:lvlJc w:val="left"/>
      <w:pPr>
        <w:ind w:left="1702" w:firstLine="0"/>
      </w:pPr>
      <w:rPr>
        <w:rFonts w:hint="eastAsia" w:ascii="黑体" w:eastAsia="黑体"/>
        <w:lang w:val="en-US"/>
      </w:rPr>
    </w:lvl>
    <w:lvl w:ilvl="2" w:tentative="0">
      <w:start w:val="1"/>
      <w:numFmt w:val="decimal"/>
      <w:lvlRestart w:val="0"/>
      <w:pStyle w:val="4"/>
      <w:isLgl/>
      <w:suff w:val="space"/>
      <w:lvlText w:val="第%3条 "/>
      <w:lvlJc w:val="left"/>
      <w:pPr>
        <w:ind w:left="568" w:firstLine="0"/>
      </w:pPr>
      <w:rPr>
        <w:rFonts w:hint="eastAsia" w:ascii="楷体_GB2312" w:eastAsia="楷体_GB2312"/>
      </w:rPr>
    </w:lvl>
    <w:lvl w:ilvl="3" w:tentative="0">
      <w:start w:val="1"/>
      <w:numFmt w:val="decimal"/>
      <w:pStyle w:val="5"/>
      <w:isLgl/>
      <w:suff w:val="nothing"/>
      <w:lvlText w:val="%4."/>
      <w:lvlJc w:val="left"/>
      <w:pPr>
        <w:ind w:left="-141" w:firstLine="425"/>
      </w:pPr>
      <w:rPr>
        <w:rFonts w:hint="eastAsia"/>
      </w:rPr>
    </w:lvl>
    <w:lvl w:ilvl="4" w:tentative="0">
      <w:start w:val="1"/>
      <w:numFmt w:val="decimal"/>
      <w:pStyle w:val="6"/>
      <w:isLgl/>
      <w:suff w:val="nothing"/>
      <w:lvlText w:val="（%5）"/>
      <w:lvlJc w:val="left"/>
      <w:pPr>
        <w:ind w:left="0" w:firstLine="340"/>
      </w:pPr>
      <w:rPr>
        <w:rFonts w:hint="eastAsia" w:ascii="宋体" w:eastAsia="宋体"/>
      </w:rPr>
    </w:lvl>
    <w:lvl w:ilvl="5" w:tentative="0">
      <w:start w:val="1"/>
      <w:numFmt w:val="decimal"/>
      <w:lvlRestart w:val="1"/>
      <w:isLgl/>
      <w:suff w:val="nothing"/>
      <w:lvlText w:val="附表%6："/>
      <w:lvlJc w:val="left"/>
      <w:pPr>
        <w:ind w:left="0" w:firstLine="0"/>
      </w:pPr>
      <w:rPr>
        <w:rFonts w:ascii="Times New Roman" w:hAnsi="Times New Roman" w:cs="Times New Roman"/>
        <w:b w:val="0"/>
        <w:bCs w:val="0"/>
        <w:i w:val="0"/>
        <w:iCs w:val="0"/>
        <w:caps w:val="0"/>
        <w:smallCaps w:val="0"/>
        <w:strike w:val="0"/>
        <w:dstrike w:val="0"/>
        <w:outline w:val="0"/>
        <w:shadow w:val="0"/>
        <w:emboss w:val="0"/>
        <w:imprint w:val="0"/>
        <w:snapToGrid w:val="0"/>
        <w:vanish w:val="0"/>
        <w:color w:val="000000"/>
        <w:spacing w:val="0"/>
        <w:w w:val="0"/>
        <w:kern w:val="0"/>
        <w:position w:val="0"/>
        <w:sz w:val="0"/>
        <w:szCs w:val="0"/>
        <w:u w:val="none" w:color="000000"/>
        <w:shd w:val="clear" w:color="000000" w:fill="000000"/>
        <w:vertAlign w:val="baseline"/>
        <w:lang w:val="zh-CN" w:eastAsia="zh-CN" w:bidi="zh-CN"/>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prst="orthographicFront">
          <w14:lightRig w14:rig="threePt" w14:dir="t">
            <w14:rot w14:lat="0" w14:lon="0" w14:rev="0"/>
          </w14:lightRig>
        </w14:scene3d>
        <w14:ligatures w14:val="none"/>
        <w14:numForm w14:val="default"/>
        <w14:numSpacing w14:val="default"/>
        <w14:cntxtalts w14:val="0"/>
      </w:rPr>
    </w:lvl>
    <w:lvl w:ilvl="6" w:tentative="0">
      <w:start w:val="1"/>
      <w:numFmt w:val="decimal"/>
      <w:lvlRestart w:val="4"/>
      <w:isLgl/>
      <w:suff w:val="nothing"/>
      <w:lvlText w:val="（%7）"/>
      <w:lvlJc w:val="left"/>
      <w:pPr>
        <w:ind w:left="0" w:firstLine="340"/>
      </w:pPr>
      <w:rPr>
        <w:rFonts w:hint="eastAsia" w:ascii="宋体" w:eastAsia="宋体"/>
        <w:u w:val="single"/>
      </w:rPr>
    </w:lvl>
    <w:lvl w:ilvl="7" w:tentative="0">
      <w:start w:val="1"/>
      <w:numFmt w:val="decimal"/>
      <w:pStyle w:val="9"/>
      <w:lvlText w:val="%1.%2.%3.%4.%5.%6.%7.%8"/>
      <w:lvlJc w:val="left"/>
      <w:pPr>
        <w:ind w:left="1440" w:hanging="1440"/>
      </w:pPr>
      <w:rPr>
        <w:rFonts w:hint="eastAsia"/>
      </w:rPr>
    </w:lvl>
    <w:lvl w:ilvl="8" w:tentative="0">
      <w:start w:val="1"/>
      <w:numFmt w:val="decimal"/>
      <w:pStyle w:val="10"/>
      <w:lvlText w:val="%1.%2.%3.%4.%5.%6.%7.%8.%9"/>
      <w:lvlJc w:val="left"/>
      <w:pPr>
        <w:ind w:left="1584" w:hanging="1584"/>
      </w:pPr>
      <w:rPr>
        <w:rFonts w:hint="eastAsia"/>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true"/>
  <w:bordersDoNotSurroundFooter w:val="true"/>
  <w:hideSpellingErrors/>
  <w:documentProtection w:enforcement="0"/>
  <w:defaultTabStop w:val="420"/>
  <w:drawingGridHorizontalSpacing w:val="120"/>
  <w:drawingGridVerticalSpacing w:val="163"/>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mViOWEyNjAzNzYyNzgyMzM5MmY0MTE1MzYzYmY1MDUifQ=="/>
  </w:docVars>
  <w:rsids>
    <w:rsidRoot w:val="00A67F34"/>
    <w:rsid w:val="00000C06"/>
    <w:rsid w:val="00001621"/>
    <w:rsid w:val="00004538"/>
    <w:rsid w:val="000045B8"/>
    <w:rsid w:val="000046C4"/>
    <w:rsid w:val="00005598"/>
    <w:rsid w:val="00007214"/>
    <w:rsid w:val="00007CD2"/>
    <w:rsid w:val="00011DB3"/>
    <w:rsid w:val="00012D9E"/>
    <w:rsid w:val="00014FFC"/>
    <w:rsid w:val="00015277"/>
    <w:rsid w:val="00015C2E"/>
    <w:rsid w:val="0001672B"/>
    <w:rsid w:val="000173D5"/>
    <w:rsid w:val="000228A2"/>
    <w:rsid w:val="00022C14"/>
    <w:rsid w:val="00023887"/>
    <w:rsid w:val="00024593"/>
    <w:rsid w:val="00024C74"/>
    <w:rsid w:val="00025921"/>
    <w:rsid w:val="00025FB7"/>
    <w:rsid w:val="000263B1"/>
    <w:rsid w:val="00026494"/>
    <w:rsid w:val="00026ED4"/>
    <w:rsid w:val="00027C74"/>
    <w:rsid w:val="00027CDC"/>
    <w:rsid w:val="000300ED"/>
    <w:rsid w:val="000312F7"/>
    <w:rsid w:val="00033FEA"/>
    <w:rsid w:val="0003547A"/>
    <w:rsid w:val="00035DC1"/>
    <w:rsid w:val="0003614B"/>
    <w:rsid w:val="000401C8"/>
    <w:rsid w:val="00042AF6"/>
    <w:rsid w:val="00043914"/>
    <w:rsid w:val="00043D07"/>
    <w:rsid w:val="000440C5"/>
    <w:rsid w:val="00044269"/>
    <w:rsid w:val="00044A6C"/>
    <w:rsid w:val="00044E71"/>
    <w:rsid w:val="00046257"/>
    <w:rsid w:val="00046BBF"/>
    <w:rsid w:val="00046E46"/>
    <w:rsid w:val="0004772B"/>
    <w:rsid w:val="00047D26"/>
    <w:rsid w:val="0005003D"/>
    <w:rsid w:val="00051283"/>
    <w:rsid w:val="0005170E"/>
    <w:rsid w:val="000522AA"/>
    <w:rsid w:val="00053B04"/>
    <w:rsid w:val="00056EF1"/>
    <w:rsid w:val="0005723A"/>
    <w:rsid w:val="0005724D"/>
    <w:rsid w:val="00062C5F"/>
    <w:rsid w:val="00063F69"/>
    <w:rsid w:val="00065C66"/>
    <w:rsid w:val="0006602B"/>
    <w:rsid w:val="00066343"/>
    <w:rsid w:val="000672D0"/>
    <w:rsid w:val="00067F9B"/>
    <w:rsid w:val="000708D8"/>
    <w:rsid w:val="0007111B"/>
    <w:rsid w:val="00071B6F"/>
    <w:rsid w:val="00072F6E"/>
    <w:rsid w:val="00073CFB"/>
    <w:rsid w:val="000743DC"/>
    <w:rsid w:val="00074404"/>
    <w:rsid w:val="000744A6"/>
    <w:rsid w:val="0007497D"/>
    <w:rsid w:val="00074C23"/>
    <w:rsid w:val="00075670"/>
    <w:rsid w:val="00075AC8"/>
    <w:rsid w:val="00075E93"/>
    <w:rsid w:val="00076004"/>
    <w:rsid w:val="00080705"/>
    <w:rsid w:val="00080CA3"/>
    <w:rsid w:val="00080F04"/>
    <w:rsid w:val="00082E8A"/>
    <w:rsid w:val="00083B0D"/>
    <w:rsid w:val="00085C91"/>
    <w:rsid w:val="00085E68"/>
    <w:rsid w:val="00085F2C"/>
    <w:rsid w:val="000868E7"/>
    <w:rsid w:val="00087434"/>
    <w:rsid w:val="00087F2A"/>
    <w:rsid w:val="000905F0"/>
    <w:rsid w:val="00091704"/>
    <w:rsid w:val="00091ADE"/>
    <w:rsid w:val="000921DD"/>
    <w:rsid w:val="000945D7"/>
    <w:rsid w:val="00094975"/>
    <w:rsid w:val="000951DD"/>
    <w:rsid w:val="00095B0E"/>
    <w:rsid w:val="00097133"/>
    <w:rsid w:val="00097FB2"/>
    <w:rsid w:val="000A2C0B"/>
    <w:rsid w:val="000A3B02"/>
    <w:rsid w:val="000A4529"/>
    <w:rsid w:val="000A5030"/>
    <w:rsid w:val="000A50E0"/>
    <w:rsid w:val="000A52E7"/>
    <w:rsid w:val="000A534F"/>
    <w:rsid w:val="000A5430"/>
    <w:rsid w:val="000A6153"/>
    <w:rsid w:val="000A6201"/>
    <w:rsid w:val="000A6E7D"/>
    <w:rsid w:val="000A74E3"/>
    <w:rsid w:val="000B1B6C"/>
    <w:rsid w:val="000B257F"/>
    <w:rsid w:val="000B2770"/>
    <w:rsid w:val="000B27FF"/>
    <w:rsid w:val="000B3238"/>
    <w:rsid w:val="000B46A4"/>
    <w:rsid w:val="000B53B7"/>
    <w:rsid w:val="000B591B"/>
    <w:rsid w:val="000B5C66"/>
    <w:rsid w:val="000B64A5"/>
    <w:rsid w:val="000B7014"/>
    <w:rsid w:val="000B72AE"/>
    <w:rsid w:val="000C0616"/>
    <w:rsid w:val="000C0C7A"/>
    <w:rsid w:val="000C2A41"/>
    <w:rsid w:val="000C3573"/>
    <w:rsid w:val="000C3D14"/>
    <w:rsid w:val="000C48CC"/>
    <w:rsid w:val="000C5282"/>
    <w:rsid w:val="000C559D"/>
    <w:rsid w:val="000C5B95"/>
    <w:rsid w:val="000C6324"/>
    <w:rsid w:val="000C78E4"/>
    <w:rsid w:val="000C7DE1"/>
    <w:rsid w:val="000D00FC"/>
    <w:rsid w:val="000D046C"/>
    <w:rsid w:val="000D336A"/>
    <w:rsid w:val="000D34BC"/>
    <w:rsid w:val="000D4DBE"/>
    <w:rsid w:val="000D53BD"/>
    <w:rsid w:val="000D5D58"/>
    <w:rsid w:val="000D6692"/>
    <w:rsid w:val="000E00AA"/>
    <w:rsid w:val="000E0444"/>
    <w:rsid w:val="000E0F6F"/>
    <w:rsid w:val="000E0F8D"/>
    <w:rsid w:val="000E11FF"/>
    <w:rsid w:val="000E1E0F"/>
    <w:rsid w:val="000E2A07"/>
    <w:rsid w:val="000E2A20"/>
    <w:rsid w:val="000E324F"/>
    <w:rsid w:val="000E35FD"/>
    <w:rsid w:val="000E498F"/>
    <w:rsid w:val="000E5601"/>
    <w:rsid w:val="000E5D6D"/>
    <w:rsid w:val="000E6D24"/>
    <w:rsid w:val="000E7FEF"/>
    <w:rsid w:val="000F011D"/>
    <w:rsid w:val="000F04B5"/>
    <w:rsid w:val="000F0809"/>
    <w:rsid w:val="000F1ED6"/>
    <w:rsid w:val="000F2221"/>
    <w:rsid w:val="000F2547"/>
    <w:rsid w:val="000F2B37"/>
    <w:rsid w:val="000F2E81"/>
    <w:rsid w:val="000F302E"/>
    <w:rsid w:val="000F3B1E"/>
    <w:rsid w:val="000F5DA8"/>
    <w:rsid w:val="000F659E"/>
    <w:rsid w:val="000F6939"/>
    <w:rsid w:val="000F6CCC"/>
    <w:rsid w:val="000F7E30"/>
    <w:rsid w:val="001004B9"/>
    <w:rsid w:val="00100A59"/>
    <w:rsid w:val="00101788"/>
    <w:rsid w:val="001022DD"/>
    <w:rsid w:val="00102D32"/>
    <w:rsid w:val="00103A77"/>
    <w:rsid w:val="00104C7B"/>
    <w:rsid w:val="00105261"/>
    <w:rsid w:val="001053A7"/>
    <w:rsid w:val="00105DBB"/>
    <w:rsid w:val="00106AE3"/>
    <w:rsid w:val="00107FC3"/>
    <w:rsid w:val="00110059"/>
    <w:rsid w:val="001105F1"/>
    <w:rsid w:val="00110ED6"/>
    <w:rsid w:val="00111100"/>
    <w:rsid w:val="001129D8"/>
    <w:rsid w:val="00113B52"/>
    <w:rsid w:val="00113C92"/>
    <w:rsid w:val="00114E92"/>
    <w:rsid w:val="00116D01"/>
    <w:rsid w:val="00120488"/>
    <w:rsid w:val="001204CF"/>
    <w:rsid w:val="00120A43"/>
    <w:rsid w:val="001212B2"/>
    <w:rsid w:val="0012136A"/>
    <w:rsid w:val="001216CE"/>
    <w:rsid w:val="00121CDA"/>
    <w:rsid w:val="00122DC8"/>
    <w:rsid w:val="00125070"/>
    <w:rsid w:val="00125577"/>
    <w:rsid w:val="001255B3"/>
    <w:rsid w:val="00125777"/>
    <w:rsid w:val="001265A8"/>
    <w:rsid w:val="0012676D"/>
    <w:rsid w:val="00127388"/>
    <w:rsid w:val="001276D2"/>
    <w:rsid w:val="00130C20"/>
    <w:rsid w:val="00130F68"/>
    <w:rsid w:val="001317CE"/>
    <w:rsid w:val="0013180C"/>
    <w:rsid w:val="00131983"/>
    <w:rsid w:val="00131CE1"/>
    <w:rsid w:val="0013381F"/>
    <w:rsid w:val="00134387"/>
    <w:rsid w:val="00136B98"/>
    <w:rsid w:val="001371F4"/>
    <w:rsid w:val="00140D28"/>
    <w:rsid w:val="00141074"/>
    <w:rsid w:val="001419C1"/>
    <w:rsid w:val="00142730"/>
    <w:rsid w:val="00143B0C"/>
    <w:rsid w:val="00143E65"/>
    <w:rsid w:val="0014413C"/>
    <w:rsid w:val="00144466"/>
    <w:rsid w:val="001451AB"/>
    <w:rsid w:val="001451D5"/>
    <w:rsid w:val="001469C5"/>
    <w:rsid w:val="00147AEC"/>
    <w:rsid w:val="00150074"/>
    <w:rsid w:val="00150232"/>
    <w:rsid w:val="00152322"/>
    <w:rsid w:val="00152930"/>
    <w:rsid w:val="00152CE4"/>
    <w:rsid w:val="001548F2"/>
    <w:rsid w:val="00156A88"/>
    <w:rsid w:val="0015738E"/>
    <w:rsid w:val="0016018D"/>
    <w:rsid w:val="0016071B"/>
    <w:rsid w:val="00160A7E"/>
    <w:rsid w:val="001617AD"/>
    <w:rsid w:val="00161CCC"/>
    <w:rsid w:val="001674E7"/>
    <w:rsid w:val="00167698"/>
    <w:rsid w:val="00170A73"/>
    <w:rsid w:val="00170F66"/>
    <w:rsid w:val="0017172C"/>
    <w:rsid w:val="00172637"/>
    <w:rsid w:val="00172DCC"/>
    <w:rsid w:val="001737F0"/>
    <w:rsid w:val="00173B83"/>
    <w:rsid w:val="001756E1"/>
    <w:rsid w:val="001807AA"/>
    <w:rsid w:val="0018165F"/>
    <w:rsid w:val="00181721"/>
    <w:rsid w:val="001818EE"/>
    <w:rsid w:val="001830A0"/>
    <w:rsid w:val="00183912"/>
    <w:rsid w:val="0018447A"/>
    <w:rsid w:val="00185303"/>
    <w:rsid w:val="001870AF"/>
    <w:rsid w:val="001872D8"/>
    <w:rsid w:val="00187C7C"/>
    <w:rsid w:val="00191C19"/>
    <w:rsid w:val="0019232D"/>
    <w:rsid w:val="001935F5"/>
    <w:rsid w:val="001937E5"/>
    <w:rsid w:val="00194C1F"/>
    <w:rsid w:val="00194D15"/>
    <w:rsid w:val="00196C51"/>
    <w:rsid w:val="00197EB3"/>
    <w:rsid w:val="001A0300"/>
    <w:rsid w:val="001A074B"/>
    <w:rsid w:val="001A1369"/>
    <w:rsid w:val="001A1B39"/>
    <w:rsid w:val="001A1F69"/>
    <w:rsid w:val="001A4ECF"/>
    <w:rsid w:val="001A5251"/>
    <w:rsid w:val="001A5315"/>
    <w:rsid w:val="001B01F9"/>
    <w:rsid w:val="001B0309"/>
    <w:rsid w:val="001B1BF6"/>
    <w:rsid w:val="001B337A"/>
    <w:rsid w:val="001B3E5F"/>
    <w:rsid w:val="001B5251"/>
    <w:rsid w:val="001B6117"/>
    <w:rsid w:val="001B615F"/>
    <w:rsid w:val="001B621A"/>
    <w:rsid w:val="001B73C7"/>
    <w:rsid w:val="001C0BB2"/>
    <w:rsid w:val="001C0DFB"/>
    <w:rsid w:val="001C0F1D"/>
    <w:rsid w:val="001C1416"/>
    <w:rsid w:val="001C1AAB"/>
    <w:rsid w:val="001C216E"/>
    <w:rsid w:val="001C28BC"/>
    <w:rsid w:val="001C4927"/>
    <w:rsid w:val="001C68A6"/>
    <w:rsid w:val="001C7E81"/>
    <w:rsid w:val="001D0529"/>
    <w:rsid w:val="001D0D58"/>
    <w:rsid w:val="001D1FB4"/>
    <w:rsid w:val="001D208F"/>
    <w:rsid w:val="001D300C"/>
    <w:rsid w:val="001D3525"/>
    <w:rsid w:val="001D35C4"/>
    <w:rsid w:val="001D385D"/>
    <w:rsid w:val="001D3DBE"/>
    <w:rsid w:val="001D4B6D"/>
    <w:rsid w:val="001D5261"/>
    <w:rsid w:val="001D6832"/>
    <w:rsid w:val="001D7F34"/>
    <w:rsid w:val="001E0355"/>
    <w:rsid w:val="001E14DD"/>
    <w:rsid w:val="001E186A"/>
    <w:rsid w:val="001E3503"/>
    <w:rsid w:val="001E359F"/>
    <w:rsid w:val="001E3A75"/>
    <w:rsid w:val="001E436F"/>
    <w:rsid w:val="001E44D5"/>
    <w:rsid w:val="001E54F2"/>
    <w:rsid w:val="001E71D9"/>
    <w:rsid w:val="001E7955"/>
    <w:rsid w:val="001E7D07"/>
    <w:rsid w:val="001F03E4"/>
    <w:rsid w:val="001F0DB9"/>
    <w:rsid w:val="001F111E"/>
    <w:rsid w:val="001F189C"/>
    <w:rsid w:val="001F2214"/>
    <w:rsid w:val="001F2E42"/>
    <w:rsid w:val="001F5C6A"/>
    <w:rsid w:val="001F5D26"/>
    <w:rsid w:val="001F614A"/>
    <w:rsid w:val="001F749F"/>
    <w:rsid w:val="001F76E2"/>
    <w:rsid w:val="001F7A86"/>
    <w:rsid w:val="00200FBD"/>
    <w:rsid w:val="00201631"/>
    <w:rsid w:val="00201F70"/>
    <w:rsid w:val="002023C0"/>
    <w:rsid w:val="0020243D"/>
    <w:rsid w:val="00202D2C"/>
    <w:rsid w:val="002040CD"/>
    <w:rsid w:val="00204C4D"/>
    <w:rsid w:val="00205409"/>
    <w:rsid w:val="00206376"/>
    <w:rsid w:val="0020668E"/>
    <w:rsid w:val="002078F2"/>
    <w:rsid w:val="00210701"/>
    <w:rsid w:val="00210B2B"/>
    <w:rsid w:val="0021225F"/>
    <w:rsid w:val="00212ECA"/>
    <w:rsid w:val="0021329A"/>
    <w:rsid w:val="00213AA9"/>
    <w:rsid w:val="002143B3"/>
    <w:rsid w:val="00215079"/>
    <w:rsid w:val="002153F1"/>
    <w:rsid w:val="00215A9A"/>
    <w:rsid w:val="00215F98"/>
    <w:rsid w:val="002174F4"/>
    <w:rsid w:val="0022036E"/>
    <w:rsid w:val="002208D0"/>
    <w:rsid w:val="0022120E"/>
    <w:rsid w:val="00221961"/>
    <w:rsid w:val="00221BC5"/>
    <w:rsid w:val="00221E4E"/>
    <w:rsid w:val="00224EF3"/>
    <w:rsid w:val="0022590C"/>
    <w:rsid w:val="00225B9A"/>
    <w:rsid w:val="00226AA9"/>
    <w:rsid w:val="00226B3C"/>
    <w:rsid w:val="00226B4A"/>
    <w:rsid w:val="00227032"/>
    <w:rsid w:val="0022722C"/>
    <w:rsid w:val="0022746F"/>
    <w:rsid w:val="00227754"/>
    <w:rsid w:val="00227F15"/>
    <w:rsid w:val="0023116C"/>
    <w:rsid w:val="002318CC"/>
    <w:rsid w:val="0023222A"/>
    <w:rsid w:val="0023322C"/>
    <w:rsid w:val="00234BF6"/>
    <w:rsid w:val="002357AA"/>
    <w:rsid w:val="00235B3B"/>
    <w:rsid w:val="00235EFC"/>
    <w:rsid w:val="00237CD9"/>
    <w:rsid w:val="0024154E"/>
    <w:rsid w:val="00241DCC"/>
    <w:rsid w:val="00242391"/>
    <w:rsid w:val="002466B6"/>
    <w:rsid w:val="002519E5"/>
    <w:rsid w:val="002522BE"/>
    <w:rsid w:val="0025290E"/>
    <w:rsid w:val="00253CAE"/>
    <w:rsid w:val="0025432E"/>
    <w:rsid w:val="00256485"/>
    <w:rsid w:val="00260EA9"/>
    <w:rsid w:val="00260FC1"/>
    <w:rsid w:val="00261A81"/>
    <w:rsid w:val="0026390F"/>
    <w:rsid w:val="00263D89"/>
    <w:rsid w:val="002649E9"/>
    <w:rsid w:val="00266A10"/>
    <w:rsid w:val="0026767C"/>
    <w:rsid w:val="00267805"/>
    <w:rsid w:val="00270423"/>
    <w:rsid w:val="00271E06"/>
    <w:rsid w:val="002730E2"/>
    <w:rsid w:val="0027483B"/>
    <w:rsid w:val="00274AB8"/>
    <w:rsid w:val="00275466"/>
    <w:rsid w:val="002809B3"/>
    <w:rsid w:val="00280A41"/>
    <w:rsid w:val="00282556"/>
    <w:rsid w:val="00282A78"/>
    <w:rsid w:val="00285171"/>
    <w:rsid w:val="00285523"/>
    <w:rsid w:val="002858A9"/>
    <w:rsid w:val="00287750"/>
    <w:rsid w:val="002909DB"/>
    <w:rsid w:val="002927A2"/>
    <w:rsid w:val="00293007"/>
    <w:rsid w:val="00293283"/>
    <w:rsid w:val="00293304"/>
    <w:rsid w:val="0029563F"/>
    <w:rsid w:val="0029594D"/>
    <w:rsid w:val="00295CF8"/>
    <w:rsid w:val="00296C9A"/>
    <w:rsid w:val="00296F9B"/>
    <w:rsid w:val="002971CF"/>
    <w:rsid w:val="00297F42"/>
    <w:rsid w:val="002A0B80"/>
    <w:rsid w:val="002A0C66"/>
    <w:rsid w:val="002A0F24"/>
    <w:rsid w:val="002A34BA"/>
    <w:rsid w:val="002A79AE"/>
    <w:rsid w:val="002A7C4B"/>
    <w:rsid w:val="002B077C"/>
    <w:rsid w:val="002B0B71"/>
    <w:rsid w:val="002B1F62"/>
    <w:rsid w:val="002B2015"/>
    <w:rsid w:val="002B3BBA"/>
    <w:rsid w:val="002B44B7"/>
    <w:rsid w:val="002B50D5"/>
    <w:rsid w:val="002B5A99"/>
    <w:rsid w:val="002B5C8C"/>
    <w:rsid w:val="002B5FF8"/>
    <w:rsid w:val="002B6573"/>
    <w:rsid w:val="002B6DBA"/>
    <w:rsid w:val="002B6F86"/>
    <w:rsid w:val="002B7AA6"/>
    <w:rsid w:val="002B7E47"/>
    <w:rsid w:val="002C11EE"/>
    <w:rsid w:val="002C2332"/>
    <w:rsid w:val="002C2A13"/>
    <w:rsid w:val="002C2E92"/>
    <w:rsid w:val="002C3825"/>
    <w:rsid w:val="002C398A"/>
    <w:rsid w:val="002C3FB6"/>
    <w:rsid w:val="002C42F2"/>
    <w:rsid w:val="002C51F4"/>
    <w:rsid w:val="002C6201"/>
    <w:rsid w:val="002C6673"/>
    <w:rsid w:val="002C6CCE"/>
    <w:rsid w:val="002C719A"/>
    <w:rsid w:val="002C786B"/>
    <w:rsid w:val="002C7CBE"/>
    <w:rsid w:val="002D05EF"/>
    <w:rsid w:val="002D14F1"/>
    <w:rsid w:val="002D157C"/>
    <w:rsid w:val="002D1C3F"/>
    <w:rsid w:val="002D36AE"/>
    <w:rsid w:val="002D3839"/>
    <w:rsid w:val="002D3FFB"/>
    <w:rsid w:val="002D5611"/>
    <w:rsid w:val="002D6047"/>
    <w:rsid w:val="002D6E59"/>
    <w:rsid w:val="002D7CD8"/>
    <w:rsid w:val="002D7FB1"/>
    <w:rsid w:val="002E06BA"/>
    <w:rsid w:val="002E0B3B"/>
    <w:rsid w:val="002E0F64"/>
    <w:rsid w:val="002E109B"/>
    <w:rsid w:val="002E214E"/>
    <w:rsid w:val="002E2692"/>
    <w:rsid w:val="002E3241"/>
    <w:rsid w:val="002E3399"/>
    <w:rsid w:val="002E38BB"/>
    <w:rsid w:val="002E612C"/>
    <w:rsid w:val="002E649B"/>
    <w:rsid w:val="002E6677"/>
    <w:rsid w:val="002E6C78"/>
    <w:rsid w:val="002E7314"/>
    <w:rsid w:val="002E7F35"/>
    <w:rsid w:val="002F1618"/>
    <w:rsid w:val="002F1D37"/>
    <w:rsid w:val="002F2057"/>
    <w:rsid w:val="002F36E8"/>
    <w:rsid w:val="002F529A"/>
    <w:rsid w:val="002F5BB5"/>
    <w:rsid w:val="002F6661"/>
    <w:rsid w:val="002F6D93"/>
    <w:rsid w:val="002F7EE7"/>
    <w:rsid w:val="0030002A"/>
    <w:rsid w:val="003008FB"/>
    <w:rsid w:val="00300F45"/>
    <w:rsid w:val="003014F3"/>
    <w:rsid w:val="00301643"/>
    <w:rsid w:val="00301649"/>
    <w:rsid w:val="0030170C"/>
    <w:rsid w:val="00301A91"/>
    <w:rsid w:val="0030248B"/>
    <w:rsid w:val="003045A0"/>
    <w:rsid w:val="00305B38"/>
    <w:rsid w:val="00306DA5"/>
    <w:rsid w:val="003074D3"/>
    <w:rsid w:val="003104F2"/>
    <w:rsid w:val="00311CA9"/>
    <w:rsid w:val="0031292D"/>
    <w:rsid w:val="0031367A"/>
    <w:rsid w:val="003137CF"/>
    <w:rsid w:val="00313A14"/>
    <w:rsid w:val="00313AE2"/>
    <w:rsid w:val="00313B2E"/>
    <w:rsid w:val="003146D1"/>
    <w:rsid w:val="0031528B"/>
    <w:rsid w:val="0031556D"/>
    <w:rsid w:val="00315DB0"/>
    <w:rsid w:val="0031620E"/>
    <w:rsid w:val="003172BE"/>
    <w:rsid w:val="00320E3F"/>
    <w:rsid w:val="00322AAC"/>
    <w:rsid w:val="00322C47"/>
    <w:rsid w:val="00322E71"/>
    <w:rsid w:val="003230B5"/>
    <w:rsid w:val="00323FE4"/>
    <w:rsid w:val="003240BE"/>
    <w:rsid w:val="003243A5"/>
    <w:rsid w:val="00324F0C"/>
    <w:rsid w:val="003257DB"/>
    <w:rsid w:val="00325EDE"/>
    <w:rsid w:val="00326DBA"/>
    <w:rsid w:val="0033096C"/>
    <w:rsid w:val="00330AEE"/>
    <w:rsid w:val="00331549"/>
    <w:rsid w:val="00331604"/>
    <w:rsid w:val="00333450"/>
    <w:rsid w:val="003335ED"/>
    <w:rsid w:val="00333E51"/>
    <w:rsid w:val="00333EC9"/>
    <w:rsid w:val="00334478"/>
    <w:rsid w:val="003344E5"/>
    <w:rsid w:val="00341862"/>
    <w:rsid w:val="003419E8"/>
    <w:rsid w:val="0034203C"/>
    <w:rsid w:val="00342ED0"/>
    <w:rsid w:val="00343111"/>
    <w:rsid w:val="003446F2"/>
    <w:rsid w:val="00344BB4"/>
    <w:rsid w:val="003457C2"/>
    <w:rsid w:val="00345BAA"/>
    <w:rsid w:val="00346168"/>
    <w:rsid w:val="003479E8"/>
    <w:rsid w:val="00347BFE"/>
    <w:rsid w:val="00350613"/>
    <w:rsid w:val="003533FF"/>
    <w:rsid w:val="00353EB6"/>
    <w:rsid w:val="0035440B"/>
    <w:rsid w:val="0035508E"/>
    <w:rsid w:val="00355BA4"/>
    <w:rsid w:val="00355DE7"/>
    <w:rsid w:val="003605D5"/>
    <w:rsid w:val="0036078C"/>
    <w:rsid w:val="00361606"/>
    <w:rsid w:val="0036180A"/>
    <w:rsid w:val="00361890"/>
    <w:rsid w:val="00361EC8"/>
    <w:rsid w:val="00363503"/>
    <w:rsid w:val="00364050"/>
    <w:rsid w:val="0036413A"/>
    <w:rsid w:val="0036493E"/>
    <w:rsid w:val="00364EA4"/>
    <w:rsid w:val="00365625"/>
    <w:rsid w:val="00370B52"/>
    <w:rsid w:val="003715FA"/>
    <w:rsid w:val="00371710"/>
    <w:rsid w:val="00372354"/>
    <w:rsid w:val="003723B0"/>
    <w:rsid w:val="00372E59"/>
    <w:rsid w:val="00373AFF"/>
    <w:rsid w:val="00373D30"/>
    <w:rsid w:val="00375CB6"/>
    <w:rsid w:val="003777F2"/>
    <w:rsid w:val="003819CB"/>
    <w:rsid w:val="00381A96"/>
    <w:rsid w:val="00383792"/>
    <w:rsid w:val="00383ED6"/>
    <w:rsid w:val="003849CA"/>
    <w:rsid w:val="003857F6"/>
    <w:rsid w:val="00385823"/>
    <w:rsid w:val="0038737D"/>
    <w:rsid w:val="00390487"/>
    <w:rsid w:val="003928A6"/>
    <w:rsid w:val="00392949"/>
    <w:rsid w:val="00393988"/>
    <w:rsid w:val="00393D8A"/>
    <w:rsid w:val="00394A69"/>
    <w:rsid w:val="00394CC7"/>
    <w:rsid w:val="003950B7"/>
    <w:rsid w:val="00395BA6"/>
    <w:rsid w:val="00396205"/>
    <w:rsid w:val="0039649B"/>
    <w:rsid w:val="0039775C"/>
    <w:rsid w:val="003978C3"/>
    <w:rsid w:val="00397B19"/>
    <w:rsid w:val="00397E6B"/>
    <w:rsid w:val="00397F96"/>
    <w:rsid w:val="003A04CD"/>
    <w:rsid w:val="003A059D"/>
    <w:rsid w:val="003A07B0"/>
    <w:rsid w:val="003A114F"/>
    <w:rsid w:val="003A299B"/>
    <w:rsid w:val="003A39DD"/>
    <w:rsid w:val="003A535B"/>
    <w:rsid w:val="003A5419"/>
    <w:rsid w:val="003A596E"/>
    <w:rsid w:val="003A7516"/>
    <w:rsid w:val="003B0168"/>
    <w:rsid w:val="003B04E8"/>
    <w:rsid w:val="003B079D"/>
    <w:rsid w:val="003B0873"/>
    <w:rsid w:val="003B0E02"/>
    <w:rsid w:val="003B2BD1"/>
    <w:rsid w:val="003B2DED"/>
    <w:rsid w:val="003B52B9"/>
    <w:rsid w:val="003B5635"/>
    <w:rsid w:val="003B60A1"/>
    <w:rsid w:val="003B6113"/>
    <w:rsid w:val="003B64C7"/>
    <w:rsid w:val="003B6FE0"/>
    <w:rsid w:val="003B7790"/>
    <w:rsid w:val="003B78BD"/>
    <w:rsid w:val="003C0206"/>
    <w:rsid w:val="003C1846"/>
    <w:rsid w:val="003C1D78"/>
    <w:rsid w:val="003C2CDB"/>
    <w:rsid w:val="003C38B5"/>
    <w:rsid w:val="003C3E17"/>
    <w:rsid w:val="003C3E5B"/>
    <w:rsid w:val="003C409A"/>
    <w:rsid w:val="003C545E"/>
    <w:rsid w:val="003C54EF"/>
    <w:rsid w:val="003C55CE"/>
    <w:rsid w:val="003C5616"/>
    <w:rsid w:val="003C6394"/>
    <w:rsid w:val="003C6B26"/>
    <w:rsid w:val="003C72FC"/>
    <w:rsid w:val="003D00C7"/>
    <w:rsid w:val="003D058C"/>
    <w:rsid w:val="003D0AD5"/>
    <w:rsid w:val="003D157E"/>
    <w:rsid w:val="003D2089"/>
    <w:rsid w:val="003D256E"/>
    <w:rsid w:val="003D35DA"/>
    <w:rsid w:val="003D3613"/>
    <w:rsid w:val="003D3EE8"/>
    <w:rsid w:val="003D4863"/>
    <w:rsid w:val="003D4BF0"/>
    <w:rsid w:val="003D6C0D"/>
    <w:rsid w:val="003D7D09"/>
    <w:rsid w:val="003D7F97"/>
    <w:rsid w:val="003E08F5"/>
    <w:rsid w:val="003E1257"/>
    <w:rsid w:val="003E1A59"/>
    <w:rsid w:val="003E261A"/>
    <w:rsid w:val="003E2CD9"/>
    <w:rsid w:val="003E31CE"/>
    <w:rsid w:val="003E3A2B"/>
    <w:rsid w:val="003E4235"/>
    <w:rsid w:val="003E46EF"/>
    <w:rsid w:val="003E51C3"/>
    <w:rsid w:val="003E5E33"/>
    <w:rsid w:val="003E61FC"/>
    <w:rsid w:val="003F00D2"/>
    <w:rsid w:val="003F0397"/>
    <w:rsid w:val="003F0869"/>
    <w:rsid w:val="003F0E23"/>
    <w:rsid w:val="003F177F"/>
    <w:rsid w:val="003F22B0"/>
    <w:rsid w:val="003F24C5"/>
    <w:rsid w:val="003F2713"/>
    <w:rsid w:val="003F2FCF"/>
    <w:rsid w:val="003F30F5"/>
    <w:rsid w:val="003F329A"/>
    <w:rsid w:val="003F353C"/>
    <w:rsid w:val="003F3815"/>
    <w:rsid w:val="003F3CDE"/>
    <w:rsid w:val="003F467F"/>
    <w:rsid w:val="003F5AFF"/>
    <w:rsid w:val="003F67FF"/>
    <w:rsid w:val="003F6B11"/>
    <w:rsid w:val="003F7648"/>
    <w:rsid w:val="00400878"/>
    <w:rsid w:val="00401497"/>
    <w:rsid w:val="00402217"/>
    <w:rsid w:val="00402A62"/>
    <w:rsid w:val="00403BB6"/>
    <w:rsid w:val="004052DE"/>
    <w:rsid w:val="0040535C"/>
    <w:rsid w:val="00405CE5"/>
    <w:rsid w:val="00405DEB"/>
    <w:rsid w:val="00406085"/>
    <w:rsid w:val="00406E3A"/>
    <w:rsid w:val="00410E74"/>
    <w:rsid w:val="00411589"/>
    <w:rsid w:val="00411D37"/>
    <w:rsid w:val="00411DDD"/>
    <w:rsid w:val="00413292"/>
    <w:rsid w:val="00413E45"/>
    <w:rsid w:val="0041436E"/>
    <w:rsid w:val="0041582C"/>
    <w:rsid w:val="0041650A"/>
    <w:rsid w:val="00416D1D"/>
    <w:rsid w:val="00417A28"/>
    <w:rsid w:val="00421E2B"/>
    <w:rsid w:val="00422025"/>
    <w:rsid w:val="0042204D"/>
    <w:rsid w:val="0042350B"/>
    <w:rsid w:val="004239C3"/>
    <w:rsid w:val="00424578"/>
    <w:rsid w:val="00424DE1"/>
    <w:rsid w:val="0042608D"/>
    <w:rsid w:val="00427916"/>
    <w:rsid w:val="00427EE6"/>
    <w:rsid w:val="00431F22"/>
    <w:rsid w:val="00433217"/>
    <w:rsid w:val="0043377E"/>
    <w:rsid w:val="004353C1"/>
    <w:rsid w:val="00436D72"/>
    <w:rsid w:val="00437936"/>
    <w:rsid w:val="004406DF"/>
    <w:rsid w:val="0044075D"/>
    <w:rsid w:val="004428C6"/>
    <w:rsid w:val="004429D3"/>
    <w:rsid w:val="004429FC"/>
    <w:rsid w:val="00442CAA"/>
    <w:rsid w:val="00443C3A"/>
    <w:rsid w:val="00444C58"/>
    <w:rsid w:val="00445125"/>
    <w:rsid w:val="00446B13"/>
    <w:rsid w:val="00450F69"/>
    <w:rsid w:val="00451163"/>
    <w:rsid w:val="00453CB9"/>
    <w:rsid w:val="00453D17"/>
    <w:rsid w:val="00454BB3"/>
    <w:rsid w:val="00455B41"/>
    <w:rsid w:val="00455B7B"/>
    <w:rsid w:val="00457530"/>
    <w:rsid w:val="00457668"/>
    <w:rsid w:val="004576AC"/>
    <w:rsid w:val="00460CB7"/>
    <w:rsid w:val="00460E75"/>
    <w:rsid w:val="004613B0"/>
    <w:rsid w:val="00461586"/>
    <w:rsid w:val="00463148"/>
    <w:rsid w:val="00463153"/>
    <w:rsid w:val="00463983"/>
    <w:rsid w:val="00463D68"/>
    <w:rsid w:val="004640C5"/>
    <w:rsid w:val="00465924"/>
    <w:rsid w:val="00466189"/>
    <w:rsid w:val="00466F2F"/>
    <w:rsid w:val="00467D06"/>
    <w:rsid w:val="00470549"/>
    <w:rsid w:val="00472422"/>
    <w:rsid w:val="004729FE"/>
    <w:rsid w:val="00473711"/>
    <w:rsid w:val="00474027"/>
    <w:rsid w:val="00474445"/>
    <w:rsid w:val="00474F0B"/>
    <w:rsid w:val="004752DD"/>
    <w:rsid w:val="00475B27"/>
    <w:rsid w:val="00476A7E"/>
    <w:rsid w:val="00476D75"/>
    <w:rsid w:val="00476F5B"/>
    <w:rsid w:val="00477649"/>
    <w:rsid w:val="00480090"/>
    <w:rsid w:val="004811C8"/>
    <w:rsid w:val="00481207"/>
    <w:rsid w:val="0048136F"/>
    <w:rsid w:val="00481B2F"/>
    <w:rsid w:val="00482721"/>
    <w:rsid w:val="00482BB8"/>
    <w:rsid w:val="00484529"/>
    <w:rsid w:val="00484C57"/>
    <w:rsid w:val="00485AFD"/>
    <w:rsid w:val="00491D05"/>
    <w:rsid w:val="0049319B"/>
    <w:rsid w:val="0049478D"/>
    <w:rsid w:val="00494CF5"/>
    <w:rsid w:val="00495008"/>
    <w:rsid w:val="0049507C"/>
    <w:rsid w:val="004971C9"/>
    <w:rsid w:val="004974D0"/>
    <w:rsid w:val="00497FB5"/>
    <w:rsid w:val="004A111B"/>
    <w:rsid w:val="004A1477"/>
    <w:rsid w:val="004A2F7B"/>
    <w:rsid w:val="004A3B63"/>
    <w:rsid w:val="004A4DDE"/>
    <w:rsid w:val="004A4EFE"/>
    <w:rsid w:val="004A5FC1"/>
    <w:rsid w:val="004A6049"/>
    <w:rsid w:val="004A7ED5"/>
    <w:rsid w:val="004B45EC"/>
    <w:rsid w:val="004B5146"/>
    <w:rsid w:val="004B57D8"/>
    <w:rsid w:val="004B6008"/>
    <w:rsid w:val="004B7133"/>
    <w:rsid w:val="004B7991"/>
    <w:rsid w:val="004B7FA1"/>
    <w:rsid w:val="004C0079"/>
    <w:rsid w:val="004C0375"/>
    <w:rsid w:val="004C0463"/>
    <w:rsid w:val="004C1211"/>
    <w:rsid w:val="004C18D6"/>
    <w:rsid w:val="004C21DE"/>
    <w:rsid w:val="004C227D"/>
    <w:rsid w:val="004C3DE3"/>
    <w:rsid w:val="004C46AF"/>
    <w:rsid w:val="004C4A5C"/>
    <w:rsid w:val="004C4C19"/>
    <w:rsid w:val="004C4DE6"/>
    <w:rsid w:val="004C5183"/>
    <w:rsid w:val="004C58B8"/>
    <w:rsid w:val="004C5A67"/>
    <w:rsid w:val="004C5DD9"/>
    <w:rsid w:val="004C685C"/>
    <w:rsid w:val="004C7888"/>
    <w:rsid w:val="004C7967"/>
    <w:rsid w:val="004C7F19"/>
    <w:rsid w:val="004D0140"/>
    <w:rsid w:val="004D11F1"/>
    <w:rsid w:val="004D347D"/>
    <w:rsid w:val="004D3BF9"/>
    <w:rsid w:val="004D4A9D"/>
    <w:rsid w:val="004D509D"/>
    <w:rsid w:val="004D61AC"/>
    <w:rsid w:val="004D6376"/>
    <w:rsid w:val="004D78C7"/>
    <w:rsid w:val="004E1BA7"/>
    <w:rsid w:val="004E25C8"/>
    <w:rsid w:val="004E2B64"/>
    <w:rsid w:val="004E302D"/>
    <w:rsid w:val="004E3C56"/>
    <w:rsid w:val="004E41D6"/>
    <w:rsid w:val="004E4AB2"/>
    <w:rsid w:val="004E54C8"/>
    <w:rsid w:val="004E72BD"/>
    <w:rsid w:val="004F041B"/>
    <w:rsid w:val="004F1E54"/>
    <w:rsid w:val="004F2393"/>
    <w:rsid w:val="004F3B6F"/>
    <w:rsid w:val="004F3E94"/>
    <w:rsid w:val="004F4384"/>
    <w:rsid w:val="004F62AF"/>
    <w:rsid w:val="004F6E8B"/>
    <w:rsid w:val="004F6F2D"/>
    <w:rsid w:val="004F75C3"/>
    <w:rsid w:val="004F7E67"/>
    <w:rsid w:val="0050023A"/>
    <w:rsid w:val="0050097C"/>
    <w:rsid w:val="00502176"/>
    <w:rsid w:val="00502391"/>
    <w:rsid w:val="005034A0"/>
    <w:rsid w:val="005034D4"/>
    <w:rsid w:val="00503AFF"/>
    <w:rsid w:val="00503D38"/>
    <w:rsid w:val="005042B2"/>
    <w:rsid w:val="00504503"/>
    <w:rsid w:val="0050508B"/>
    <w:rsid w:val="005050FF"/>
    <w:rsid w:val="005058C3"/>
    <w:rsid w:val="00507218"/>
    <w:rsid w:val="0051006C"/>
    <w:rsid w:val="00510C53"/>
    <w:rsid w:val="00511B6B"/>
    <w:rsid w:val="00512741"/>
    <w:rsid w:val="0051403E"/>
    <w:rsid w:val="005147BF"/>
    <w:rsid w:val="00514B22"/>
    <w:rsid w:val="00515618"/>
    <w:rsid w:val="00515724"/>
    <w:rsid w:val="005167D6"/>
    <w:rsid w:val="005167F9"/>
    <w:rsid w:val="00516E9C"/>
    <w:rsid w:val="005172CD"/>
    <w:rsid w:val="0051741E"/>
    <w:rsid w:val="0051775A"/>
    <w:rsid w:val="005201CF"/>
    <w:rsid w:val="00520600"/>
    <w:rsid w:val="005209A4"/>
    <w:rsid w:val="005213BD"/>
    <w:rsid w:val="00522D82"/>
    <w:rsid w:val="00522F8F"/>
    <w:rsid w:val="005241C8"/>
    <w:rsid w:val="00524E04"/>
    <w:rsid w:val="005255D1"/>
    <w:rsid w:val="00526A0E"/>
    <w:rsid w:val="005277D0"/>
    <w:rsid w:val="0053248E"/>
    <w:rsid w:val="00532606"/>
    <w:rsid w:val="00533BB0"/>
    <w:rsid w:val="005343C2"/>
    <w:rsid w:val="00534E60"/>
    <w:rsid w:val="00535191"/>
    <w:rsid w:val="005371A1"/>
    <w:rsid w:val="0053757A"/>
    <w:rsid w:val="0053770A"/>
    <w:rsid w:val="00540777"/>
    <w:rsid w:val="0054297E"/>
    <w:rsid w:val="005431B1"/>
    <w:rsid w:val="005449E1"/>
    <w:rsid w:val="005453F7"/>
    <w:rsid w:val="0054578E"/>
    <w:rsid w:val="00545917"/>
    <w:rsid w:val="00545A81"/>
    <w:rsid w:val="00546130"/>
    <w:rsid w:val="005464CF"/>
    <w:rsid w:val="005464DD"/>
    <w:rsid w:val="005466F6"/>
    <w:rsid w:val="00546A5E"/>
    <w:rsid w:val="00547936"/>
    <w:rsid w:val="00550039"/>
    <w:rsid w:val="00552D05"/>
    <w:rsid w:val="00552E13"/>
    <w:rsid w:val="00553081"/>
    <w:rsid w:val="00553C22"/>
    <w:rsid w:val="0055431A"/>
    <w:rsid w:val="00554715"/>
    <w:rsid w:val="00554C09"/>
    <w:rsid w:val="00554D99"/>
    <w:rsid w:val="005550EF"/>
    <w:rsid w:val="00555582"/>
    <w:rsid w:val="005557D4"/>
    <w:rsid w:val="005578BF"/>
    <w:rsid w:val="00560AC0"/>
    <w:rsid w:val="0056297F"/>
    <w:rsid w:val="0056325C"/>
    <w:rsid w:val="005709D7"/>
    <w:rsid w:val="005716D5"/>
    <w:rsid w:val="00571B3A"/>
    <w:rsid w:val="00573B30"/>
    <w:rsid w:val="00575112"/>
    <w:rsid w:val="00575472"/>
    <w:rsid w:val="005764F4"/>
    <w:rsid w:val="00576EA4"/>
    <w:rsid w:val="00576EBA"/>
    <w:rsid w:val="00576F28"/>
    <w:rsid w:val="00577799"/>
    <w:rsid w:val="005777D0"/>
    <w:rsid w:val="0057792C"/>
    <w:rsid w:val="00580229"/>
    <w:rsid w:val="00581158"/>
    <w:rsid w:val="005814FF"/>
    <w:rsid w:val="00582CC1"/>
    <w:rsid w:val="005836E2"/>
    <w:rsid w:val="005837F7"/>
    <w:rsid w:val="00584180"/>
    <w:rsid w:val="005848EE"/>
    <w:rsid w:val="00584C64"/>
    <w:rsid w:val="00584CBA"/>
    <w:rsid w:val="005859E8"/>
    <w:rsid w:val="00585ACC"/>
    <w:rsid w:val="00586505"/>
    <w:rsid w:val="0058655C"/>
    <w:rsid w:val="00586E9D"/>
    <w:rsid w:val="005876B0"/>
    <w:rsid w:val="00587C23"/>
    <w:rsid w:val="00591E7A"/>
    <w:rsid w:val="00592701"/>
    <w:rsid w:val="00592F21"/>
    <w:rsid w:val="00595212"/>
    <w:rsid w:val="00595DED"/>
    <w:rsid w:val="0059791D"/>
    <w:rsid w:val="00597DD2"/>
    <w:rsid w:val="005A0136"/>
    <w:rsid w:val="005A0A61"/>
    <w:rsid w:val="005A1658"/>
    <w:rsid w:val="005A197F"/>
    <w:rsid w:val="005A1C07"/>
    <w:rsid w:val="005A2FE7"/>
    <w:rsid w:val="005A4A80"/>
    <w:rsid w:val="005A5224"/>
    <w:rsid w:val="005A5887"/>
    <w:rsid w:val="005A64CA"/>
    <w:rsid w:val="005A65C2"/>
    <w:rsid w:val="005A6626"/>
    <w:rsid w:val="005A6C71"/>
    <w:rsid w:val="005A7665"/>
    <w:rsid w:val="005B10BC"/>
    <w:rsid w:val="005B12A7"/>
    <w:rsid w:val="005B12C7"/>
    <w:rsid w:val="005B263D"/>
    <w:rsid w:val="005B3C3C"/>
    <w:rsid w:val="005B4DDD"/>
    <w:rsid w:val="005B7E59"/>
    <w:rsid w:val="005C0047"/>
    <w:rsid w:val="005C057E"/>
    <w:rsid w:val="005C087B"/>
    <w:rsid w:val="005C1B91"/>
    <w:rsid w:val="005C1F7C"/>
    <w:rsid w:val="005C515D"/>
    <w:rsid w:val="005C5674"/>
    <w:rsid w:val="005C6C00"/>
    <w:rsid w:val="005D0DF8"/>
    <w:rsid w:val="005D0E56"/>
    <w:rsid w:val="005D2BD0"/>
    <w:rsid w:val="005D4064"/>
    <w:rsid w:val="005D4876"/>
    <w:rsid w:val="005D4A74"/>
    <w:rsid w:val="005D5D9F"/>
    <w:rsid w:val="005D5EE6"/>
    <w:rsid w:val="005D6E9E"/>
    <w:rsid w:val="005D6F67"/>
    <w:rsid w:val="005D70B1"/>
    <w:rsid w:val="005E05B5"/>
    <w:rsid w:val="005E0A61"/>
    <w:rsid w:val="005E13DC"/>
    <w:rsid w:val="005E1F3E"/>
    <w:rsid w:val="005E2FEA"/>
    <w:rsid w:val="005E33C8"/>
    <w:rsid w:val="005E34D2"/>
    <w:rsid w:val="005E5B5F"/>
    <w:rsid w:val="005E5E96"/>
    <w:rsid w:val="005E644F"/>
    <w:rsid w:val="005E6BD7"/>
    <w:rsid w:val="005E6DCF"/>
    <w:rsid w:val="005E77FC"/>
    <w:rsid w:val="005E7FB0"/>
    <w:rsid w:val="005F1DF6"/>
    <w:rsid w:val="005F203B"/>
    <w:rsid w:val="005F2611"/>
    <w:rsid w:val="005F284F"/>
    <w:rsid w:val="005F2DDE"/>
    <w:rsid w:val="005F37F9"/>
    <w:rsid w:val="005F42FA"/>
    <w:rsid w:val="005F57E3"/>
    <w:rsid w:val="00601800"/>
    <w:rsid w:val="00601AAC"/>
    <w:rsid w:val="006051F1"/>
    <w:rsid w:val="0060554F"/>
    <w:rsid w:val="00606851"/>
    <w:rsid w:val="0060685D"/>
    <w:rsid w:val="00606BAF"/>
    <w:rsid w:val="00606EE5"/>
    <w:rsid w:val="006070D6"/>
    <w:rsid w:val="006075D6"/>
    <w:rsid w:val="00607B21"/>
    <w:rsid w:val="00613DAD"/>
    <w:rsid w:val="00616611"/>
    <w:rsid w:val="006223E9"/>
    <w:rsid w:val="00622533"/>
    <w:rsid w:val="00622D45"/>
    <w:rsid w:val="00622F96"/>
    <w:rsid w:val="00624DCA"/>
    <w:rsid w:val="00625780"/>
    <w:rsid w:val="00625EDC"/>
    <w:rsid w:val="0063013C"/>
    <w:rsid w:val="00630619"/>
    <w:rsid w:val="00630E51"/>
    <w:rsid w:val="00630EB1"/>
    <w:rsid w:val="00631A11"/>
    <w:rsid w:val="00631E41"/>
    <w:rsid w:val="00632A92"/>
    <w:rsid w:val="0063379A"/>
    <w:rsid w:val="00634EF4"/>
    <w:rsid w:val="00634F07"/>
    <w:rsid w:val="00636152"/>
    <w:rsid w:val="0063695E"/>
    <w:rsid w:val="00637307"/>
    <w:rsid w:val="0063753E"/>
    <w:rsid w:val="00637C40"/>
    <w:rsid w:val="00637F49"/>
    <w:rsid w:val="006424EB"/>
    <w:rsid w:val="00642B3C"/>
    <w:rsid w:val="00643239"/>
    <w:rsid w:val="006432DB"/>
    <w:rsid w:val="00643638"/>
    <w:rsid w:val="006446B5"/>
    <w:rsid w:val="0064527A"/>
    <w:rsid w:val="006461BF"/>
    <w:rsid w:val="00647FBE"/>
    <w:rsid w:val="00651E14"/>
    <w:rsid w:val="00652EB5"/>
    <w:rsid w:val="006553F7"/>
    <w:rsid w:val="00655728"/>
    <w:rsid w:val="00655ECE"/>
    <w:rsid w:val="006600ED"/>
    <w:rsid w:val="00660BC2"/>
    <w:rsid w:val="0066156D"/>
    <w:rsid w:val="00661646"/>
    <w:rsid w:val="00663B38"/>
    <w:rsid w:val="00664D9F"/>
    <w:rsid w:val="00665520"/>
    <w:rsid w:val="0066586C"/>
    <w:rsid w:val="0067219B"/>
    <w:rsid w:val="00672562"/>
    <w:rsid w:val="00672D34"/>
    <w:rsid w:val="0067411B"/>
    <w:rsid w:val="00674625"/>
    <w:rsid w:val="00675405"/>
    <w:rsid w:val="0067551B"/>
    <w:rsid w:val="00675CF5"/>
    <w:rsid w:val="00676001"/>
    <w:rsid w:val="00676231"/>
    <w:rsid w:val="00676340"/>
    <w:rsid w:val="006777A4"/>
    <w:rsid w:val="00677E64"/>
    <w:rsid w:val="00680F95"/>
    <w:rsid w:val="00682354"/>
    <w:rsid w:val="006849F5"/>
    <w:rsid w:val="00685572"/>
    <w:rsid w:val="00685FA9"/>
    <w:rsid w:val="006862D4"/>
    <w:rsid w:val="00686658"/>
    <w:rsid w:val="006877BE"/>
    <w:rsid w:val="00687980"/>
    <w:rsid w:val="00690FD4"/>
    <w:rsid w:val="00691B31"/>
    <w:rsid w:val="0069234E"/>
    <w:rsid w:val="0069266B"/>
    <w:rsid w:val="00692867"/>
    <w:rsid w:val="00692D3C"/>
    <w:rsid w:val="00693193"/>
    <w:rsid w:val="00693368"/>
    <w:rsid w:val="0069365B"/>
    <w:rsid w:val="00693C1D"/>
    <w:rsid w:val="00693F11"/>
    <w:rsid w:val="00694073"/>
    <w:rsid w:val="00694A0B"/>
    <w:rsid w:val="00694BA3"/>
    <w:rsid w:val="0069529C"/>
    <w:rsid w:val="00695339"/>
    <w:rsid w:val="0069600C"/>
    <w:rsid w:val="00697103"/>
    <w:rsid w:val="006A18A3"/>
    <w:rsid w:val="006A193E"/>
    <w:rsid w:val="006A1B4F"/>
    <w:rsid w:val="006A2244"/>
    <w:rsid w:val="006A2F9A"/>
    <w:rsid w:val="006A3716"/>
    <w:rsid w:val="006A3AE7"/>
    <w:rsid w:val="006A3C57"/>
    <w:rsid w:val="006A3E77"/>
    <w:rsid w:val="006A3F51"/>
    <w:rsid w:val="006A5A43"/>
    <w:rsid w:val="006A5EF7"/>
    <w:rsid w:val="006A7E34"/>
    <w:rsid w:val="006B0019"/>
    <w:rsid w:val="006B1A2B"/>
    <w:rsid w:val="006B2597"/>
    <w:rsid w:val="006B28C6"/>
    <w:rsid w:val="006B298F"/>
    <w:rsid w:val="006B341D"/>
    <w:rsid w:val="006B4141"/>
    <w:rsid w:val="006B4A50"/>
    <w:rsid w:val="006B5C40"/>
    <w:rsid w:val="006B6C98"/>
    <w:rsid w:val="006C3D59"/>
    <w:rsid w:val="006C436C"/>
    <w:rsid w:val="006C478D"/>
    <w:rsid w:val="006C60C1"/>
    <w:rsid w:val="006C6F17"/>
    <w:rsid w:val="006C7543"/>
    <w:rsid w:val="006C7F21"/>
    <w:rsid w:val="006D0363"/>
    <w:rsid w:val="006D03CA"/>
    <w:rsid w:val="006D0A23"/>
    <w:rsid w:val="006D0AE1"/>
    <w:rsid w:val="006D26B7"/>
    <w:rsid w:val="006D27D9"/>
    <w:rsid w:val="006D2E7F"/>
    <w:rsid w:val="006D3CE6"/>
    <w:rsid w:val="006D3D1F"/>
    <w:rsid w:val="006D46AA"/>
    <w:rsid w:val="006D55EF"/>
    <w:rsid w:val="006D5AA9"/>
    <w:rsid w:val="006D634F"/>
    <w:rsid w:val="006D63AB"/>
    <w:rsid w:val="006D6C7C"/>
    <w:rsid w:val="006D736C"/>
    <w:rsid w:val="006D7FC9"/>
    <w:rsid w:val="006E1103"/>
    <w:rsid w:val="006E1262"/>
    <w:rsid w:val="006E25C3"/>
    <w:rsid w:val="006E66D9"/>
    <w:rsid w:val="006E6DF5"/>
    <w:rsid w:val="006E7269"/>
    <w:rsid w:val="006E739C"/>
    <w:rsid w:val="006E7BDE"/>
    <w:rsid w:val="006F0848"/>
    <w:rsid w:val="006F1F97"/>
    <w:rsid w:val="006F359D"/>
    <w:rsid w:val="006F4171"/>
    <w:rsid w:val="006F4350"/>
    <w:rsid w:val="006F460A"/>
    <w:rsid w:val="006F472F"/>
    <w:rsid w:val="006F51D4"/>
    <w:rsid w:val="006F540A"/>
    <w:rsid w:val="006F5C7F"/>
    <w:rsid w:val="006F6393"/>
    <w:rsid w:val="00700632"/>
    <w:rsid w:val="00700E49"/>
    <w:rsid w:val="0070152D"/>
    <w:rsid w:val="00701895"/>
    <w:rsid w:val="00701D64"/>
    <w:rsid w:val="0070241A"/>
    <w:rsid w:val="007027C9"/>
    <w:rsid w:val="00702A23"/>
    <w:rsid w:val="00704D0E"/>
    <w:rsid w:val="00707D52"/>
    <w:rsid w:val="00707E95"/>
    <w:rsid w:val="00710F34"/>
    <w:rsid w:val="0071126F"/>
    <w:rsid w:val="00711402"/>
    <w:rsid w:val="00711FDF"/>
    <w:rsid w:val="00712426"/>
    <w:rsid w:val="007127F3"/>
    <w:rsid w:val="00712B49"/>
    <w:rsid w:val="0071309E"/>
    <w:rsid w:val="007132D6"/>
    <w:rsid w:val="0071596D"/>
    <w:rsid w:val="00715D7E"/>
    <w:rsid w:val="00716BF7"/>
    <w:rsid w:val="00720A2C"/>
    <w:rsid w:val="00720A30"/>
    <w:rsid w:val="00720C1F"/>
    <w:rsid w:val="00720D25"/>
    <w:rsid w:val="007211F9"/>
    <w:rsid w:val="0072160E"/>
    <w:rsid w:val="007217EA"/>
    <w:rsid w:val="00722825"/>
    <w:rsid w:val="0072329E"/>
    <w:rsid w:val="007251B8"/>
    <w:rsid w:val="0072624D"/>
    <w:rsid w:val="00726B92"/>
    <w:rsid w:val="007275B9"/>
    <w:rsid w:val="0073050B"/>
    <w:rsid w:val="007307C0"/>
    <w:rsid w:val="0073173D"/>
    <w:rsid w:val="00731AF6"/>
    <w:rsid w:val="00731F7E"/>
    <w:rsid w:val="007323F5"/>
    <w:rsid w:val="007333AE"/>
    <w:rsid w:val="0073453F"/>
    <w:rsid w:val="007345DF"/>
    <w:rsid w:val="00735048"/>
    <w:rsid w:val="0073506F"/>
    <w:rsid w:val="007350CC"/>
    <w:rsid w:val="00736B22"/>
    <w:rsid w:val="00741C23"/>
    <w:rsid w:val="00741D46"/>
    <w:rsid w:val="0074357D"/>
    <w:rsid w:val="00743590"/>
    <w:rsid w:val="0074439F"/>
    <w:rsid w:val="007450D3"/>
    <w:rsid w:val="00746D0C"/>
    <w:rsid w:val="007471E0"/>
    <w:rsid w:val="007479D2"/>
    <w:rsid w:val="00750C6E"/>
    <w:rsid w:val="00750D12"/>
    <w:rsid w:val="0075151C"/>
    <w:rsid w:val="007528CC"/>
    <w:rsid w:val="00752F65"/>
    <w:rsid w:val="00753A4E"/>
    <w:rsid w:val="00753BFD"/>
    <w:rsid w:val="00753DBD"/>
    <w:rsid w:val="00753F3B"/>
    <w:rsid w:val="0075505B"/>
    <w:rsid w:val="00755851"/>
    <w:rsid w:val="0075588B"/>
    <w:rsid w:val="00756225"/>
    <w:rsid w:val="00756804"/>
    <w:rsid w:val="00757037"/>
    <w:rsid w:val="00760282"/>
    <w:rsid w:val="00760455"/>
    <w:rsid w:val="007604D4"/>
    <w:rsid w:val="00761035"/>
    <w:rsid w:val="007614F2"/>
    <w:rsid w:val="007637A0"/>
    <w:rsid w:val="00765356"/>
    <w:rsid w:val="00765DDB"/>
    <w:rsid w:val="00766B5A"/>
    <w:rsid w:val="00766B9F"/>
    <w:rsid w:val="0076713C"/>
    <w:rsid w:val="00770489"/>
    <w:rsid w:val="00770578"/>
    <w:rsid w:val="00771B12"/>
    <w:rsid w:val="00771C5F"/>
    <w:rsid w:val="00775CB3"/>
    <w:rsid w:val="007772C0"/>
    <w:rsid w:val="007772DF"/>
    <w:rsid w:val="00782030"/>
    <w:rsid w:val="007823B3"/>
    <w:rsid w:val="00782750"/>
    <w:rsid w:val="0078287F"/>
    <w:rsid w:val="0078388C"/>
    <w:rsid w:val="007846E9"/>
    <w:rsid w:val="00784E73"/>
    <w:rsid w:val="00785217"/>
    <w:rsid w:val="007864F0"/>
    <w:rsid w:val="00786711"/>
    <w:rsid w:val="00787142"/>
    <w:rsid w:val="00790BB7"/>
    <w:rsid w:val="007928E9"/>
    <w:rsid w:val="00792DAF"/>
    <w:rsid w:val="00792ECF"/>
    <w:rsid w:val="00793BD1"/>
    <w:rsid w:val="0079436D"/>
    <w:rsid w:val="00795A93"/>
    <w:rsid w:val="00797415"/>
    <w:rsid w:val="00797608"/>
    <w:rsid w:val="0079793A"/>
    <w:rsid w:val="007A0B4B"/>
    <w:rsid w:val="007A0D65"/>
    <w:rsid w:val="007A2563"/>
    <w:rsid w:val="007A2608"/>
    <w:rsid w:val="007A270D"/>
    <w:rsid w:val="007A291F"/>
    <w:rsid w:val="007A386A"/>
    <w:rsid w:val="007A3E5C"/>
    <w:rsid w:val="007A46F3"/>
    <w:rsid w:val="007A4E50"/>
    <w:rsid w:val="007A581A"/>
    <w:rsid w:val="007A660D"/>
    <w:rsid w:val="007A744B"/>
    <w:rsid w:val="007B26F7"/>
    <w:rsid w:val="007B28A3"/>
    <w:rsid w:val="007B2A22"/>
    <w:rsid w:val="007B3024"/>
    <w:rsid w:val="007B3460"/>
    <w:rsid w:val="007B4156"/>
    <w:rsid w:val="007B4B3E"/>
    <w:rsid w:val="007B5967"/>
    <w:rsid w:val="007B5C94"/>
    <w:rsid w:val="007B65C2"/>
    <w:rsid w:val="007B75F9"/>
    <w:rsid w:val="007B7E50"/>
    <w:rsid w:val="007B7F3A"/>
    <w:rsid w:val="007C00D8"/>
    <w:rsid w:val="007C0E92"/>
    <w:rsid w:val="007C1697"/>
    <w:rsid w:val="007C181D"/>
    <w:rsid w:val="007C2E6F"/>
    <w:rsid w:val="007C30F7"/>
    <w:rsid w:val="007C38A5"/>
    <w:rsid w:val="007C40BD"/>
    <w:rsid w:val="007C46FC"/>
    <w:rsid w:val="007C53E5"/>
    <w:rsid w:val="007C5F76"/>
    <w:rsid w:val="007C6717"/>
    <w:rsid w:val="007C7D70"/>
    <w:rsid w:val="007D21FA"/>
    <w:rsid w:val="007D2B25"/>
    <w:rsid w:val="007D3B78"/>
    <w:rsid w:val="007D431F"/>
    <w:rsid w:val="007D5793"/>
    <w:rsid w:val="007D582A"/>
    <w:rsid w:val="007D5E08"/>
    <w:rsid w:val="007D6CDD"/>
    <w:rsid w:val="007D6D2E"/>
    <w:rsid w:val="007D7072"/>
    <w:rsid w:val="007E091D"/>
    <w:rsid w:val="007E167A"/>
    <w:rsid w:val="007E5B56"/>
    <w:rsid w:val="007E5E69"/>
    <w:rsid w:val="007E5F65"/>
    <w:rsid w:val="007E69A0"/>
    <w:rsid w:val="007E6FAA"/>
    <w:rsid w:val="007F0AB5"/>
    <w:rsid w:val="007F22AE"/>
    <w:rsid w:val="007F2FD5"/>
    <w:rsid w:val="007F3A4D"/>
    <w:rsid w:val="007F3B1E"/>
    <w:rsid w:val="007F3B8D"/>
    <w:rsid w:val="007F3CAA"/>
    <w:rsid w:val="007F4B08"/>
    <w:rsid w:val="007F4D9B"/>
    <w:rsid w:val="007F5803"/>
    <w:rsid w:val="007F5A81"/>
    <w:rsid w:val="007F65F6"/>
    <w:rsid w:val="007F6E25"/>
    <w:rsid w:val="0080038E"/>
    <w:rsid w:val="0080254A"/>
    <w:rsid w:val="0080270E"/>
    <w:rsid w:val="00802740"/>
    <w:rsid w:val="00802C36"/>
    <w:rsid w:val="008031FA"/>
    <w:rsid w:val="008031FF"/>
    <w:rsid w:val="00803821"/>
    <w:rsid w:val="008039E1"/>
    <w:rsid w:val="008039EE"/>
    <w:rsid w:val="00803FD1"/>
    <w:rsid w:val="00804709"/>
    <w:rsid w:val="00804917"/>
    <w:rsid w:val="00805B8F"/>
    <w:rsid w:val="008100AE"/>
    <w:rsid w:val="00810588"/>
    <w:rsid w:val="00811EAE"/>
    <w:rsid w:val="008124C8"/>
    <w:rsid w:val="00813B9C"/>
    <w:rsid w:val="008144E4"/>
    <w:rsid w:val="00814618"/>
    <w:rsid w:val="008147E9"/>
    <w:rsid w:val="00816D91"/>
    <w:rsid w:val="00816E35"/>
    <w:rsid w:val="00817438"/>
    <w:rsid w:val="008174BC"/>
    <w:rsid w:val="00817809"/>
    <w:rsid w:val="00820932"/>
    <w:rsid w:val="00821683"/>
    <w:rsid w:val="00821907"/>
    <w:rsid w:val="008228E0"/>
    <w:rsid w:val="00823CF1"/>
    <w:rsid w:val="00823E8D"/>
    <w:rsid w:val="008244D2"/>
    <w:rsid w:val="008270C4"/>
    <w:rsid w:val="00827522"/>
    <w:rsid w:val="00827A00"/>
    <w:rsid w:val="00830586"/>
    <w:rsid w:val="0083209B"/>
    <w:rsid w:val="008321E8"/>
    <w:rsid w:val="00832AD2"/>
    <w:rsid w:val="00835613"/>
    <w:rsid w:val="00835AA8"/>
    <w:rsid w:val="00836279"/>
    <w:rsid w:val="00836658"/>
    <w:rsid w:val="00837D9C"/>
    <w:rsid w:val="0084053D"/>
    <w:rsid w:val="00840A31"/>
    <w:rsid w:val="00845884"/>
    <w:rsid w:val="008476A4"/>
    <w:rsid w:val="00847D37"/>
    <w:rsid w:val="00847FD8"/>
    <w:rsid w:val="008514A8"/>
    <w:rsid w:val="00851704"/>
    <w:rsid w:val="008519A8"/>
    <w:rsid w:val="00851B3D"/>
    <w:rsid w:val="00852BB3"/>
    <w:rsid w:val="0085309F"/>
    <w:rsid w:val="00853513"/>
    <w:rsid w:val="008537BC"/>
    <w:rsid w:val="00853C11"/>
    <w:rsid w:val="00853E70"/>
    <w:rsid w:val="008545C9"/>
    <w:rsid w:val="008556CA"/>
    <w:rsid w:val="00855922"/>
    <w:rsid w:val="00856D97"/>
    <w:rsid w:val="00857152"/>
    <w:rsid w:val="00857F71"/>
    <w:rsid w:val="008602A8"/>
    <w:rsid w:val="00861BA5"/>
    <w:rsid w:val="00861C05"/>
    <w:rsid w:val="00861C32"/>
    <w:rsid w:val="00862E2D"/>
    <w:rsid w:val="0086337A"/>
    <w:rsid w:val="00863859"/>
    <w:rsid w:val="008639F9"/>
    <w:rsid w:val="00863DD5"/>
    <w:rsid w:val="00865136"/>
    <w:rsid w:val="00865F5A"/>
    <w:rsid w:val="00866836"/>
    <w:rsid w:val="00866C74"/>
    <w:rsid w:val="008702B1"/>
    <w:rsid w:val="008706CF"/>
    <w:rsid w:val="00870A4C"/>
    <w:rsid w:val="00871458"/>
    <w:rsid w:val="008714F4"/>
    <w:rsid w:val="00871E00"/>
    <w:rsid w:val="00872BFC"/>
    <w:rsid w:val="00873BCC"/>
    <w:rsid w:val="00874C52"/>
    <w:rsid w:val="00875F60"/>
    <w:rsid w:val="00881339"/>
    <w:rsid w:val="00881550"/>
    <w:rsid w:val="00882D6B"/>
    <w:rsid w:val="0088364C"/>
    <w:rsid w:val="0088397C"/>
    <w:rsid w:val="008841EC"/>
    <w:rsid w:val="00884271"/>
    <w:rsid w:val="00884925"/>
    <w:rsid w:val="008849DE"/>
    <w:rsid w:val="00884ED3"/>
    <w:rsid w:val="008858D5"/>
    <w:rsid w:val="00886495"/>
    <w:rsid w:val="00887F56"/>
    <w:rsid w:val="00891590"/>
    <w:rsid w:val="00892C37"/>
    <w:rsid w:val="00893701"/>
    <w:rsid w:val="0089374F"/>
    <w:rsid w:val="008964DC"/>
    <w:rsid w:val="0089796F"/>
    <w:rsid w:val="008A0DC7"/>
    <w:rsid w:val="008A18EF"/>
    <w:rsid w:val="008A2EB0"/>
    <w:rsid w:val="008A3D64"/>
    <w:rsid w:val="008A4A88"/>
    <w:rsid w:val="008A620D"/>
    <w:rsid w:val="008A6B43"/>
    <w:rsid w:val="008A6BDD"/>
    <w:rsid w:val="008A745A"/>
    <w:rsid w:val="008B0056"/>
    <w:rsid w:val="008B0383"/>
    <w:rsid w:val="008B1963"/>
    <w:rsid w:val="008B1AD7"/>
    <w:rsid w:val="008B4730"/>
    <w:rsid w:val="008B47E8"/>
    <w:rsid w:val="008B49B9"/>
    <w:rsid w:val="008B4FB6"/>
    <w:rsid w:val="008B5D61"/>
    <w:rsid w:val="008B6FA2"/>
    <w:rsid w:val="008B7131"/>
    <w:rsid w:val="008B7DC1"/>
    <w:rsid w:val="008C0651"/>
    <w:rsid w:val="008C1BCB"/>
    <w:rsid w:val="008C246D"/>
    <w:rsid w:val="008C3817"/>
    <w:rsid w:val="008C3D45"/>
    <w:rsid w:val="008C4408"/>
    <w:rsid w:val="008C46E3"/>
    <w:rsid w:val="008C59C7"/>
    <w:rsid w:val="008C652B"/>
    <w:rsid w:val="008C71A1"/>
    <w:rsid w:val="008C7885"/>
    <w:rsid w:val="008C7993"/>
    <w:rsid w:val="008D031A"/>
    <w:rsid w:val="008D24D5"/>
    <w:rsid w:val="008D2E13"/>
    <w:rsid w:val="008D31D8"/>
    <w:rsid w:val="008D5C91"/>
    <w:rsid w:val="008D60EC"/>
    <w:rsid w:val="008D689A"/>
    <w:rsid w:val="008D724E"/>
    <w:rsid w:val="008D777A"/>
    <w:rsid w:val="008E169C"/>
    <w:rsid w:val="008E180A"/>
    <w:rsid w:val="008E1B2D"/>
    <w:rsid w:val="008E1C3A"/>
    <w:rsid w:val="008E3CEF"/>
    <w:rsid w:val="008E3D4F"/>
    <w:rsid w:val="008E4ADE"/>
    <w:rsid w:val="008E5958"/>
    <w:rsid w:val="008E71B8"/>
    <w:rsid w:val="008E71DF"/>
    <w:rsid w:val="008E7454"/>
    <w:rsid w:val="008E787A"/>
    <w:rsid w:val="008F094C"/>
    <w:rsid w:val="008F2258"/>
    <w:rsid w:val="008F2649"/>
    <w:rsid w:val="008F3FDE"/>
    <w:rsid w:val="008F4385"/>
    <w:rsid w:val="008F5616"/>
    <w:rsid w:val="008F56C8"/>
    <w:rsid w:val="008F6081"/>
    <w:rsid w:val="008F6348"/>
    <w:rsid w:val="008F7255"/>
    <w:rsid w:val="008F74DF"/>
    <w:rsid w:val="008F77CC"/>
    <w:rsid w:val="008F7FA3"/>
    <w:rsid w:val="009006F9"/>
    <w:rsid w:val="00901EF0"/>
    <w:rsid w:val="00902720"/>
    <w:rsid w:val="00902B5F"/>
    <w:rsid w:val="00903965"/>
    <w:rsid w:val="00904197"/>
    <w:rsid w:val="009078F5"/>
    <w:rsid w:val="00907AA2"/>
    <w:rsid w:val="00907DFA"/>
    <w:rsid w:val="009112A9"/>
    <w:rsid w:val="00912A4E"/>
    <w:rsid w:val="00912B35"/>
    <w:rsid w:val="00912E65"/>
    <w:rsid w:val="00913011"/>
    <w:rsid w:val="0091357E"/>
    <w:rsid w:val="009135DD"/>
    <w:rsid w:val="009136B8"/>
    <w:rsid w:val="00914A77"/>
    <w:rsid w:val="00916746"/>
    <w:rsid w:val="00917020"/>
    <w:rsid w:val="00917040"/>
    <w:rsid w:val="009176E7"/>
    <w:rsid w:val="0092167D"/>
    <w:rsid w:val="009224B9"/>
    <w:rsid w:val="009234ED"/>
    <w:rsid w:val="00923723"/>
    <w:rsid w:val="00924078"/>
    <w:rsid w:val="0092439D"/>
    <w:rsid w:val="009250A6"/>
    <w:rsid w:val="009253C5"/>
    <w:rsid w:val="00925669"/>
    <w:rsid w:val="00926764"/>
    <w:rsid w:val="00926C47"/>
    <w:rsid w:val="00926CA4"/>
    <w:rsid w:val="00926D86"/>
    <w:rsid w:val="00931472"/>
    <w:rsid w:val="00931DDC"/>
    <w:rsid w:val="009324BE"/>
    <w:rsid w:val="00933C31"/>
    <w:rsid w:val="0093454B"/>
    <w:rsid w:val="00934E7F"/>
    <w:rsid w:val="009350C6"/>
    <w:rsid w:val="00935187"/>
    <w:rsid w:val="0093575A"/>
    <w:rsid w:val="0093588D"/>
    <w:rsid w:val="00935CB8"/>
    <w:rsid w:val="009363ED"/>
    <w:rsid w:val="00936B0D"/>
    <w:rsid w:val="00936C09"/>
    <w:rsid w:val="00937917"/>
    <w:rsid w:val="00937FA9"/>
    <w:rsid w:val="00941523"/>
    <w:rsid w:val="00943273"/>
    <w:rsid w:val="0094395E"/>
    <w:rsid w:val="0094474A"/>
    <w:rsid w:val="00944864"/>
    <w:rsid w:val="00944865"/>
    <w:rsid w:val="00944C6D"/>
    <w:rsid w:val="00945249"/>
    <w:rsid w:val="00946D2A"/>
    <w:rsid w:val="009473A3"/>
    <w:rsid w:val="009475D7"/>
    <w:rsid w:val="00947E96"/>
    <w:rsid w:val="009509A3"/>
    <w:rsid w:val="00951562"/>
    <w:rsid w:val="00951576"/>
    <w:rsid w:val="00951973"/>
    <w:rsid w:val="009526E0"/>
    <w:rsid w:val="00952EA3"/>
    <w:rsid w:val="00953A26"/>
    <w:rsid w:val="00953F80"/>
    <w:rsid w:val="00954066"/>
    <w:rsid w:val="00954370"/>
    <w:rsid w:val="009554FA"/>
    <w:rsid w:val="00955802"/>
    <w:rsid w:val="00955B0B"/>
    <w:rsid w:val="009567A9"/>
    <w:rsid w:val="00957728"/>
    <w:rsid w:val="00957EAC"/>
    <w:rsid w:val="00957FC9"/>
    <w:rsid w:val="0096096B"/>
    <w:rsid w:val="00960C61"/>
    <w:rsid w:val="0096121F"/>
    <w:rsid w:val="00961946"/>
    <w:rsid w:val="0096221B"/>
    <w:rsid w:val="009622C6"/>
    <w:rsid w:val="0096287C"/>
    <w:rsid w:val="00962BE0"/>
    <w:rsid w:val="009634EC"/>
    <w:rsid w:val="009642F3"/>
    <w:rsid w:val="009644BD"/>
    <w:rsid w:val="009646A6"/>
    <w:rsid w:val="00965DFA"/>
    <w:rsid w:val="00966762"/>
    <w:rsid w:val="009667B5"/>
    <w:rsid w:val="00967096"/>
    <w:rsid w:val="00967324"/>
    <w:rsid w:val="00970CDB"/>
    <w:rsid w:val="009712D2"/>
    <w:rsid w:val="00972719"/>
    <w:rsid w:val="00973203"/>
    <w:rsid w:val="009734DB"/>
    <w:rsid w:val="0097370F"/>
    <w:rsid w:val="00973BAA"/>
    <w:rsid w:val="00974205"/>
    <w:rsid w:val="00975213"/>
    <w:rsid w:val="00976497"/>
    <w:rsid w:val="00976AFA"/>
    <w:rsid w:val="00976EC4"/>
    <w:rsid w:val="00977F69"/>
    <w:rsid w:val="0098127F"/>
    <w:rsid w:val="00981C78"/>
    <w:rsid w:val="00982C11"/>
    <w:rsid w:val="00983125"/>
    <w:rsid w:val="00983B80"/>
    <w:rsid w:val="00983D38"/>
    <w:rsid w:val="00983F3F"/>
    <w:rsid w:val="009842B9"/>
    <w:rsid w:val="009855F1"/>
    <w:rsid w:val="00985BC0"/>
    <w:rsid w:val="00986500"/>
    <w:rsid w:val="00990DE5"/>
    <w:rsid w:val="0099175E"/>
    <w:rsid w:val="00993042"/>
    <w:rsid w:val="0099371B"/>
    <w:rsid w:val="00996342"/>
    <w:rsid w:val="00996BA3"/>
    <w:rsid w:val="009A0580"/>
    <w:rsid w:val="009A230A"/>
    <w:rsid w:val="009A26C0"/>
    <w:rsid w:val="009A2F1F"/>
    <w:rsid w:val="009A39B9"/>
    <w:rsid w:val="009A40C8"/>
    <w:rsid w:val="009A4C01"/>
    <w:rsid w:val="009A4CDF"/>
    <w:rsid w:val="009A5A70"/>
    <w:rsid w:val="009A685E"/>
    <w:rsid w:val="009A6C97"/>
    <w:rsid w:val="009A7659"/>
    <w:rsid w:val="009A7726"/>
    <w:rsid w:val="009B080E"/>
    <w:rsid w:val="009B19DC"/>
    <w:rsid w:val="009B3610"/>
    <w:rsid w:val="009B42C8"/>
    <w:rsid w:val="009B4DE3"/>
    <w:rsid w:val="009B6797"/>
    <w:rsid w:val="009B6CEE"/>
    <w:rsid w:val="009C1B00"/>
    <w:rsid w:val="009C1D48"/>
    <w:rsid w:val="009C287A"/>
    <w:rsid w:val="009C3BE9"/>
    <w:rsid w:val="009C44C6"/>
    <w:rsid w:val="009C451B"/>
    <w:rsid w:val="009C69B3"/>
    <w:rsid w:val="009C6CB6"/>
    <w:rsid w:val="009C7CB2"/>
    <w:rsid w:val="009D0601"/>
    <w:rsid w:val="009D17D5"/>
    <w:rsid w:val="009D234A"/>
    <w:rsid w:val="009D342B"/>
    <w:rsid w:val="009D5E5A"/>
    <w:rsid w:val="009D6089"/>
    <w:rsid w:val="009D618B"/>
    <w:rsid w:val="009D671B"/>
    <w:rsid w:val="009D6D26"/>
    <w:rsid w:val="009D7452"/>
    <w:rsid w:val="009D74FD"/>
    <w:rsid w:val="009E1187"/>
    <w:rsid w:val="009E1F26"/>
    <w:rsid w:val="009E23DD"/>
    <w:rsid w:val="009E465A"/>
    <w:rsid w:val="009E4A03"/>
    <w:rsid w:val="009E4A42"/>
    <w:rsid w:val="009E5FA3"/>
    <w:rsid w:val="009F04E8"/>
    <w:rsid w:val="009F0A1C"/>
    <w:rsid w:val="009F0CA7"/>
    <w:rsid w:val="009F10CB"/>
    <w:rsid w:val="009F116F"/>
    <w:rsid w:val="009F18D7"/>
    <w:rsid w:val="009F3A1F"/>
    <w:rsid w:val="009F3BF2"/>
    <w:rsid w:val="009F5F8F"/>
    <w:rsid w:val="009F62C3"/>
    <w:rsid w:val="009F6E40"/>
    <w:rsid w:val="009F73BF"/>
    <w:rsid w:val="009F7795"/>
    <w:rsid w:val="00A00483"/>
    <w:rsid w:val="00A01618"/>
    <w:rsid w:val="00A018C6"/>
    <w:rsid w:val="00A01B97"/>
    <w:rsid w:val="00A0292F"/>
    <w:rsid w:val="00A03292"/>
    <w:rsid w:val="00A03352"/>
    <w:rsid w:val="00A03C1C"/>
    <w:rsid w:val="00A04368"/>
    <w:rsid w:val="00A06672"/>
    <w:rsid w:val="00A06995"/>
    <w:rsid w:val="00A10C45"/>
    <w:rsid w:val="00A10D24"/>
    <w:rsid w:val="00A114BE"/>
    <w:rsid w:val="00A11C25"/>
    <w:rsid w:val="00A12287"/>
    <w:rsid w:val="00A12307"/>
    <w:rsid w:val="00A12722"/>
    <w:rsid w:val="00A131E6"/>
    <w:rsid w:val="00A13E5E"/>
    <w:rsid w:val="00A14FD5"/>
    <w:rsid w:val="00A15549"/>
    <w:rsid w:val="00A15E6B"/>
    <w:rsid w:val="00A1638F"/>
    <w:rsid w:val="00A20003"/>
    <w:rsid w:val="00A203BB"/>
    <w:rsid w:val="00A2309E"/>
    <w:rsid w:val="00A23538"/>
    <w:rsid w:val="00A262EC"/>
    <w:rsid w:val="00A27675"/>
    <w:rsid w:val="00A30679"/>
    <w:rsid w:val="00A306AF"/>
    <w:rsid w:val="00A30DF0"/>
    <w:rsid w:val="00A31377"/>
    <w:rsid w:val="00A321FB"/>
    <w:rsid w:val="00A32897"/>
    <w:rsid w:val="00A33021"/>
    <w:rsid w:val="00A3384A"/>
    <w:rsid w:val="00A367AB"/>
    <w:rsid w:val="00A375ED"/>
    <w:rsid w:val="00A3783F"/>
    <w:rsid w:val="00A4098B"/>
    <w:rsid w:val="00A41473"/>
    <w:rsid w:val="00A4184A"/>
    <w:rsid w:val="00A41AD7"/>
    <w:rsid w:val="00A434FF"/>
    <w:rsid w:val="00A44949"/>
    <w:rsid w:val="00A45453"/>
    <w:rsid w:val="00A45AFB"/>
    <w:rsid w:val="00A46443"/>
    <w:rsid w:val="00A47517"/>
    <w:rsid w:val="00A477F9"/>
    <w:rsid w:val="00A5075E"/>
    <w:rsid w:val="00A51429"/>
    <w:rsid w:val="00A51D40"/>
    <w:rsid w:val="00A52E98"/>
    <w:rsid w:val="00A538D5"/>
    <w:rsid w:val="00A5457C"/>
    <w:rsid w:val="00A554A0"/>
    <w:rsid w:val="00A55EB8"/>
    <w:rsid w:val="00A56900"/>
    <w:rsid w:val="00A5764C"/>
    <w:rsid w:val="00A57C80"/>
    <w:rsid w:val="00A60006"/>
    <w:rsid w:val="00A6129B"/>
    <w:rsid w:val="00A61794"/>
    <w:rsid w:val="00A6261C"/>
    <w:rsid w:val="00A62A9C"/>
    <w:rsid w:val="00A62DBE"/>
    <w:rsid w:val="00A62EFC"/>
    <w:rsid w:val="00A65A02"/>
    <w:rsid w:val="00A66C1D"/>
    <w:rsid w:val="00A678CD"/>
    <w:rsid w:val="00A67F34"/>
    <w:rsid w:val="00A70312"/>
    <w:rsid w:val="00A70B08"/>
    <w:rsid w:val="00A710DB"/>
    <w:rsid w:val="00A71250"/>
    <w:rsid w:val="00A713A7"/>
    <w:rsid w:val="00A72FFC"/>
    <w:rsid w:val="00A73729"/>
    <w:rsid w:val="00A73E05"/>
    <w:rsid w:val="00A751FE"/>
    <w:rsid w:val="00A753C0"/>
    <w:rsid w:val="00A75B67"/>
    <w:rsid w:val="00A75C4E"/>
    <w:rsid w:val="00A75DEB"/>
    <w:rsid w:val="00A76FBF"/>
    <w:rsid w:val="00A771B8"/>
    <w:rsid w:val="00A774E7"/>
    <w:rsid w:val="00A77A54"/>
    <w:rsid w:val="00A77BF6"/>
    <w:rsid w:val="00A8042B"/>
    <w:rsid w:val="00A8108F"/>
    <w:rsid w:val="00A8119F"/>
    <w:rsid w:val="00A8138C"/>
    <w:rsid w:val="00A81511"/>
    <w:rsid w:val="00A817DF"/>
    <w:rsid w:val="00A81843"/>
    <w:rsid w:val="00A83FAA"/>
    <w:rsid w:val="00A85EF2"/>
    <w:rsid w:val="00A87C0A"/>
    <w:rsid w:val="00A87DA4"/>
    <w:rsid w:val="00A9055C"/>
    <w:rsid w:val="00A90A5F"/>
    <w:rsid w:val="00A912EC"/>
    <w:rsid w:val="00A916C9"/>
    <w:rsid w:val="00A932E7"/>
    <w:rsid w:val="00A9372E"/>
    <w:rsid w:val="00A9425E"/>
    <w:rsid w:val="00A95C8E"/>
    <w:rsid w:val="00A966DD"/>
    <w:rsid w:val="00A9754A"/>
    <w:rsid w:val="00A97D6D"/>
    <w:rsid w:val="00AA0FB9"/>
    <w:rsid w:val="00AA108E"/>
    <w:rsid w:val="00AA1D1C"/>
    <w:rsid w:val="00AA1F2F"/>
    <w:rsid w:val="00AA2666"/>
    <w:rsid w:val="00AA30CD"/>
    <w:rsid w:val="00AA3D21"/>
    <w:rsid w:val="00AA4592"/>
    <w:rsid w:val="00AA4B7A"/>
    <w:rsid w:val="00AA5427"/>
    <w:rsid w:val="00AA7433"/>
    <w:rsid w:val="00AB00B9"/>
    <w:rsid w:val="00AB2E6B"/>
    <w:rsid w:val="00AB402A"/>
    <w:rsid w:val="00AB5064"/>
    <w:rsid w:val="00AB534C"/>
    <w:rsid w:val="00AB53EB"/>
    <w:rsid w:val="00AB63F6"/>
    <w:rsid w:val="00AB6FE4"/>
    <w:rsid w:val="00AB7704"/>
    <w:rsid w:val="00AB7D1C"/>
    <w:rsid w:val="00AC0627"/>
    <w:rsid w:val="00AC2285"/>
    <w:rsid w:val="00AC2854"/>
    <w:rsid w:val="00AC2967"/>
    <w:rsid w:val="00AC2C80"/>
    <w:rsid w:val="00AC3B34"/>
    <w:rsid w:val="00AC40BD"/>
    <w:rsid w:val="00AC610B"/>
    <w:rsid w:val="00AC6C80"/>
    <w:rsid w:val="00AC798A"/>
    <w:rsid w:val="00AC7B19"/>
    <w:rsid w:val="00AD0B6A"/>
    <w:rsid w:val="00AD118C"/>
    <w:rsid w:val="00AD2146"/>
    <w:rsid w:val="00AD225D"/>
    <w:rsid w:val="00AD3D47"/>
    <w:rsid w:val="00AD4294"/>
    <w:rsid w:val="00AD594E"/>
    <w:rsid w:val="00AD65F5"/>
    <w:rsid w:val="00AD6CCB"/>
    <w:rsid w:val="00AD7F4B"/>
    <w:rsid w:val="00AE11E0"/>
    <w:rsid w:val="00AE1A54"/>
    <w:rsid w:val="00AE1FA4"/>
    <w:rsid w:val="00AE1FA8"/>
    <w:rsid w:val="00AE248F"/>
    <w:rsid w:val="00AE2729"/>
    <w:rsid w:val="00AE2ED7"/>
    <w:rsid w:val="00AE3AD7"/>
    <w:rsid w:val="00AE47A3"/>
    <w:rsid w:val="00AE486A"/>
    <w:rsid w:val="00AE522F"/>
    <w:rsid w:val="00AE5486"/>
    <w:rsid w:val="00AE559C"/>
    <w:rsid w:val="00AF060F"/>
    <w:rsid w:val="00AF0891"/>
    <w:rsid w:val="00AF0A29"/>
    <w:rsid w:val="00AF152B"/>
    <w:rsid w:val="00AF268B"/>
    <w:rsid w:val="00AF28A1"/>
    <w:rsid w:val="00AF2CC1"/>
    <w:rsid w:val="00AF3521"/>
    <w:rsid w:val="00AF3900"/>
    <w:rsid w:val="00AF5B81"/>
    <w:rsid w:val="00B0017A"/>
    <w:rsid w:val="00B01138"/>
    <w:rsid w:val="00B01218"/>
    <w:rsid w:val="00B01676"/>
    <w:rsid w:val="00B01F35"/>
    <w:rsid w:val="00B03599"/>
    <w:rsid w:val="00B04DC3"/>
    <w:rsid w:val="00B05981"/>
    <w:rsid w:val="00B05FF9"/>
    <w:rsid w:val="00B061B9"/>
    <w:rsid w:val="00B10153"/>
    <w:rsid w:val="00B105A7"/>
    <w:rsid w:val="00B1179F"/>
    <w:rsid w:val="00B11D47"/>
    <w:rsid w:val="00B13121"/>
    <w:rsid w:val="00B134C6"/>
    <w:rsid w:val="00B13C16"/>
    <w:rsid w:val="00B14D3B"/>
    <w:rsid w:val="00B155AF"/>
    <w:rsid w:val="00B1632B"/>
    <w:rsid w:val="00B16559"/>
    <w:rsid w:val="00B167A3"/>
    <w:rsid w:val="00B16D30"/>
    <w:rsid w:val="00B17E60"/>
    <w:rsid w:val="00B211C6"/>
    <w:rsid w:val="00B21979"/>
    <w:rsid w:val="00B2273F"/>
    <w:rsid w:val="00B22A14"/>
    <w:rsid w:val="00B236EE"/>
    <w:rsid w:val="00B24A9A"/>
    <w:rsid w:val="00B24CFB"/>
    <w:rsid w:val="00B25220"/>
    <w:rsid w:val="00B26D5A"/>
    <w:rsid w:val="00B309DE"/>
    <w:rsid w:val="00B30EEB"/>
    <w:rsid w:val="00B31C5D"/>
    <w:rsid w:val="00B33473"/>
    <w:rsid w:val="00B334BA"/>
    <w:rsid w:val="00B36DE2"/>
    <w:rsid w:val="00B3793D"/>
    <w:rsid w:val="00B37B6D"/>
    <w:rsid w:val="00B40815"/>
    <w:rsid w:val="00B41FA1"/>
    <w:rsid w:val="00B42970"/>
    <w:rsid w:val="00B45625"/>
    <w:rsid w:val="00B457C9"/>
    <w:rsid w:val="00B45AE8"/>
    <w:rsid w:val="00B465C9"/>
    <w:rsid w:val="00B46A6E"/>
    <w:rsid w:val="00B511C7"/>
    <w:rsid w:val="00B51415"/>
    <w:rsid w:val="00B51597"/>
    <w:rsid w:val="00B5160B"/>
    <w:rsid w:val="00B5238E"/>
    <w:rsid w:val="00B52A0D"/>
    <w:rsid w:val="00B55E79"/>
    <w:rsid w:val="00B56820"/>
    <w:rsid w:val="00B569C7"/>
    <w:rsid w:val="00B57CE2"/>
    <w:rsid w:val="00B60745"/>
    <w:rsid w:val="00B617CC"/>
    <w:rsid w:val="00B62541"/>
    <w:rsid w:val="00B63FAD"/>
    <w:rsid w:val="00B641CF"/>
    <w:rsid w:val="00B65A68"/>
    <w:rsid w:val="00B66A91"/>
    <w:rsid w:val="00B6795C"/>
    <w:rsid w:val="00B70523"/>
    <w:rsid w:val="00B70CB1"/>
    <w:rsid w:val="00B7123F"/>
    <w:rsid w:val="00B71328"/>
    <w:rsid w:val="00B735EE"/>
    <w:rsid w:val="00B7387D"/>
    <w:rsid w:val="00B750E1"/>
    <w:rsid w:val="00B751CA"/>
    <w:rsid w:val="00B76215"/>
    <w:rsid w:val="00B764DA"/>
    <w:rsid w:val="00B804BD"/>
    <w:rsid w:val="00B811A4"/>
    <w:rsid w:val="00B81768"/>
    <w:rsid w:val="00B8348B"/>
    <w:rsid w:val="00B85A52"/>
    <w:rsid w:val="00B902C8"/>
    <w:rsid w:val="00B91211"/>
    <w:rsid w:val="00B912A3"/>
    <w:rsid w:val="00B914F2"/>
    <w:rsid w:val="00B91C46"/>
    <w:rsid w:val="00B923E5"/>
    <w:rsid w:val="00B93C9D"/>
    <w:rsid w:val="00B946A9"/>
    <w:rsid w:val="00B947B0"/>
    <w:rsid w:val="00B95AAC"/>
    <w:rsid w:val="00B95D1E"/>
    <w:rsid w:val="00B96491"/>
    <w:rsid w:val="00B969BC"/>
    <w:rsid w:val="00B96D35"/>
    <w:rsid w:val="00B96E96"/>
    <w:rsid w:val="00BA1F77"/>
    <w:rsid w:val="00BA260C"/>
    <w:rsid w:val="00BA2D9E"/>
    <w:rsid w:val="00BA3090"/>
    <w:rsid w:val="00BA38BB"/>
    <w:rsid w:val="00BA3BF9"/>
    <w:rsid w:val="00BA5313"/>
    <w:rsid w:val="00BA770C"/>
    <w:rsid w:val="00BA77D9"/>
    <w:rsid w:val="00BA7FE1"/>
    <w:rsid w:val="00BB049D"/>
    <w:rsid w:val="00BB0DE7"/>
    <w:rsid w:val="00BB1605"/>
    <w:rsid w:val="00BB1A15"/>
    <w:rsid w:val="00BB2B2E"/>
    <w:rsid w:val="00BB37BF"/>
    <w:rsid w:val="00BB3DFB"/>
    <w:rsid w:val="00BB41DC"/>
    <w:rsid w:val="00BB4CA8"/>
    <w:rsid w:val="00BB5D41"/>
    <w:rsid w:val="00BB68A4"/>
    <w:rsid w:val="00BB745E"/>
    <w:rsid w:val="00BB7CC0"/>
    <w:rsid w:val="00BC0D1D"/>
    <w:rsid w:val="00BC0E30"/>
    <w:rsid w:val="00BC240A"/>
    <w:rsid w:val="00BC275C"/>
    <w:rsid w:val="00BC285A"/>
    <w:rsid w:val="00BC2EE4"/>
    <w:rsid w:val="00BC709C"/>
    <w:rsid w:val="00BC70EA"/>
    <w:rsid w:val="00BC71BC"/>
    <w:rsid w:val="00BC73DE"/>
    <w:rsid w:val="00BC7B74"/>
    <w:rsid w:val="00BD02FE"/>
    <w:rsid w:val="00BD0875"/>
    <w:rsid w:val="00BD091B"/>
    <w:rsid w:val="00BD1D4B"/>
    <w:rsid w:val="00BD202B"/>
    <w:rsid w:val="00BD370B"/>
    <w:rsid w:val="00BD3A47"/>
    <w:rsid w:val="00BD3A7B"/>
    <w:rsid w:val="00BD4D8B"/>
    <w:rsid w:val="00BD50DB"/>
    <w:rsid w:val="00BD61C7"/>
    <w:rsid w:val="00BD70C7"/>
    <w:rsid w:val="00BD7506"/>
    <w:rsid w:val="00BE0593"/>
    <w:rsid w:val="00BE24AD"/>
    <w:rsid w:val="00BE284E"/>
    <w:rsid w:val="00BE3BAA"/>
    <w:rsid w:val="00BE493F"/>
    <w:rsid w:val="00BE54CC"/>
    <w:rsid w:val="00BE781F"/>
    <w:rsid w:val="00BF06BD"/>
    <w:rsid w:val="00BF08BA"/>
    <w:rsid w:val="00BF09F8"/>
    <w:rsid w:val="00BF12CB"/>
    <w:rsid w:val="00BF17EA"/>
    <w:rsid w:val="00BF1B2A"/>
    <w:rsid w:val="00BF1DB0"/>
    <w:rsid w:val="00BF2A2C"/>
    <w:rsid w:val="00BF2E31"/>
    <w:rsid w:val="00BF3AAB"/>
    <w:rsid w:val="00BF4EE8"/>
    <w:rsid w:val="00BF590C"/>
    <w:rsid w:val="00BF6E9D"/>
    <w:rsid w:val="00BF7841"/>
    <w:rsid w:val="00C014F6"/>
    <w:rsid w:val="00C02073"/>
    <w:rsid w:val="00C022E8"/>
    <w:rsid w:val="00C03060"/>
    <w:rsid w:val="00C03A78"/>
    <w:rsid w:val="00C03C7C"/>
    <w:rsid w:val="00C04657"/>
    <w:rsid w:val="00C0647E"/>
    <w:rsid w:val="00C06BFD"/>
    <w:rsid w:val="00C10CD3"/>
    <w:rsid w:val="00C116B6"/>
    <w:rsid w:val="00C11D84"/>
    <w:rsid w:val="00C139DD"/>
    <w:rsid w:val="00C14984"/>
    <w:rsid w:val="00C15515"/>
    <w:rsid w:val="00C159D4"/>
    <w:rsid w:val="00C15F27"/>
    <w:rsid w:val="00C17610"/>
    <w:rsid w:val="00C1775C"/>
    <w:rsid w:val="00C20467"/>
    <w:rsid w:val="00C21A87"/>
    <w:rsid w:val="00C21E60"/>
    <w:rsid w:val="00C237FE"/>
    <w:rsid w:val="00C23952"/>
    <w:rsid w:val="00C23B94"/>
    <w:rsid w:val="00C25282"/>
    <w:rsid w:val="00C252BF"/>
    <w:rsid w:val="00C25664"/>
    <w:rsid w:val="00C26623"/>
    <w:rsid w:val="00C26BCA"/>
    <w:rsid w:val="00C27B8E"/>
    <w:rsid w:val="00C27D57"/>
    <w:rsid w:val="00C3191E"/>
    <w:rsid w:val="00C31C90"/>
    <w:rsid w:val="00C3226C"/>
    <w:rsid w:val="00C3277A"/>
    <w:rsid w:val="00C33358"/>
    <w:rsid w:val="00C33445"/>
    <w:rsid w:val="00C33610"/>
    <w:rsid w:val="00C33694"/>
    <w:rsid w:val="00C339DC"/>
    <w:rsid w:val="00C357E2"/>
    <w:rsid w:val="00C35C01"/>
    <w:rsid w:val="00C35D28"/>
    <w:rsid w:val="00C35EE2"/>
    <w:rsid w:val="00C41145"/>
    <w:rsid w:val="00C4193B"/>
    <w:rsid w:val="00C42F0B"/>
    <w:rsid w:val="00C44DAA"/>
    <w:rsid w:val="00C45983"/>
    <w:rsid w:val="00C50242"/>
    <w:rsid w:val="00C505B1"/>
    <w:rsid w:val="00C5113A"/>
    <w:rsid w:val="00C5192F"/>
    <w:rsid w:val="00C52069"/>
    <w:rsid w:val="00C52A7F"/>
    <w:rsid w:val="00C52E39"/>
    <w:rsid w:val="00C55882"/>
    <w:rsid w:val="00C56C27"/>
    <w:rsid w:val="00C60C99"/>
    <w:rsid w:val="00C63037"/>
    <w:rsid w:val="00C6347C"/>
    <w:rsid w:val="00C63BF1"/>
    <w:rsid w:val="00C64410"/>
    <w:rsid w:val="00C647E9"/>
    <w:rsid w:val="00C66D1A"/>
    <w:rsid w:val="00C66EE4"/>
    <w:rsid w:val="00C70057"/>
    <w:rsid w:val="00C700AF"/>
    <w:rsid w:val="00C710B9"/>
    <w:rsid w:val="00C7197B"/>
    <w:rsid w:val="00C726EE"/>
    <w:rsid w:val="00C72BED"/>
    <w:rsid w:val="00C73BB0"/>
    <w:rsid w:val="00C746E1"/>
    <w:rsid w:val="00C7671A"/>
    <w:rsid w:val="00C80338"/>
    <w:rsid w:val="00C819D6"/>
    <w:rsid w:val="00C823E0"/>
    <w:rsid w:val="00C8470C"/>
    <w:rsid w:val="00C84CCD"/>
    <w:rsid w:val="00C855C7"/>
    <w:rsid w:val="00C8575D"/>
    <w:rsid w:val="00C860DE"/>
    <w:rsid w:val="00C86929"/>
    <w:rsid w:val="00C9228F"/>
    <w:rsid w:val="00C926D7"/>
    <w:rsid w:val="00C92B34"/>
    <w:rsid w:val="00C92B71"/>
    <w:rsid w:val="00C932A8"/>
    <w:rsid w:val="00C943F5"/>
    <w:rsid w:val="00C94E7F"/>
    <w:rsid w:val="00C97AB7"/>
    <w:rsid w:val="00CA004E"/>
    <w:rsid w:val="00CA0AE9"/>
    <w:rsid w:val="00CA1954"/>
    <w:rsid w:val="00CA1ABC"/>
    <w:rsid w:val="00CA25BC"/>
    <w:rsid w:val="00CA386D"/>
    <w:rsid w:val="00CA4781"/>
    <w:rsid w:val="00CA543D"/>
    <w:rsid w:val="00CA5CD6"/>
    <w:rsid w:val="00CB039D"/>
    <w:rsid w:val="00CB0547"/>
    <w:rsid w:val="00CB2F53"/>
    <w:rsid w:val="00CB3303"/>
    <w:rsid w:val="00CB35E3"/>
    <w:rsid w:val="00CB3743"/>
    <w:rsid w:val="00CB4701"/>
    <w:rsid w:val="00CB5D74"/>
    <w:rsid w:val="00CB7A6F"/>
    <w:rsid w:val="00CC09D6"/>
    <w:rsid w:val="00CC1137"/>
    <w:rsid w:val="00CC13C4"/>
    <w:rsid w:val="00CC3593"/>
    <w:rsid w:val="00CC7025"/>
    <w:rsid w:val="00CC75FE"/>
    <w:rsid w:val="00CD4DD4"/>
    <w:rsid w:val="00CD57D1"/>
    <w:rsid w:val="00CD57DB"/>
    <w:rsid w:val="00CD7853"/>
    <w:rsid w:val="00CE01D3"/>
    <w:rsid w:val="00CE173A"/>
    <w:rsid w:val="00CE1851"/>
    <w:rsid w:val="00CE21BA"/>
    <w:rsid w:val="00CE22E2"/>
    <w:rsid w:val="00CE23BF"/>
    <w:rsid w:val="00CE23FA"/>
    <w:rsid w:val="00CE2B1B"/>
    <w:rsid w:val="00CE4BA6"/>
    <w:rsid w:val="00CE4C47"/>
    <w:rsid w:val="00CE6BBC"/>
    <w:rsid w:val="00CE7029"/>
    <w:rsid w:val="00CE70F6"/>
    <w:rsid w:val="00CF0606"/>
    <w:rsid w:val="00CF0FCF"/>
    <w:rsid w:val="00CF139B"/>
    <w:rsid w:val="00CF24B9"/>
    <w:rsid w:val="00CF4692"/>
    <w:rsid w:val="00CF4AC3"/>
    <w:rsid w:val="00CF5186"/>
    <w:rsid w:val="00CF53E2"/>
    <w:rsid w:val="00CF55A5"/>
    <w:rsid w:val="00CF6098"/>
    <w:rsid w:val="00CF653F"/>
    <w:rsid w:val="00CF6B1B"/>
    <w:rsid w:val="00D00C9B"/>
    <w:rsid w:val="00D01EC9"/>
    <w:rsid w:val="00D02458"/>
    <w:rsid w:val="00D02C5A"/>
    <w:rsid w:val="00D04347"/>
    <w:rsid w:val="00D0470E"/>
    <w:rsid w:val="00D04968"/>
    <w:rsid w:val="00D05223"/>
    <w:rsid w:val="00D05D7E"/>
    <w:rsid w:val="00D06048"/>
    <w:rsid w:val="00D061C8"/>
    <w:rsid w:val="00D064BA"/>
    <w:rsid w:val="00D06E8D"/>
    <w:rsid w:val="00D0752B"/>
    <w:rsid w:val="00D10968"/>
    <w:rsid w:val="00D10C50"/>
    <w:rsid w:val="00D1192E"/>
    <w:rsid w:val="00D130E9"/>
    <w:rsid w:val="00D1452E"/>
    <w:rsid w:val="00D14AF1"/>
    <w:rsid w:val="00D15609"/>
    <w:rsid w:val="00D15D79"/>
    <w:rsid w:val="00D15F19"/>
    <w:rsid w:val="00D16C11"/>
    <w:rsid w:val="00D16F40"/>
    <w:rsid w:val="00D16F44"/>
    <w:rsid w:val="00D17196"/>
    <w:rsid w:val="00D21096"/>
    <w:rsid w:val="00D21201"/>
    <w:rsid w:val="00D21308"/>
    <w:rsid w:val="00D21929"/>
    <w:rsid w:val="00D219BC"/>
    <w:rsid w:val="00D228AD"/>
    <w:rsid w:val="00D246D7"/>
    <w:rsid w:val="00D24EF5"/>
    <w:rsid w:val="00D252D6"/>
    <w:rsid w:val="00D25452"/>
    <w:rsid w:val="00D25A90"/>
    <w:rsid w:val="00D25B15"/>
    <w:rsid w:val="00D26C8D"/>
    <w:rsid w:val="00D2780A"/>
    <w:rsid w:val="00D2780D"/>
    <w:rsid w:val="00D27F13"/>
    <w:rsid w:val="00D304B3"/>
    <w:rsid w:val="00D30682"/>
    <w:rsid w:val="00D307BD"/>
    <w:rsid w:val="00D312CD"/>
    <w:rsid w:val="00D32008"/>
    <w:rsid w:val="00D331B3"/>
    <w:rsid w:val="00D3340A"/>
    <w:rsid w:val="00D33889"/>
    <w:rsid w:val="00D33E88"/>
    <w:rsid w:val="00D33F34"/>
    <w:rsid w:val="00D37275"/>
    <w:rsid w:val="00D377A7"/>
    <w:rsid w:val="00D37BC6"/>
    <w:rsid w:val="00D40B2C"/>
    <w:rsid w:val="00D40C15"/>
    <w:rsid w:val="00D427E2"/>
    <w:rsid w:val="00D428A3"/>
    <w:rsid w:val="00D4290B"/>
    <w:rsid w:val="00D43B9B"/>
    <w:rsid w:val="00D44512"/>
    <w:rsid w:val="00D453E2"/>
    <w:rsid w:val="00D454C7"/>
    <w:rsid w:val="00D4648A"/>
    <w:rsid w:val="00D465F9"/>
    <w:rsid w:val="00D473A4"/>
    <w:rsid w:val="00D4759E"/>
    <w:rsid w:val="00D475F4"/>
    <w:rsid w:val="00D505DD"/>
    <w:rsid w:val="00D50A7A"/>
    <w:rsid w:val="00D50D6C"/>
    <w:rsid w:val="00D51B0B"/>
    <w:rsid w:val="00D528D7"/>
    <w:rsid w:val="00D53D76"/>
    <w:rsid w:val="00D54378"/>
    <w:rsid w:val="00D55BBB"/>
    <w:rsid w:val="00D5650C"/>
    <w:rsid w:val="00D56FC6"/>
    <w:rsid w:val="00D60305"/>
    <w:rsid w:val="00D60898"/>
    <w:rsid w:val="00D60BE0"/>
    <w:rsid w:val="00D60BFA"/>
    <w:rsid w:val="00D6169B"/>
    <w:rsid w:val="00D61BE0"/>
    <w:rsid w:val="00D633E6"/>
    <w:rsid w:val="00D645A3"/>
    <w:rsid w:val="00D64AA2"/>
    <w:rsid w:val="00D6609E"/>
    <w:rsid w:val="00D667B0"/>
    <w:rsid w:val="00D66A2B"/>
    <w:rsid w:val="00D66DCF"/>
    <w:rsid w:val="00D718F6"/>
    <w:rsid w:val="00D72CBC"/>
    <w:rsid w:val="00D736E1"/>
    <w:rsid w:val="00D73930"/>
    <w:rsid w:val="00D74799"/>
    <w:rsid w:val="00D75857"/>
    <w:rsid w:val="00D75895"/>
    <w:rsid w:val="00D761A1"/>
    <w:rsid w:val="00D7635F"/>
    <w:rsid w:val="00D77124"/>
    <w:rsid w:val="00D77989"/>
    <w:rsid w:val="00D824A1"/>
    <w:rsid w:val="00D82723"/>
    <w:rsid w:val="00D82C2B"/>
    <w:rsid w:val="00D83DFF"/>
    <w:rsid w:val="00D843A2"/>
    <w:rsid w:val="00D854CA"/>
    <w:rsid w:val="00D9199A"/>
    <w:rsid w:val="00D927FC"/>
    <w:rsid w:val="00D928F4"/>
    <w:rsid w:val="00D94792"/>
    <w:rsid w:val="00D94BBB"/>
    <w:rsid w:val="00D956C5"/>
    <w:rsid w:val="00D9719B"/>
    <w:rsid w:val="00D973A4"/>
    <w:rsid w:val="00D974DE"/>
    <w:rsid w:val="00D976DC"/>
    <w:rsid w:val="00DA084C"/>
    <w:rsid w:val="00DA167B"/>
    <w:rsid w:val="00DA1C3C"/>
    <w:rsid w:val="00DA4DFC"/>
    <w:rsid w:val="00DA537F"/>
    <w:rsid w:val="00DA5EC7"/>
    <w:rsid w:val="00DA7844"/>
    <w:rsid w:val="00DA78CA"/>
    <w:rsid w:val="00DA7FB1"/>
    <w:rsid w:val="00DB1ACA"/>
    <w:rsid w:val="00DB1C0E"/>
    <w:rsid w:val="00DB1F2B"/>
    <w:rsid w:val="00DB2115"/>
    <w:rsid w:val="00DB41C3"/>
    <w:rsid w:val="00DB4C09"/>
    <w:rsid w:val="00DB4D19"/>
    <w:rsid w:val="00DB5501"/>
    <w:rsid w:val="00DB5B92"/>
    <w:rsid w:val="00DB6617"/>
    <w:rsid w:val="00DB68C4"/>
    <w:rsid w:val="00DB6D65"/>
    <w:rsid w:val="00DC1F9E"/>
    <w:rsid w:val="00DC21FC"/>
    <w:rsid w:val="00DC387D"/>
    <w:rsid w:val="00DC4107"/>
    <w:rsid w:val="00DC5481"/>
    <w:rsid w:val="00DC5EBC"/>
    <w:rsid w:val="00DC6DA7"/>
    <w:rsid w:val="00DC6FF6"/>
    <w:rsid w:val="00DC7160"/>
    <w:rsid w:val="00DC7B7F"/>
    <w:rsid w:val="00DC7BD8"/>
    <w:rsid w:val="00DC7D6C"/>
    <w:rsid w:val="00DD0C04"/>
    <w:rsid w:val="00DD1C1A"/>
    <w:rsid w:val="00DD2779"/>
    <w:rsid w:val="00DD49BB"/>
    <w:rsid w:val="00DD5B95"/>
    <w:rsid w:val="00DD66EA"/>
    <w:rsid w:val="00DD682E"/>
    <w:rsid w:val="00DD6C1D"/>
    <w:rsid w:val="00DD6F37"/>
    <w:rsid w:val="00DE088B"/>
    <w:rsid w:val="00DE0D70"/>
    <w:rsid w:val="00DE272B"/>
    <w:rsid w:val="00DE2A4A"/>
    <w:rsid w:val="00DE3423"/>
    <w:rsid w:val="00DE3FCB"/>
    <w:rsid w:val="00DE4230"/>
    <w:rsid w:val="00DE4D77"/>
    <w:rsid w:val="00DE651C"/>
    <w:rsid w:val="00DE6761"/>
    <w:rsid w:val="00DE7661"/>
    <w:rsid w:val="00DF01CA"/>
    <w:rsid w:val="00DF0F4B"/>
    <w:rsid w:val="00DF2BB7"/>
    <w:rsid w:val="00DF3063"/>
    <w:rsid w:val="00DF3404"/>
    <w:rsid w:val="00DF3838"/>
    <w:rsid w:val="00DF570B"/>
    <w:rsid w:val="00DF6099"/>
    <w:rsid w:val="00DF6361"/>
    <w:rsid w:val="00DF6A8B"/>
    <w:rsid w:val="00DF740A"/>
    <w:rsid w:val="00DF75D0"/>
    <w:rsid w:val="00E001CA"/>
    <w:rsid w:val="00E0036B"/>
    <w:rsid w:val="00E01E94"/>
    <w:rsid w:val="00E02117"/>
    <w:rsid w:val="00E02285"/>
    <w:rsid w:val="00E02298"/>
    <w:rsid w:val="00E03968"/>
    <w:rsid w:val="00E04BBB"/>
    <w:rsid w:val="00E06867"/>
    <w:rsid w:val="00E06CE2"/>
    <w:rsid w:val="00E07058"/>
    <w:rsid w:val="00E07C68"/>
    <w:rsid w:val="00E10460"/>
    <w:rsid w:val="00E116C6"/>
    <w:rsid w:val="00E11B52"/>
    <w:rsid w:val="00E12595"/>
    <w:rsid w:val="00E138F8"/>
    <w:rsid w:val="00E13AEB"/>
    <w:rsid w:val="00E1403D"/>
    <w:rsid w:val="00E140E0"/>
    <w:rsid w:val="00E14969"/>
    <w:rsid w:val="00E150BB"/>
    <w:rsid w:val="00E1592B"/>
    <w:rsid w:val="00E167F9"/>
    <w:rsid w:val="00E16B74"/>
    <w:rsid w:val="00E16C3A"/>
    <w:rsid w:val="00E21C6B"/>
    <w:rsid w:val="00E2222F"/>
    <w:rsid w:val="00E227BB"/>
    <w:rsid w:val="00E23E8B"/>
    <w:rsid w:val="00E25C8B"/>
    <w:rsid w:val="00E268EC"/>
    <w:rsid w:val="00E316EE"/>
    <w:rsid w:val="00E327DB"/>
    <w:rsid w:val="00E32A6B"/>
    <w:rsid w:val="00E333B5"/>
    <w:rsid w:val="00E3346C"/>
    <w:rsid w:val="00E33C5F"/>
    <w:rsid w:val="00E340B9"/>
    <w:rsid w:val="00E3464E"/>
    <w:rsid w:val="00E3465F"/>
    <w:rsid w:val="00E3758B"/>
    <w:rsid w:val="00E400AB"/>
    <w:rsid w:val="00E40D6E"/>
    <w:rsid w:val="00E40FB0"/>
    <w:rsid w:val="00E41227"/>
    <w:rsid w:val="00E414B1"/>
    <w:rsid w:val="00E4277D"/>
    <w:rsid w:val="00E445CD"/>
    <w:rsid w:val="00E45F1E"/>
    <w:rsid w:val="00E46269"/>
    <w:rsid w:val="00E4693A"/>
    <w:rsid w:val="00E46CE6"/>
    <w:rsid w:val="00E4707C"/>
    <w:rsid w:val="00E47A4F"/>
    <w:rsid w:val="00E5007C"/>
    <w:rsid w:val="00E51259"/>
    <w:rsid w:val="00E5161F"/>
    <w:rsid w:val="00E51AAA"/>
    <w:rsid w:val="00E51B71"/>
    <w:rsid w:val="00E52348"/>
    <w:rsid w:val="00E5345A"/>
    <w:rsid w:val="00E54249"/>
    <w:rsid w:val="00E547B8"/>
    <w:rsid w:val="00E55201"/>
    <w:rsid w:val="00E552F1"/>
    <w:rsid w:val="00E556D9"/>
    <w:rsid w:val="00E5572B"/>
    <w:rsid w:val="00E57909"/>
    <w:rsid w:val="00E604C9"/>
    <w:rsid w:val="00E626A0"/>
    <w:rsid w:val="00E6440A"/>
    <w:rsid w:val="00E647B7"/>
    <w:rsid w:val="00E657FE"/>
    <w:rsid w:val="00E67078"/>
    <w:rsid w:val="00E6784B"/>
    <w:rsid w:val="00E67863"/>
    <w:rsid w:val="00E67DF4"/>
    <w:rsid w:val="00E70943"/>
    <w:rsid w:val="00E7123F"/>
    <w:rsid w:val="00E72232"/>
    <w:rsid w:val="00E723FE"/>
    <w:rsid w:val="00E75A02"/>
    <w:rsid w:val="00E75A5E"/>
    <w:rsid w:val="00E7632C"/>
    <w:rsid w:val="00E76622"/>
    <w:rsid w:val="00E77ECC"/>
    <w:rsid w:val="00E800EA"/>
    <w:rsid w:val="00E808C6"/>
    <w:rsid w:val="00E8197D"/>
    <w:rsid w:val="00E82A51"/>
    <w:rsid w:val="00E831E1"/>
    <w:rsid w:val="00E835B3"/>
    <w:rsid w:val="00E83DC6"/>
    <w:rsid w:val="00E83F5B"/>
    <w:rsid w:val="00E84348"/>
    <w:rsid w:val="00E85E70"/>
    <w:rsid w:val="00E90974"/>
    <w:rsid w:val="00E914E4"/>
    <w:rsid w:val="00E91E62"/>
    <w:rsid w:val="00E92136"/>
    <w:rsid w:val="00E94771"/>
    <w:rsid w:val="00E94A7C"/>
    <w:rsid w:val="00E94B56"/>
    <w:rsid w:val="00E9567D"/>
    <w:rsid w:val="00E95A7C"/>
    <w:rsid w:val="00E95D89"/>
    <w:rsid w:val="00E95E63"/>
    <w:rsid w:val="00EA069D"/>
    <w:rsid w:val="00EA0AED"/>
    <w:rsid w:val="00EA2469"/>
    <w:rsid w:val="00EA2857"/>
    <w:rsid w:val="00EA2A19"/>
    <w:rsid w:val="00EA2FE1"/>
    <w:rsid w:val="00EA4395"/>
    <w:rsid w:val="00EA4603"/>
    <w:rsid w:val="00EA5256"/>
    <w:rsid w:val="00EA597F"/>
    <w:rsid w:val="00EA680F"/>
    <w:rsid w:val="00EA713A"/>
    <w:rsid w:val="00EA7927"/>
    <w:rsid w:val="00EB090D"/>
    <w:rsid w:val="00EB1667"/>
    <w:rsid w:val="00EB1C7A"/>
    <w:rsid w:val="00EB3FF4"/>
    <w:rsid w:val="00EB4263"/>
    <w:rsid w:val="00EB4B0F"/>
    <w:rsid w:val="00EB4DB8"/>
    <w:rsid w:val="00EB70A1"/>
    <w:rsid w:val="00EB71DB"/>
    <w:rsid w:val="00EB7B23"/>
    <w:rsid w:val="00EB7BB3"/>
    <w:rsid w:val="00EB7D67"/>
    <w:rsid w:val="00EC0328"/>
    <w:rsid w:val="00EC110C"/>
    <w:rsid w:val="00EC13CC"/>
    <w:rsid w:val="00EC2B9E"/>
    <w:rsid w:val="00EC2C4E"/>
    <w:rsid w:val="00EC2F71"/>
    <w:rsid w:val="00EC4314"/>
    <w:rsid w:val="00EC46B5"/>
    <w:rsid w:val="00EC57AB"/>
    <w:rsid w:val="00EC5816"/>
    <w:rsid w:val="00EC5D68"/>
    <w:rsid w:val="00EC6409"/>
    <w:rsid w:val="00EC6F1E"/>
    <w:rsid w:val="00EC75E0"/>
    <w:rsid w:val="00ED0BBC"/>
    <w:rsid w:val="00ED1031"/>
    <w:rsid w:val="00ED10EF"/>
    <w:rsid w:val="00ED1153"/>
    <w:rsid w:val="00ED14B1"/>
    <w:rsid w:val="00ED15B2"/>
    <w:rsid w:val="00ED1E4C"/>
    <w:rsid w:val="00ED1F06"/>
    <w:rsid w:val="00ED1FCD"/>
    <w:rsid w:val="00ED229F"/>
    <w:rsid w:val="00ED26AC"/>
    <w:rsid w:val="00ED5228"/>
    <w:rsid w:val="00ED5536"/>
    <w:rsid w:val="00ED7809"/>
    <w:rsid w:val="00ED7934"/>
    <w:rsid w:val="00EE0746"/>
    <w:rsid w:val="00EE0B70"/>
    <w:rsid w:val="00EE0EAC"/>
    <w:rsid w:val="00EE1F6D"/>
    <w:rsid w:val="00EE2405"/>
    <w:rsid w:val="00EE29F1"/>
    <w:rsid w:val="00EE3228"/>
    <w:rsid w:val="00EE4EEA"/>
    <w:rsid w:val="00EE6622"/>
    <w:rsid w:val="00EE662D"/>
    <w:rsid w:val="00EE7381"/>
    <w:rsid w:val="00EE76C1"/>
    <w:rsid w:val="00EF0E45"/>
    <w:rsid w:val="00EF2798"/>
    <w:rsid w:val="00EF283C"/>
    <w:rsid w:val="00EF3771"/>
    <w:rsid w:val="00EF5E63"/>
    <w:rsid w:val="00EF7C05"/>
    <w:rsid w:val="00EF7E85"/>
    <w:rsid w:val="00EF7F4B"/>
    <w:rsid w:val="00F00C9D"/>
    <w:rsid w:val="00F0211E"/>
    <w:rsid w:val="00F025AE"/>
    <w:rsid w:val="00F02AE5"/>
    <w:rsid w:val="00F02E1A"/>
    <w:rsid w:val="00F02E9D"/>
    <w:rsid w:val="00F03280"/>
    <w:rsid w:val="00F0369D"/>
    <w:rsid w:val="00F03848"/>
    <w:rsid w:val="00F0482D"/>
    <w:rsid w:val="00F04A50"/>
    <w:rsid w:val="00F0639B"/>
    <w:rsid w:val="00F06924"/>
    <w:rsid w:val="00F07A42"/>
    <w:rsid w:val="00F111E2"/>
    <w:rsid w:val="00F11461"/>
    <w:rsid w:val="00F13631"/>
    <w:rsid w:val="00F139D5"/>
    <w:rsid w:val="00F150AB"/>
    <w:rsid w:val="00F15A60"/>
    <w:rsid w:val="00F203A5"/>
    <w:rsid w:val="00F203F8"/>
    <w:rsid w:val="00F20585"/>
    <w:rsid w:val="00F207F8"/>
    <w:rsid w:val="00F20F6B"/>
    <w:rsid w:val="00F2352F"/>
    <w:rsid w:val="00F23831"/>
    <w:rsid w:val="00F24ADD"/>
    <w:rsid w:val="00F24B16"/>
    <w:rsid w:val="00F24F2E"/>
    <w:rsid w:val="00F2551C"/>
    <w:rsid w:val="00F25DE7"/>
    <w:rsid w:val="00F30DEC"/>
    <w:rsid w:val="00F31416"/>
    <w:rsid w:val="00F31920"/>
    <w:rsid w:val="00F32D6C"/>
    <w:rsid w:val="00F3361E"/>
    <w:rsid w:val="00F34794"/>
    <w:rsid w:val="00F35147"/>
    <w:rsid w:val="00F35A91"/>
    <w:rsid w:val="00F36516"/>
    <w:rsid w:val="00F412BA"/>
    <w:rsid w:val="00F4181E"/>
    <w:rsid w:val="00F41EC7"/>
    <w:rsid w:val="00F439AE"/>
    <w:rsid w:val="00F45CFD"/>
    <w:rsid w:val="00F45F29"/>
    <w:rsid w:val="00F4711F"/>
    <w:rsid w:val="00F471A3"/>
    <w:rsid w:val="00F50E86"/>
    <w:rsid w:val="00F514D6"/>
    <w:rsid w:val="00F52093"/>
    <w:rsid w:val="00F52683"/>
    <w:rsid w:val="00F52F6B"/>
    <w:rsid w:val="00F5378A"/>
    <w:rsid w:val="00F5392C"/>
    <w:rsid w:val="00F53C2A"/>
    <w:rsid w:val="00F53D77"/>
    <w:rsid w:val="00F54646"/>
    <w:rsid w:val="00F5542A"/>
    <w:rsid w:val="00F55518"/>
    <w:rsid w:val="00F56A78"/>
    <w:rsid w:val="00F56E5A"/>
    <w:rsid w:val="00F56ED8"/>
    <w:rsid w:val="00F57121"/>
    <w:rsid w:val="00F57E17"/>
    <w:rsid w:val="00F603EF"/>
    <w:rsid w:val="00F62760"/>
    <w:rsid w:val="00F63AC8"/>
    <w:rsid w:val="00F65519"/>
    <w:rsid w:val="00F670FB"/>
    <w:rsid w:val="00F67416"/>
    <w:rsid w:val="00F7238D"/>
    <w:rsid w:val="00F73EF4"/>
    <w:rsid w:val="00F74968"/>
    <w:rsid w:val="00F75226"/>
    <w:rsid w:val="00F7561F"/>
    <w:rsid w:val="00F75BCA"/>
    <w:rsid w:val="00F75CDD"/>
    <w:rsid w:val="00F75D60"/>
    <w:rsid w:val="00F766D6"/>
    <w:rsid w:val="00F76741"/>
    <w:rsid w:val="00F802B1"/>
    <w:rsid w:val="00F806A5"/>
    <w:rsid w:val="00F82594"/>
    <w:rsid w:val="00F82CCA"/>
    <w:rsid w:val="00F82D30"/>
    <w:rsid w:val="00F83875"/>
    <w:rsid w:val="00F83C8C"/>
    <w:rsid w:val="00F83E78"/>
    <w:rsid w:val="00F85F3D"/>
    <w:rsid w:val="00F8652B"/>
    <w:rsid w:val="00F86D73"/>
    <w:rsid w:val="00F92545"/>
    <w:rsid w:val="00F9393E"/>
    <w:rsid w:val="00F9460F"/>
    <w:rsid w:val="00F952DD"/>
    <w:rsid w:val="00F9589E"/>
    <w:rsid w:val="00F9709A"/>
    <w:rsid w:val="00F973C8"/>
    <w:rsid w:val="00FA062A"/>
    <w:rsid w:val="00FA2807"/>
    <w:rsid w:val="00FA2E8D"/>
    <w:rsid w:val="00FA30A8"/>
    <w:rsid w:val="00FA3724"/>
    <w:rsid w:val="00FA3DED"/>
    <w:rsid w:val="00FA429D"/>
    <w:rsid w:val="00FA43E7"/>
    <w:rsid w:val="00FA4409"/>
    <w:rsid w:val="00FA4B34"/>
    <w:rsid w:val="00FA5DE5"/>
    <w:rsid w:val="00FA6544"/>
    <w:rsid w:val="00FA656E"/>
    <w:rsid w:val="00FA6827"/>
    <w:rsid w:val="00FA74F1"/>
    <w:rsid w:val="00FA7643"/>
    <w:rsid w:val="00FA7EA9"/>
    <w:rsid w:val="00FB03B5"/>
    <w:rsid w:val="00FB13DF"/>
    <w:rsid w:val="00FB2056"/>
    <w:rsid w:val="00FB2419"/>
    <w:rsid w:val="00FB3656"/>
    <w:rsid w:val="00FB3F6E"/>
    <w:rsid w:val="00FB4070"/>
    <w:rsid w:val="00FB478C"/>
    <w:rsid w:val="00FB48BA"/>
    <w:rsid w:val="00FB5188"/>
    <w:rsid w:val="00FB625D"/>
    <w:rsid w:val="00FB7D05"/>
    <w:rsid w:val="00FB7D09"/>
    <w:rsid w:val="00FC02D3"/>
    <w:rsid w:val="00FC02F7"/>
    <w:rsid w:val="00FC03BD"/>
    <w:rsid w:val="00FC0A26"/>
    <w:rsid w:val="00FC0F6D"/>
    <w:rsid w:val="00FC238D"/>
    <w:rsid w:val="00FC3209"/>
    <w:rsid w:val="00FC36A4"/>
    <w:rsid w:val="00FC3736"/>
    <w:rsid w:val="00FC3BEC"/>
    <w:rsid w:val="00FC48C8"/>
    <w:rsid w:val="00FC4DA3"/>
    <w:rsid w:val="00FC4EEB"/>
    <w:rsid w:val="00FC502D"/>
    <w:rsid w:val="00FC5328"/>
    <w:rsid w:val="00FC64E1"/>
    <w:rsid w:val="00FC711D"/>
    <w:rsid w:val="00FC7225"/>
    <w:rsid w:val="00FD0521"/>
    <w:rsid w:val="00FD206A"/>
    <w:rsid w:val="00FD24E8"/>
    <w:rsid w:val="00FD2EF1"/>
    <w:rsid w:val="00FD3B88"/>
    <w:rsid w:val="00FD41C4"/>
    <w:rsid w:val="00FD4C5B"/>
    <w:rsid w:val="00FD5449"/>
    <w:rsid w:val="00FD5849"/>
    <w:rsid w:val="00FD605C"/>
    <w:rsid w:val="00FD61A6"/>
    <w:rsid w:val="00FD65E7"/>
    <w:rsid w:val="00FD678A"/>
    <w:rsid w:val="00FD73BF"/>
    <w:rsid w:val="00FD7632"/>
    <w:rsid w:val="00FE0705"/>
    <w:rsid w:val="00FE0CA5"/>
    <w:rsid w:val="00FE139E"/>
    <w:rsid w:val="00FE1D20"/>
    <w:rsid w:val="00FE1DBA"/>
    <w:rsid w:val="00FE66BE"/>
    <w:rsid w:val="00FE746B"/>
    <w:rsid w:val="00FF07EE"/>
    <w:rsid w:val="00FF0BFB"/>
    <w:rsid w:val="00FF2473"/>
    <w:rsid w:val="00FF35FA"/>
    <w:rsid w:val="00FF4E2D"/>
    <w:rsid w:val="00FF5D0D"/>
    <w:rsid w:val="00FF6AC9"/>
    <w:rsid w:val="03257471"/>
    <w:rsid w:val="04D39D53"/>
    <w:rsid w:val="05026D4B"/>
    <w:rsid w:val="05755481"/>
    <w:rsid w:val="05F7646F"/>
    <w:rsid w:val="06011F73"/>
    <w:rsid w:val="06882242"/>
    <w:rsid w:val="06F258F7"/>
    <w:rsid w:val="0738013C"/>
    <w:rsid w:val="073A7173"/>
    <w:rsid w:val="074DF9F3"/>
    <w:rsid w:val="07703F91"/>
    <w:rsid w:val="0794D0EB"/>
    <w:rsid w:val="07ED9A0F"/>
    <w:rsid w:val="09B7A014"/>
    <w:rsid w:val="0AAF06CA"/>
    <w:rsid w:val="0B745683"/>
    <w:rsid w:val="0B7C0499"/>
    <w:rsid w:val="0BAC4ADC"/>
    <w:rsid w:val="0C390B62"/>
    <w:rsid w:val="0C5C7E64"/>
    <w:rsid w:val="0CC9393A"/>
    <w:rsid w:val="0D461B30"/>
    <w:rsid w:val="0D501741"/>
    <w:rsid w:val="0DEE5F77"/>
    <w:rsid w:val="0DFFDE8C"/>
    <w:rsid w:val="0E2E535E"/>
    <w:rsid w:val="0E75E2E0"/>
    <w:rsid w:val="0ED5F063"/>
    <w:rsid w:val="0F7F7ACF"/>
    <w:rsid w:val="0FDBD93A"/>
    <w:rsid w:val="1031756B"/>
    <w:rsid w:val="11275C77"/>
    <w:rsid w:val="11931F79"/>
    <w:rsid w:val="11BD5413"/>
    <w:rsid w:val="11EFAB9F"/>
    <w:rsid w:val="133A1F99"/>
    <w:rsid w:val="147FF452"/>
    <w:rsid w:val="14E63D87"/>
    <w:rsid w:val="15FB8984"/>
    <w:rsid w:val="16F9C773"/>
    <w:rsid w:val="1703504B"/>
    <w:rsid w:val="1733271C"/>
    <w:rsid w:val="1738BD8F"/>
    <w:rsid w:val="17BD6F03"/>
    <w:rsid w:val="17EBC4E9"/>
    <w:rsid w:val="18753A87"/>
    <w:rsid w:val="194D2360"/>
    <w:rsid w:val="19A250E6"/>
    <w:rsid w:val="19DE42E1"/>
    <w:rsid w:val="1B3BDA6D"/>
    <w:rsid w:val="1B487F31"/>
    <w:rsid w:val="1B737351"/>
    <w:rsid w:val="1BDFFAE9"/>
    <w:rsid w:val="1BFD85E5"/>
    <w:rsid w:val="1C5A34B6"/>
    <w:rsid w:val="1CFF414B"/>
    <w:rsid w:val="1DBB58C0"/>
    <w:rsid w:val="1DEB7023"/>
    <w:rsid w:val="1DEF59C4"/>
    <w:rsid w:val="1E5FB1B8"/>
    <w:rsid w:val="1EF7E5F1"/>
    <w:rsid w:val="1EF7FBE6"/>
    <w:rsid w:val="1EFD0303"/>
    <w:rsid w:val="1F3E742C"/>
    <w:rsid w:val="1F4652BE"/>
    <w:rsid w:val="1F6C0009"/>
    <w:rsid w:val="1F7F3089"/>
    <w:rsid w:val="1FA57D22"/>
    <w:rsid w:val="1FBB2EC2"/>
    <w:rsid w:val="1FBF0309"/>
    <w:rsid w:val="1FCDD9AA"/>
    <w:rsid w:val="226E52B9"/>
    <w:rsid w:val="238C33B2"/>
    <w:rsid w:val="239258A8"/>
    <w:rsid w:val="23FF077F"/>
    <w:rsid w:val="249A6036"/>
    <w:rsid w:val="25D78893"/>
    <w:rsid w:val="25FC4C82"/>
    <w:rsid w:val="277F2054"/>
    <w:rsid w:val="279B2AD2"/>
    <w:rsid w:val="27D60ABE"/>
    <w:rsid w:val="27FDF959"/>
    <w:rsid w:val="29483366"/>
    <w:rsid w:val="295C133B"/>
    <w:rsid w:val="29B67BB5"/>
    <w:rsid w:val="2A283EEB"/>
    <w:rsid w:val="2A8B6F09"/>
    <w:rsid w:val="2A9D47AC"/>
    <w:rsid w:val="2BFB5437"/>
    <w:rsid w:val="2D57955E"/>
    <w:rsid w:val="2D9FA04F"/>
    <w:rsid w:val="2DB8F648"/>
    <w:rsid w:val="2EBBF9A3"/>
    <w:rsid w:val="2EE47259"/>
    <w:rsid w:val="2F4F7A7D"/>
    <w:rsid w:val="2F6F0148"/>
    <w:rsid w:val="2F76C28C"/>
    <w:rsid w:val="2F7C15D8"/>
    <w:rsid w:val="2FCF2002"/>
    <w:rsid w:val="2FE53D59"/>
    <w:rsid w:val="2FEF821A"/>
    <w:rsid w:val="302502D1"/>
    <w:rsid w:val="30BD0622"/>
    <w:rsid w:val="315C6D68"/>
    <w:rsid w:val="3170B803"/>
    <w:rsid w:val="31FB6DD1"/>
    <w:rsid w:val="321D5862"/>
    <w:rsid w:val="32D54D47"/>
    <w:rsid w:val="334B2B5E"/>
    <w:rsid w:val="336C2A59"/>
    <w:rsid w:val="33B9A17D"/>
    <w:rsid w:val="33BBF0AF"/>
    <w:rsid w:val="33F6F1A4"/>
    <w:rsid w:val="3406592D"/>
    <w:rsid w:val="34523632"/>
    <w:rsid w:val="3480002C"/>
    <w:rsid w:val="350B5EF2"/>
    <w:rsid w:val="35325872"/>
    <w:rsid w:val="35777913"/>
    <w:rsid w:val="357DAA2F"/>
    <w:rsid w:val="358C4137"/>
    <w:rsid w:val="359BF424"/>
    <w:rsid w:val="35D346CC"/>
    <w:rsid w:val="35D727FD"/>
    <w:rsid w:val="364FA772"/>
    <w:rsid w:val="367B3895"/>
    <w:rsid w:val="36DEE552"/>
    <w:rsid w:val="36FC5189"/>
    <w:rsid w:val="3775E35A"/>
    <w:rsid w:val="37C3E342"/>
    <w:rsid w:val="37CD23E8"/>
    <w:rsid w:val="37E59665"/>
    <w:rsid w:val="37E670AF"/>
    <w:rsid w:val="37EED666"/>
    <w:rsid w:val="37F785FF"/>
    <w:rsid w:val="37F883BD"/>
    <w:rsid w:val="37FA8E25"/>
    <w:rsid w:val="38473916"/>
    <w:rsid w:val="38B9BD68"/>
    <w:rsid w:val="38F94ECD"/>
    <w:rsid w:val="39585634"/>
    <w:rsid w:val="395F216C"/>
    <w:rsid w:val="39EF2089"/>
    <w:rsid w:val="3A8258AD"/>
    <w:rsid w:val="3AB37492"/>
    <w:rsid w:val="3AEA78A1"/>
    <w:rsid w:val="3AED135B"/>
    <w:rsid w:val="3AF78677"/>
    <w:rsid w:val="3B7D71CC"/>
    <w:rsid w:val="3B9FB96D"/>
    <w:rsid w:val="3BDD156D"/>
    <w:rsid w:val="3C072F26"/>
    <w:rsid w:val="3C77988A"/>
    <w:rsid w:val="3C8B3830"/>
    <w:rsid w:val="3CDE1871"/>
    <w:rsid w:val="3CDF526A"/>
    <w:rsid w:val="3CE75508"/>
    <w:rsid w:val="3CFA5C70"/>
    <w:rsid w:val="3CFD7226"/>
    <w:rsid w:val="3CFE02EA"/>
    <w:rsid w:val="3D73E980"/>
    <w:rsid w:val="3D8D34C8"/>
    <w:rsid w:val="3DB9B48E"/>
    <w:rsid w:val="3DBF2FAE"/>
    <w:rsid w:val="3DDE6685"/>
    <w:rsid w:val="3DE28566"/>
    <w:rsid w:val="3DF3419F"/>
    <w:rsid w:val="3DF99385"/>
    <w:rsid w:val="3E74F004"/>
    <w:rsid w:val="3E7FD2B8"/>
    <w:rsid w:val="3EA7BC07"/>
    <w:rsid w:val="3EB54A1B"/>
    <w:rsid w:val="3EBF9715"/>
    <w:rsid w:val="3EEDCB0D"/>
    <w:rsid w:val="3EF9FA8C"/>
    <w:rsid w:val="3EFBA353"/>
    <w:rsid w:val="3EFFFDBD"/>
    <w:rsid w:val="3F5A0424"/>
    <w:rsid w:val="3F7E5EB1"/>
    <w:rsid w:val="3F8F1AB2"/>
    <w:rsid w:val="3F986E86"/>
    <w:rsid w:val="3FB50DB9"/>
    <w:rsid w:val="3FB6D05C"/>
    <w:rsid w:val="3FB79853"/>
    <w:rsid w:val="3FBBD6FC"/>
    <w:rsid w:val="3FD43472"/>
    <w:rsid w:val="3FDD07DC"/>
    <w:rsid w:val="3FE7C132"/>
    <w:rsid w:val="3FEEF7D0"/>
    <w:rsid w:val="3FF7C09F"/>
    <w:rsid w:val="3FFB89FA"/>
    <w:rsid w:val="3FFCB57A"/>
    <w:rsid w:val="3FFCE46E"/>
    <w:rsid w:val="3FFF4FB8"/>
    <w:rsid w:val="3FFF6282"/>
    <w:rsid w:val="3FFF6380"/>
    <w:rsid w:val="3FFFACD9"/>
    <w:rsid w:val="3FFFD90D"/>
    <w:rsid w:val="40244F73"/>
    <w:rsid w:val="40CF51AE"/>
    <w:rsid w:val="415EEB71"/>
    <w:rsid w:val="419F2DC1"/>
    <w:rsid w:val="42DE52BC"/>
    <w:rsid w:val="4301054F"/>
    <w:rsid w:val="43DB3FAF"/>
    <w:rsid w:val="43ED6CE9"/>
    <w:rsid w:val="4501774B"/>
    <w:rsid w:val="451B1EC8"/>
    <w:rsid w:val="4556490C"/>
    <w:rsid w:val="4559200A"/>
    <w:rsid w:val="457BAEA1"/>
    <w:rsid w:val="45FB0EBB"/>
    <w:rsid w:val="46DCFC67"/>
    <w:rsid w:val="476F2604"/>
    <w:rsid w:val="477F75FB"/>
    <w:rsid w:val="479FA454"/>
    <w:rsid w:val="47B3FCFE"/>
    <w:rsid w:val="47D62CD2"/>
    <w:rsid w:val="484C29A9"/>
    <w:rsid w:val="48598FC3"/>
    <w:rsid w:val="48700954"/>
    <w:rsid w:val="48FFF461"/>
    <w:rsid w:val="4A6A4369"/>
    <w:rsid w:val="4AC05CD6"/>
    <w:rsid w:val="4AF505EB"/>
    <w:rsid w:val="4BAB026F"/>
    <w:rsid w:val="4BBD49D0"/>
    <w:rsid w:val="4BF46C68"/>
    <w:rsid w:val="4BFBF4E3"/>
    <w:rsid w:val="4C912CFD"/>
    <w:rsid w:val="4CD22221"/>
    <w:rsid w:val="4D066243"/>
    <w:rsid w:val="4D736872"/>
    <w:rsid w:val="4DA94C04"/>
    <w:rsid w:val="4DC15695"/>
    <w:rsid w:val="4DFF069B"/>
    <w:rsid w:val="4DFF6E57"/>
    <w:rsid w:val="4EEF29BB"/>
    <w:rsid w:val="4F7BF497"/>
    <w:rsid w:val="4F7E6DA5"/>
    <w:rsid w:val="4FBB958A"/>
    <w:rsid w:val="4FBDADC8"/>
    <w:rsid w:val="4FD74ACC"/>
    <w:rsid w:val="4FFBAC9D"/>
    <w:rsid w:val="500736A0"/>
    <w:rsid w:val="503B103B"/>
    <w:rsid w:val="5050538F"/>
    <w:rsid w:val="512E0303"/>
    <w:rsid w:val="51D75ED3"/>
    <w:rsid w:val="530748AA"/>
    <w:rsid w:val="537DE542"/>
    <w:rsid w:val="538E3AD1"/>
    <w:rsid w:val="538E7ED0"/>
    <w:rsid w:val="53FFE21F"/>
    <w:rsid w:val="547F7CFA"/>
    <w:rsid w:val="55A87015"/>
    <w:rsid w:val="55FFEC09"/>
    <w:rsid w:val="56390221"/>
    <w:rsid w:val="56501B9C"/>
    <w:rsid w:val="56B3B432"/>
    <w:rsid w:val="56BF5DE1"/>
    <w:rsid w:val="56FBCBEF"/>
    <w:rsid w:val="57712235"/>
    <w:rsid w:val="57930EA2"/>
    <w:rsid w:val="57D73424"/>
    <w:rsid w:val="57EB987F"/>
    <w:rsid w:val="57F72CB6"/>
    <w:rsid w:val="57F7FFDF"/>
    <w:rsid w:val="57FB11FD"/>
    <w:rsid w:val="57FC5C33"/>
    <w:rsid w:val="580679EB"/>
    <w:rsid w:val="58463DF3"/>
    <w:rsid w:val="58A334CB"/>
    <w:rsid w:val="590837E9"/>
    <w:rsid w:val="595E394E"/>
    <w:rsid w:val="59AEAB1E"/>
    <w:rsid w:val="59DFE2F9"/>
    <w:rsid w:val="59F19D15"/>
    <w:rsid w:val="5A4017EE"/>
    <w:rsid w:val="5A7C108E"/>
    <w:rsid w:val="5AAA060E"/>
    <w:rsid w:val="5AE7FEF3"/>
    <w:rsid w:val="5AFFDB19"/>
    <w:rsid w:val="5B3FA485"/>
    <w:rsid w:val="5B9531DB"/>
    <w:rsid w:val="5BB16861"/>
    <w:rsid w:val="5BB53817"/>
    <w:rsid w:val="5BE9381F"/>
    <w:rsid w:val="5BEF561B"/>
    <w:rsid w:val="5BFB00CD"/>
    <w:rsid w:val="5C3F6100"/>
    <w:rsid w:val="5C7BE46C"/>
    <w:rsid w:val="5C9C2A1D"/>
    <w:rsid w:val="5CDA733D"/>
    <w:rsid w:val="5D1FE9B9"/>
    <w:rsid w:val="5D6D170F"/>
    <w:rsid w:val="5D7DA08E"/>
    <w:rsid w:val="5DADB071"/>
    <w:rsid w:val="5DAF9677"/>
    <w:rsid w:val="5DDF11AC"/>
    <w:rsid w:val="5DE75D41"/>
    <w:rsid w:val="5DEE3896"/>
    <w:rsid w:val="5DEFAF62"/>
    <w:rsid w:val="5DFAC4DC"/>
    <w:rsid w:val="5DFCC0AF"/>
    <w:rsid w:val="5DFDCB88"/>
    <w:rsid w:val="5DFEB1B3"/>
    <w:rsid w:val="5E122951"/>
    <w:rsid w:val="5E6E0D0C"/>
    <w:rsid w:val="5E940777"/>
    <w:rsid w:val="5EAF4465"/>
    <w:rsid w:val="5EBF4CDB"/>
    <w:rsid w:val="5ED76B26"/>
    <w:rsid w:val="5EDF6D0E"/>
    <w:rsid w:val="5F0D725D"/>
    <w:rsid w:val="5F190DDA"/>
    <w:rsid w:val="5F3B564C"/>
    <w:rsid w:val="5F3EBE45"/>
    <w:rsid w:val="5F4FCB8C"/>
    <w:rsid w:val="5F5E022E"/>
    <w:rsid w:val="5F5F0A3E"/>
    <w:rsid w:val="5F643CCB"/>
    <w:rsid w:val="5F6497B5"/>
    <w:rsid w:val="5F683235"/>
    <w:rsid w:val="5F7BF44E"/>
    <w:rsid w:val="5F7DC7D1"/>
    <w:rsid w:val="5F7E8FAE"/>
    <w:rsid w:val="5F7EFBCD"/>
    <w:rsid w:val="5F7F1FB1"/>
    <w:rsid w:val="5F9F5BFA"/>
    <w:rsid w:val="5FA7E5F9"/>
    <w:rsid w:val="5FB76FFD"/>
    <w:rsid w:val="5FCF408C"/>
    <w:rsid w:val="5FCF8A36"/>
    <w:rsid w:val="5FD67BC5"/>
    <w:rsid w:val="5FDA59CB"/>
    <w:rsid w:val="5FDBB4A9"/>
    <w:rsid w:val="5FE8EB8C"/>
    <w:rsid w:val="5FECBB75"/>
    <w:rsid w:val="5FEFAAE1"/>
    <w:rsid w:val="5FFD1B9B"/>
    <w:rsid w:val="5FFE6AE2"/>
    <w:rsid w:val="5FFEC04C"/>
    <w:rsid w:val="5FFF22BB"/>
    <w:rsid w:val="5FFF6BA0"/>
    <w:rsid w:val="606ABF91"/>
    <w:rsid w:val="60825A37"/>
    <w:rsid w:val="61F8823D"/>
    <w:rsid w:val="6233322B"/>
    <w:rsid w:val="6274048D"/>
    <w:rsid w:val="63BEEAC4"/>
    <w:rsid w:val="647FB6F4"/>
    <w:rsid w:val="6497BDD7"/>
    <w:rsid w:val="64CF81B8"/>
    <w:rsid w:val="64D98556"/>
    <w:rsid w:val="65BD6B43"/>
    <w:rsid w:val="65CBBEC7"/>
    <w:rsid w:val="65DBB81E"/>
    <w:rsid w:val="65E5C601"/>
    <w:rsid w:val="66276B33"/>
    <w:rsid w:val="667B6202"/>
    <w:rsid w:val="66BE43AE"/>
    <w:rsid w:val="66DF7F3B"/>
    <w:rsid w:val="67365B12"/>
    <w:rsid w:val="677996E1"/>
    <w:rsid w:val="677EF5F4"/>
    <w:rsid w:val="677F7EE4"/>
    <w:rsid w:val="67BB3F3B"/>
    <w:rsid w:val="67CBFE08"/>
    <w:rsid w:val="67D29154"/>
    <w:rsid w:val="67DF21BE"/>
    <w:rsid w:val="67EF1E8A"/>
    <w:rsid w:val="67EFBBBB"/>
    <w:rsid w:val="67FFA012"/>
    <w:rsid w:val="67FFA517"/>
    <w:rsid w:val="683755CB"/>
    <w:rsid w:val="689B27BB"/>
    <w:rsid w:val="69971412"/>
    <w:rsid w:val="69BBA61F"/>
    <w:rsid w:val="69EF9D6C"/>
    <w:rsid w:val="6A64148A"/>
    <w:rsid w:val="6A76A750"/>
    <w:rsid w:val="6ABF3567"/>
    <w:rsid w:val="6AD3CFA4"/>
    <w:rsid w:val="6AF7CDDC"/>
    <w:rsid w:val="6AFBB243"/>
    <w:rsid w:val="6B48784C"/>
    <w:rsid w:val="6B5FC19B"/>
    <w:rsid w:val="6B66E548"/>
    <w:rsid w:val="6B7D0742"/>
    <w:rsid w:val="6B8F5BD1"/>
    <w:rsid w:val="6BD73154"/>
    <w:rsid w:val="6BFD0739"/>
    <w:rsid w:val="6BFE87C7"/>
    <w:rsid w:val="6BFF3143"/>
    <w:rsid w:val="6BFFF06D"/>
    <w:rsid w:val="6C027254"/>
    <w:rsid w:val="6C176C2D"/>
    <w:rsid w:val="6C9B2F1B"/>
    <w:rsid w:val="6CDC16CA"/>
    <w:rsid w:val="6CDE9BBF"/>
    <w:rsid w:val="6CEEFB6C"/>
    <w:rsid w:val="6CFDE3D9"/>
    <w:rsid w:val="6D637EC6"/>
    <w:rsid w:val="6DAF0AAC"/>
    <w:rsid w:val="6DCF8297"/>
    <w:rsid w:val="6DDF2565"/>
    <w:rsid w:val="6DEE19AB"/>
    <w:rsid w:val="6DF54B59"/>
    <w:rsid w:val="6DF7E2EC"/>
    <w:rsid w:val="6DFD14D4"/>
    <w:rsid w:val="6DFE5252"/>
    <w:rsid w:val="6DFEA0AA"/>
    <w:rsid w:val="6DFF7113"/>
    <w:rsid w:val="6DFF8A25"/>
    <w:rsid w:val="6E46739E"/>
    <w:rsid w:val="6E7F067A"/>
    <w:rsid w:val="6EBDDC90"/>
    <w:rsid w:val="6ECAB4E3"/>
    <w:rsid w:val="6ECB1B80"/>
    <w:rsid w:val="6ED7348E"/>
    <w:rsid w:val="6EDD239C"/>
    <w:rsid w:val="6EE76F97"/>
    <w:rsid w:val="6EF5CB8E"/>
    <w:rsid w:val="6EFA8E61"/>
    <w:rsid w:val="6EFFCB96"/>
    <w:rsid w:val="6EFFDC49"/>
    <w:rsid w:val="6F133F6C"/>
    <w:rsid w:val="6F2FB053"/>
    <w:rsid w:val="6F3F9F45"/>
    <w:rsid w:val="6F58F130"/>
    <w:rsid w:val="6F5E433E"/>
    <w:rsid w:val="6F615109"/>
    <w:rsid w:val="6F735177"/>
    <w:rsid w:val="6F796A39"/>
    <w:rsid w:val="6F7F25B9"/>
    <w:rsid w:val="6F9B90A3"/>
    <w:rsid w:val="6F9F6808"/>
    <w:rsid w:val="6FAF7C23"/>
    <w:rsid w:val="6FB7AA55"/>
    <w:rsid w:val="6FBFE009"/>
    <w:rsid w:val="6FC70803"/>
    <w:rsid w:val="6FCD4DB0"/>
    <w:rsid w:val="6FCF99B9"/>
    <w:rsid w:val="6FDB7227"/>
    <w:rsid w:val="6FE20EA7"/>
    <w:rsid w:val="6FED2A25"/>
    <w:rsid w:val="6FEF8DBC"/>
    <w:rsid w:val="6FF27A2E"/>
    <w:rsid w:val="6FF7E9EE"/>
    <w:rsid w:val="6FFC68F4"/>
    <w:rsid w:val="6FFF3CF1"/>
    <w:rsid w:val="6FFF88F7"/>
    <w:rsid w:val="6FFFAAB2"/>
    <w:rsid w:val="70126C4D"/>
    <w:rsid w:val="70AE6BA7"/>
    <w:rsid w:val="70ED9C73"/>
    <w:rsid w:val="717FEAD9"/>
    <w:rsid w:val="71DF82D7"/>
    <w:rsid w:val="71E76416"/>
    <w:rsid w:val="71EF1D20"/>
    <w:rsid w:val="71F75308"/>
    <w:rsid w:val="71FDACB6"/>
    <w:rsid w:val="722B6294"/>
    <w:rsid w:val="722F1EB8"/>
    <w:rsid w:val="72CFCC9C"/>
    <w:rsid w:val="72FFEAAF"/>
    <w:rsid w:val="73BD072A"/>
    <w:rsid w:val="73DE0BD0"/>
    <w:rsid w:val="73EA8A1D"/>
    <w:rsid w:val="73FEB562"/>
    <w:rsid w:val="73FF30D6"/>
    <w:rsid w:val="743F3A42"/>
    <w:rsid w:val="746058BD"/>
    <w:rsid w:val="74727280"/>
    <w:rsid w:val="74B9D1FF"/>
    <w:rsid w:val="7573110B"/>
    <w:rsid w:val="757D3C0C"/>
    <w:rsid w:val="75BB01EC"/>
    <w:rsid w:val="75DFB8EB"/>
    <w:rsid w:val="75F798FF"/>
    <w:rsid w:val="75FDC1B4"/>
    <w:rsid w:val="75FF0F53"/>
    <w:rsid w:val="761ABDC0"/>
    <w:rsid w:val="763DBC23"/>
    <w:rsid w:val="764F2F6D"/>
    <w:rsid w:val="767F9574"/>
    <w:rsid w:val="76CB553E"/>
    <w:rsid w:val="76D961D7"/>
    <w:rsid w:val="76FB9BD7"/>
    <w:rsid w:val="76FEF82E"/>
    <w:rsid w:val="77160A92"/>
    <w:rsid w:val="77595339"/>
    <w:rsid w:val="776F9B31"/>
    <w:rsid w:val="777F59B7"/>
    <w:rsid w:val="778F03BE"/>
    <w:rsid w:val="77AA3248"/>
    <w:rsid w:val="77AE9B9B"/>
    <w:rsid w:val="77B9C990"/>
    <w:rsid w:val="77DF9DCB"/>
    <w:rsid w:val="77E2B723"/>
    <w:rsid w:val="77EAE132"/>
    <w:rsid w:val="77EB225D"/>
    <w:rsid w:val="77EFA6C1"/>
    <w:rsid w:val="77F50F1B"/>
    <w:rsid w:val="77F737BD"/>
    <w:rsid w:val="77FB26DC"/>
    <w:rsid w:val="77FC5075"/>
    <w:rsid w:val="77FDEA60"/>
    <w:rsid w:val="77FDF57C"/>
    <w:rsid w:val="77FE984F"/>
    <w:rsid w:val="77FF3A94"/>
    <w:rsid w:val="77FFE031"/>
    <w:rsid w:val="783A9350"/>
    <w:rsid w:val="78423D13"/>
    <w:rsid w:val="786625C1"/>
    <w:rsid w:val="78BFE71E"/>
    <w:rsid w:val="78EA67CE"/>
    <w:rsid w:val="797FCF2F"/>
    <w:rsid w:val="79AF2782"/>
    <w:rsid w:val="79D8F9BD"/>
    <w:rsid w:val="79ED3711"/>
    <w:rsid w:val="79FB95F8"/>
    <w:rsid w:val="79FCB030"/>
    <w:rsid w:val="79FEA0F1"/>
    <w:rsid w:val="79FF5F25"/>
    <w:rsid w:val="7A383883"/>
    <w:rsid w:val="7A5F2438"/>
    <w:rsid w:val="7AB5C788"/>
    <w:rsid w:val="7ABB2E41"/>
    <w:rsid w:val="7AC7FFFC"/>
    <w:rsid w:val="7AD71DEF"/>
    <w:rsid w:val="7ADB5FA8"/>
    <w:rsid w:val="7ADB6072"/>
    <w:rsid w:val="7AF72DA7"/>
    <w:rsid w:val="7AFE7BB9"/>
    <w:rsid w:val="7AFF5990"/>
    <w:rsid w:val="7B0B2CBC"/>
    <w:rsid w:val="7B294E15"/>
    <w:rsid w:val="7B4DF754"/>
    <w:rsid w:val="7B97C7EC"/>
    <w:rsid w:val="7BA6E560"/>
    <w:rsid w:val="7BB10551"/>
    <w:rsid w:val="7BB367F5"/>
    <w:rsid w:val="7BBFFE9D"/>
    <w:rsid w:val="7BDB6C82"/>
    <w:rsid w:val="7BDE9FE4"/>
    <w:rsid w:val="7BE1525C"/>
    <w:rsid w:val="7BE33D5A"/>
    <w:rsid w:val="7BF75266"/>
    <w:rsid w:val="7BF7A9D7"/>
    <w:rsid w:val="7BFB5772"/>
    <w:rsid w:val="7BFD1290"/>
    <w:rsid w:val="7BFDA493"/>
    <w:rsid w:val="7BFEDC3F"/>
    <w:rsid w:val="7BFF4DC6"/>
    <w:rsid w:val="7BFF69C9"/>
    <w:rsid w:val="7BFF7A4B"/>
    <w:rsid w:val="7BFFA718"/>
    <w:rsid w:val="7C1977A8"/>
    <w:rsid w:val="7C32BA45"/>
    <w:rsid w:val="7C5F07AE"/>
    <w:rsid w:val="7C5F70B7"/>
    <w:rsid w:val="7C7A1DDA"/>
    <w:rsid w:val="7C7F6047"/>
    <w:rsid w:val="7C992F21"/>
    <w:rsid w:val="7CAA1482"/>
    <w:rsid w:val="7CAE4944"/>
    <w:rsid w:val="7CE5A62E"/>
    <w:rsid w:val="7CED0F0D"/>
    <w:rsid w:val="7CF6457B"/>
    <w:rsid w:val="7CFF8AC5"/>
    <w:rsid w:val="7D1F0F5A"/>
    <w:rsid w:val="7D2FE12E"/>
    <w:rsid w:val="7D6AB12F"/>
    <w:rsid w:val="7D6E736C"/>
    <w:rsid w:val="7D6FFE28"/>
    <w:rsid w:val="7D78CAFA"/>
    <w:rsid w:val="7D7B66AA"/>
    <w:rsid w:val="7D7C112C"/>
    <w:rsid w:val="7D7F07B2"/>
    <w:rsid w:val="7D97A6DC"/>
    <w:rsid w:val="7D9E3215"/>
    <w:rsid w:val="7DAB27FE"/>
    <w:rsid w:val="7DB96489"/>
    <w:rsid w:val="7DBB7344"/>
    <w:rsid w:val="7DBBB84D"/>
    <w:rsid w:val="7DBD797D"/>
    <w:rsid w:val="7DBFF487"/>
    <w:rsid w:val="7DD6C59C"/>
    <w:rsid w:val="7DDBEFD6"/>
    <w:rsid w:val="7DDF8DD3"/>
    <w:rsid w:val="7DEB5E24"/>
    <w:rsid w:val="7DEEA260"/>
    <w:rsid w:val="7DF7FA69"/>
    <w:rsid w:val="7DFF17DB"/>
    <w:rsid w:val="7DFF3412"/>
    <w:rsid w:val="7E3F3E2F"/>
    <w:rsid w:val="7E5F44D2"/>
    <w:rsid w:val="7E7A8C24"/>
    <w:rsid w:val="7E7FE011"/>
    <w:rsid w:val="7E99450F"/>
    <w:rsid w:val="7E9F65EF"/>
    <w:rsid w:val="7EA6F4D0"/>
    <w:rsid w:val="7EBBF8AB"/>
    <w:rsid w:val="7ED74442"/>
    <w:rsid w:val="7EDB0CBC"/>
    <w:rsid w:val="7EDB9DC8"/>
    <w:rsid w:val="7EEDB958"/>
    <w:rsid w:val="7EEF4590"/>
    <w:rsid w:val="7EF3D7CC"/>
    <w:rsid w:val="7EF77678"/>
    <w:rsid w:val="7EFC4C37"/>
    <w:rsid w:val="7EFE50CB"/>
    <w:rsid w:val="7EFE6B23"/>
    <w:rsid w:val="7EFF0B6F"/>
    <w:rsid w:val="7EFF7B69"/>
    <w:rsid w:val="7EFFE6A8"/>
    <w:rsid w:val="7F075BC0"/>
    <w:rsid w:val="7F0B1FF2"/>
    <w:rsid w:val="7F0F1DA7"/>
    <w:rsid w:val="7F174713"/>
    <w:rsid w:val="7F1D3D5E"/>
    <w:rsid w:val="7F1E259A"/>
    <w:rsid w:val="7F1F6E1F"/>
    <w:rsid w:val="7F2B921D"/>
    <w:rsid w:val="7F571E67"/>
    <w:rsid w:val="7F5F55A6"/>
    <w:rsid w:val="7F5F5D8D"/>
    <w:rsid w:val="7F5F8489"/>
    <w:rsid w:val="7F6481B7"/>
    <w:rsid w:val="7F6BB1F7"/>
    <w:rsid w:val="7F6E9AC4"/>
    <w:rsid w:val="7F6F0251"/>
    <w:rsid w:val="7F6FFC9A"/>
    <w:rsid w:val="7F751BA6"/>
    <w:rsid w:val="7F778ADE"/>
    <w:rsid w:val="7F790518"/>
    <w:rsid w:val="7F7B16B6"/>
    <w:rsid w:val="7F7B2A8A"/>
    <w:rsid w:val="7F7BCEC0"/>
    <w:rsid w:val="7F7CBD32"/>
    <w:rsid w:val="7F7F4F9B"/>
    <w:rsid w:val="7F7F7D25"/>
    <w:rsid w:val="7F7FCE60"/>
    <w:rsid w:val="7F7FDCC5"/>
    <w:rsid w:val="7F8F02C3"/>
    <w:rsid w:val="7F9BF628"/>
    <w:rsid w:val="7F9F9A25"/>
    <w:rsid w:val="7FB498EB"/>
    <w:rsid w:val="7FB5E271"/>
    <w:rsid w:val="7FB725F3"/>
    <w:rsid w:val="7FB73A99"/>
    <w:rsid w:val="7FBC9B9D"/>
    <w:rsid w:val="7FBCCB97"/>
    <w:rsid w:val="7FBF6F5C"/>
    <w:rsid w:val="7FBFEAD1"/>
    <w:rsid w:val="7FBFEEEA"/>
    <w:rsid w:val="7FCA25C7"/>
    <w:rsid w:val="7FCF3F45"/>
    <w:rsid w:val="7FD740A6"/>
    <w:rsid w:val="7FDB2374"/>
    <w:rsid w:val="7FDC2C7D"/>
    <w:rsid w:val="7FDD13A4"/>
    <w:rsid w:val="7FDD90C2"/>
    <w:rsid w:val="7FDE254A"/>
    <w:rsid w:val="7FDEC9C7"/>
    <w:rsid w:val="7FDF5695"/>
    <w:rsid w:val="7FDF670E"/>
    <w:rsid w:val="7FEB104A"/>
    <w:rsid w:val="7FEB60B0"/>
    <w:rsid w:val="7FEB6E46"/>
    <w:rsid w:val="7FED6913"/>
    <w:rsid w:val="7FEEBFF1"/>
    <w:rsid w:val="7FEED4FB"/>
    <w:rsid w:val="7FEF22CB"/>
    <w:rsid w:val="7FF2AAFA"/>
    <w:rsid w:val="7FF2FD5E"/>
    <w:rsid w:val="7FF30E83"/>
    <w:rsid w:val="7FF3F163"/>
    <w:rsid w:val="7FF65232"/>
    <w:rsid w:val="7FF86BBF"/>
    <w:rsid w:val="7FFB14ED"/>
    <w:rsid w:val="7FFB3EF3"/>
    <w:rsid w:val="7FFB8B13"/>
    <w:rsid w:val="7FFC5239"/>
    <w:rsid w:val="7FFD47DB"/>
    <w:rsid w:val="7FFDD731"/>
    <w:rsid w:val="7FFE7725"/>
    <w:rsid w:val="7FFED17E"/>
    <w:rsid w:val="7FFF5823"/>
    <w:rsid w:val="7FFF65BB"/>
    <w:rsid w:val="7FFF8EAB"/>
    <w:rsid w:val="7FFF95BF"/>
    <w:rsid w:val="7FFF9795"/>
    <w:rsid w:val="7FFFC8EC"/>
    <w:rsid w:val="7FFFCB03"/>
    <w:rsid w:val="7FFFEDF2"/>
    <w:rsid w:val="83BFD64C"/>
    <w:rsid w:val="865F0948"/>
    <w:rsid w:val="87E76729"/>
    <w:rsid w:val="88EFDD46"/>
    <w:rsid w:val="8BDD2D11"/>
    <w:rsid w:val="8BFB81A2"/>
    <w:rsid w:val="8DB92E08"/>
    <w:rsid w:val="8F1DA4C1"/>
    <w:rsid w:val="8F5CD62F"/>
    <w:rsid w:val="93F73735"/>
    <w:rsid w:val="947A5510"/>
    <w:rsid w:val="957CEC5C"/>
    <w:rsid w:val="97F91B66"/>
    <w:rsid w:val="97FF75D9"/>
    <w:rsid w:val="97FFCF6F"/>
    <w:rsid w:val="9A67B193"/>
    <w:rsid w:val="9A9B3806"/>
    <w:rsid w:val="9AFE503D"/>
    <w:rsid w:val="9B7CA2F4"/>
    <w:rsid w:val="9B933EA7"/>
    <w:rsid w:val="9BAF34C6"/>
    <w:rsid w:val="9BFFE5D9"/>
    <w:rsid w:val="9CAF1639"/>
    <w:rsid w:val="9CED2955"/>
    <w:rsid w:val="9CEFCE36"/>
    <w:rsid w:val="9D7D666A"/>
    <w:rsid w:val="9DFFAC36"/>
    <w:rsid w:val="9E3ECBEE"/>
    <w:rsid w:val="9E4F1123"/>
    <w:rsid w:val="9EEFC51B"/>
    <w:rsid w:val="9EF952AE"/>
    <w:rsid w:val="9EFA0FFD"/>
    <w:rsid w:val="9EFFDECA"/>
    <w:rsid w:val="9F6FE640"/>
    <w:rsid w:val="9F94998B"/>
    <w:rsid w:val="9F9DBB0C"/>
    <w:rsid w:val="9FBE6AB9"/>
    <w:rsid w:val="9FBE7698"/>
    <w:rsid w:val="9FC7FCA5"/>
    <w:rsid w:val="9FDFA5FE"/>
    <w:rsid w:val="9FFDCDEE"/>
    <w:rsid w:val="9FFFF9D6"/>
    <w:rsid w:val="A26DFE41"/>
    <w:rsid w:val="A4BED7D7"/>
    <w:rsid w:val="A5CF3A02"/>
    <w:rsid w:val="A6B5B875"/>
    <w:rsid w:val="A6BBBF37"/>
    <w:rsid w:val="A77FECDB"/>
    <w:rsid w:val="AACDDC5C"/>
    <w:rsid w:val="ABBFB5A3"/>
    <w:rsid w:val="ABFEC53C"/>
    <w:rsid w:val="ADDEB295"/>
    <w:rsid w:val="ADEFB8F4"/>
    <w:rsid w:val="AE1E3A1A"/>
    <w:rsid w:val="AE3AF747"/>
    <w:rsid w:val="AF7F17C5"/>
    <w:rsid w:val="AF8FFBFD"/>
    <w:rsid w:val="AFA64DFC"/>
    <w:rsid w:val="AFB6AD3A"/>
    <w:rsid w:val="AFDEBD6E"/>
    <w:rsid w:val="AFF1A459"/>
    <w:rsid w:val="AFF90A9E"/>
    <w:rsid w:val="AFFB7E36"/>
    <w:rsid w:val="AFFF6A00"/>
    <w:rsid w:val="B0F748BA"/>
    <w:rsid w:val="B0FEF6B6"/>
    <w:rsid w:val="B1FF8D4E"/>
    <w:rsid w:val="B2EE62AA"/>
    <w:rsid w:val="B36E5179"/>
    <w:rsid w:val="B3F29275"/>
    <w:rsid w:val="B3F7B197"/>
    <w:rsid w:val="B3FCA770"/>
    <w:rsid w:val="B3FF2768"/>
    <w:rsid w:val="B57B28D5"/>
    <w:rsid w:val="B58F3BB5"/>
    <w:rsid w:val="B5DE82AA"/>
    <w:rsid w:val="B5EC47C0"/>
    <w:rsid w:val="B5EFF886"/>
    <w:rsid w:val="B6571943"/>
    <w:rsid w:val="B67F5C11"/>
    <w:rsid w:val="B6EF4211"/>
    <w:rsid w:val="B6FA68BE"/>
    <w:rsid w:val="B715923B"/>
    <w:rsid w:val="B776F3D5"/>
    <w:rsid w:val="B77B0FA3"/>
    <w:rsid w:val="B77B6F60"/>
    <w:rsid w:val="B77F5244"/>
    <w:rsid w:val="B7CF5A26"/>
    <w:rsid w:val="B7ED04B2"/>
    <w:rsid w:val="B7FB7BA5"/>
    <w:rsid w:val="B9B7335F"/>
    <w:rsid w:val="B9FE7C18"/>
    <w:rsid w:val="BAD3055B"/>
    <w:rsid w:val="BAF6A80D"/>
    <w:rsid w:val="BAFEA682"/>
    <w:rsid w:val="BB3A48BB"/>
    <w:rsid w:val="BB5F8ED4"/>
    <w:rsid w:val="BBFBEB5E"/>
    <w:rsid w:val="BC999329"/>
    <w:rsid w:val="BD50C970"/>
    <w:rsid w:val="BD5B5AAB"/>
    <w:rsid w:val="BD5E2A4D"/>
    <w:rsid w:val="BD7D08EA"/>
    <w:rsid w:val="BDDBBEBC"/>
    <w:rsid w:val="BDE7E7F3"/>
    <w:rsid w:val="BDEE64A5"/>
    <w:rsid w:val="BDF7276A"/>
    <w:rsid w:val="BDFFEBF0"/>
    <w:rsid w:val="BE62DA3C"/>
    <w:rsid w:val="BE732394"/>
    <w:rsid w:val="BE7F1684"/>
    <w:rsid w:val="BEBCE093"/>
    <w:rsid w:val="BEBFB6AA"/>
    <w:rsid w:val="BEF1CF7F"/>
    <w:rsid w:val="BEF6429D"/>
    <w:rsid w:val="BEF93BF3"/>
    <w:rsid w:val="BEFED930"/>
    <w:rsid w:val="BEFF17BE"/>
    <w:rsid w:val="BEFFBFFC"/>
    <w:rsid w:val="BEFFFF39"/>
    <w:rsid w:val="BF5EEA74"/>
    <w:rsid w:val="BF779D8E"/>
    <w:rsid w:val="BF7F0CD6"/>
    <w:rsid w:val="BF7F10E1"/>
    <w:rsid w:val="BF7F1966"/>
    <w:rsid w:val="BF9B9225"/>
    <w:rsid w:val="BF9FC674"/>
    <w:rsid w:val="BFB3CDA1"/>
    <w:rsid w:val="BFBB6F5E"/>
    <w:rsid w:val="BFBEF1B1"/>
    <w:rsid w:val="BFBFD05B"/>
    <w:rsid w:val="BFC77E5F"/>
    <w:rsid w:val="BFCA4A4B"/>
    <w:rsid w:val="BFDAB7B1"/>
    <w:rsid w:val="BFDBBD83"/>
    <w:rsid w:val="BFEF5F06"/>
    <w:rsid w:val="BFEF7109"/>
    <w:rsid w:val="BFF34CA3"/>
    <w:rsid w:val="BFF46BAC"/>
    <w:rsid w:val="BFF479AD"/>
    <w:rsid w:val="BFF5C3A8"/>
    <w:rsid w:val="BFF6F5D0"/>
    <w:rsid w:val="BFFEAF31"/>
    <w:rsid w:val="BFFF9A57"/>
    <w:rsid w:val="C5DC0E3F"/>
    <w:rsid w:val="C66B9FEB"/>
    <w:rsid w:val="C7BDA248"/>
    <w:rsid w:val="C7D72C8A"/>
    <w:rsid w:val="C8BEB855"/>
    <w:rsid w:val="CB6490A2"/>
    <w:rsid w:val="CB9A93B2"/>
    <w:rsid w:val="CBD39841"/>
    <w:rsid w:val="CBDB22A3"/>
    <w:rsid w:val="CBFF77AE"/>
    <w:rsid w:val="CD5D91C3"/>
    <w:rsid w:val="CE47082E"/>
    <w:rsid w:val="CEA92C04"/>
    <w:rsid w:val="CEFB3173"/>
    <w:rsid w:val="CEFD6FD5"/>
    <w:rsid w:val="CEFF4050"/>
    <w:rsid w:val="CEFF5149"/>
    <w:rsid w:val="CF4BBE3F"/>
    <w:rsid w:val="CF64B160"/>
    <w:rsid w:val="CF656061"/>
    <w:rsid w:val="CF7E832A"/>
    <w:rsid w:val="CF7EF2D1"/>
    <w:rsid w:val="CFCA55ED"/>
    <w:rsid w:val="CFD5B1AD"/>
    <w:rsid w:val="CFDDB635"/>
    <w:rsid w:val="CFDE9DF3"/>
    <w:rsid w:val="CFEF09AF"/>
    <w:rsid w:val="CFEFCFAE"/>
    <w:rsid w:val="CFF57357"/>
    <w:rsid w:val="CFFE7D40"/>
    <w:rsid w:val="CFFF9AF5"/>
    <w:rsid w:val="CFFFED6A"/>
    <w:rsid w:val="D1339C79"/>
    <w:rsid w:val="D2FC0B8E"/>
    <w:rsid w:val="D30F8CB5"/>
    <w:rsid w:val="D31FFE88"/>
    <w:rsid w:val="D36C18D8"/>
    <w:rsid w:val="D3FEFBEF"/>
    <w:rsid w:val="D567CE78"/>
    <w:rsid w:val="D5FBCDB7"/>
    <w:rsid w:val="D667971C"/>
    <w:rsid w:val="D6E4FEA2"/>
    <w:rsid w:val="D6F723CD"/>
    <w:rsid w:val="D6FFB27C"/>
    <w:rsid w:val="D71AC84C"/>
    <w:rsid w:val="D73D97C9"/>
    <w:rsid w:val="D75E0D0B"/>
    <w:rsid w:val="D77F2315"/>
    <w:rsid w:val="D7CFA427"/>
    <w:rsid w:val="D7DA153C"/>
    <w:rsid w:val="D7DCCD67"/>
    <w:rsid w:val="D7DE9A82"/>
    <w:rsid w:val="D7EBB7B4"/>
    <w:rsid w:val="D7EF2406"/>
    <w:rsid w:val="D7FF01A0"/>
    <w:rsid w:val="D87FD8D7"/>
    <w:rsid w:val="D8DC649D"/>
    <w:rsid w:val="D92F890E"/>
    <w:rsid w:val="D9775417"/>
    <w:rsid w:val="D9DF5DBE"/>
    <w:rsid w:val="D9F7F80C"/>
    <w:rsid w:val="D9FDB461"/>
    <w:rsid w:val="DA1D5E1E"/>
    <w:rsid w:val="DA5FB176"/>
    <w:rsid w:val="DAAB7AA4"/>
    <w:rsid w:val="DAEDC090"/>
    <w:rsid w:val="DB73F3A3"/>
    <w:rsid w:val="DBFE44CC"/>
    <w:rsid w:val="DBFE8A31"/>
    <w:rsid w:val="DCFB9A6D"/>
    <w:rsid w:val="DD39FABE"/>
    <w:rsid w:val="DD79D06D"/>
    <w:rsid w:val="DDDB7160"/>
    <w:rsid w:val="DDDD5041"/>
    <w:rsid w:val="DDEF463F"/>
    <w:rsid w:val="DDF79BF9"/>
    <w:rsid w:val="DDF7AC06"/>
    <w:rsid w:val="DDF8F1A5"/>
    <w:rsid w:val="DDFE7CCC"/>
    <w:rsid w:val="DE37894B"/>
    <w:rsid w:val="DE7CBE08"/>
    <w:rsid w:val="DEBB51CB"/>
    <w:rsid w:val="DEDBCFA8"/>
    <w:rsid w:val="DEE31FCB"/>
    <w:rsid w:val="DEFF9A39"/>
    <w:rsid w:val="DF13C9E3"/>
    <w:rsid w:val="DF357310"/>
    <w:rsid w:val="DF5B5945"/>
    <w:rsid w:val="DF6F8B6A"/>
    <w:rsid w:val="DF6FEB77"/>
    <w:rsid w:val="DF6FFF27"/>
    <w:rsid w:val="DF7B0560"/>
    <w:rsid w:val="DF7DAD96"/>
    <w:rsid w:val="DF7E0415"/>
    <w:rsid w:val="DF8DEDFC"/>
    <w:rsid w:val="DF97C28B"/>
    <w:rsid w:val="DFB6AE9C"/>
    <w:rsid w:val="DFC9C963"/>
    <w:rsid w:val="DFD2793F"/>
    <w:rsid w:val="DFD4D46E"/>
    <w:rsid w:val="DFDBE325"/>
    <w:rsid w:val="DFDDCB3E"/>
    <w:rsid w:val="DFDE1A02"/>
    <w:rsid w:val="DFDF7368"/>
    <w:rsid w:val="DFEB8292"/>
    <w:rsid w:val="DFF78F27"/>
    <w:rsid w:val="DFF96272"/>
    <w:rsid w:val="DFF994AD"/>
    <w:rsid w:val="DFFEF938"/>
    <w:rsid w:val="DFFF0A2F"/>
    <w:rsid w:val="DFFF797A"/>
    <w:rsid w:val="DFFFAD01"/>
    <w:rsid w:val="E1F3F0CE"/>
    <w:rsid w:val="E1F4654E"/>
    <w:rsid w:val="E2FFD23E"/>
    <w:rsid w:val="E32DBE6E"/>
    <w:rsid w:val="E377F8F3"/>
    <w:rsid w:val="E3AD1835"/>
    <w:rsid w:val="E3BFEF14"/>
    <w:rsid w:val="E3F68DE5"/>
    <w:rsid w:val="E4D321EB"/>
    <w:rsid w:val="E4DC9553"/>
    <w:rsid w:val="E5F7A8B6"/>
    <w:rsid w:val="E5F94DFB"/>
    <w:rsid w:val="E6974AE4"/>
    <w:rsid w:val="E6BD1C4C"/>
    <w:rsid w:val="E6DB6CAA"/>
    <w:rsid w:val="E6ED7800"/>
    <w:rsid w:val="E6EF50A9"/>
    <w:rsid w:val="E75B2F4E"/>
    <w:rsid w:val="E7778BA4"/>
    <w:rsid w:val="E77FB12E"/>
    <w:rsid w:val="E7B58720"/>
    <w:rsid w:val="E7D56EF7"/>
    <w:rsid w:val="E7DFA9D7"/>
    <w:rsid w:val="E7F78DBA"/>
    <w:rsid w:val="E8FFB8F4"/>
    <w:rsid w:val="E9B7E745"/>
    <w:rsid w:val="EA7F8EE7"/>
    <w:rsid w:val="EAB518B0"/>
    <w:rsid w:val="EAF94FAB"/>
    <w:rsid w:val="EB4F03C4"/>
    <w:rsid w:val="EB5FB8FF"/>
    <w:rsid w:val="EB7DADF7"/>
    <w:rsid w:val="EBB330BD"/>
    <w:rsid w:val="EBBEEBC0"/>
    <w:rsid w:val="EBBFFDFC"/>
    <w:rsid w:val="EBDE82E4"/>
    <w:rsid w:val="EBDEA5CC"/>
    <w:rsid w:val="EBEBE157"/>
    <w:rsid w:val="EBF95E81"/>
    <w:rsid w:val="EC3BF733"/>
    <w:rsid w:val="ECD25E0C"/>
    <w:rsid w:val="ECDAF89C"/>
    <w:rsid w:val="ECFF25E8"/>
    <w:rsid w:val="ED577024"/>
    <w:rsid w:val="ED5FA988"/>
    <w:rsid w:val="ED5FED7D"/>
    <w:rsid w:val="ED77E293"/>
    <w:rsid w:val="ED7BABEA"/>
    <w:rsid w:val="ED8EE9BA"/>
    <w:rsid w:val="EDE72ECC"/>
    <w:rsid w:val="EDEFA37C"/>
    <w:rsid w:val="EDFB8758"/>
    <w:rsid w:val="EDFCB815"/>
    <w:rsid w:val="EE37BC0D"/>
    <w:rsid w:val="EE7E9BC6"/>
    <w:rsid w:val="EE9B89A4"/>
    <w:rsid w:val="EEAF4233"/>
    <w:rsid w:val="EEBE5B2F"/>
    <w:rsid w:val="EED759A7"/>
    <w:rsid w:val="EEF7E284"/>
    <w:rsid w:val="EEFE9A53"/>
    <w:rsid w:val="EF35808D"/>
    <w:rsid w:val="EF3596C0"/>
    <w:rsid w:val="EF5F549F"/>
    <w:rsid w:val="EF7E9546"/>
    <w:rsid w:val="EF7F0D12"/>
    <w:rsid w:val="EF995AC1"/>
    <w:rsid w:val="EF9FCBAF"/>
    <w:rsid w:val="EFA70C80"/>
    <w:rsid w:val="EFAD5772"/>
    <w:rsid w:val="EFB37416"/>
    <w:rsid w:val="EFBE5199"/>
    <w:rsid w:val="EFCA7C54"/>
    <w:rsid w:val="EFCB5822"/>
    <w:rsid w:val="EFDD2462"/>
    <w:rsid w:val="EFF38F7F"/>
    <w:rsid w:val="EFF7E79C"/>
    <w:rsid w:val="EFF7EEC4"/>
    <w:rsid w:val="EFFC930C"/>
    <w:rsid w:val="EFFD14C7"/>
    <w:rsid w:val="EFFD19B5"/>
    <w:rsid w:val="EFFE0E91"/>
    <w:rsid w:val="EFFE1072"/>
    <w:rsid w:val="EFFE4854"/>
    <w:rsid w:val="EFFE9ADB"/>
    <w:rsid w:val="EFFFBF8B"/>
    <w:rsid w:val="EFFFDEA6"/>
    <w:rsid w:val="EFFFF8D3"/>
    <w:rsid w:val="EFFFFB17"/>
    <w:rsid w:val="F0F5519B"/>
    <w:rsid w:val="F167CAB1"/>
    <w:rsid w:val="F1BFE9ED"/>
    <w:rsid w:val="F1E37086"/>
    <w:rsid w:val="F1ED405F"/>
    <w:rsid w:val="F27BD834"/>
    <w:rsid w:val="F2BF58D8"/>
    <w:rsid w:val="F2FB57BD"/>
    <w:rsid w:val="F2FF7BA2"/>
    <w:rsid w:val="F31FC317"/>
    <w:rsid w:val="F37F4FEE"/>
    <w:rsid w:val="F39B163C"/>
    <w:rsid w:val="F3BE7DE3"/>
    <w:rsid w:val="F3DFC48A"/>
    <w:rsid w:val="F3DFCAE4"/>
    <w:rsid w:val="F3DFF222"/>
    <w:rsid w:val="F3EB2583"/>
    <w:rsid w:val="F3FD1286"/>
    <w:rsid w:val="F47D5AF7"/>
    <w:rsid w:val="F4BF0967"/>
    <w:rsid w:val="F4BFB974"/>
    <w:rsid w:val="F56F22EA"/>
    <w:rsid w:val="F56F86AE"/>
    <w:rsid w:val="F578C90D"/>
    <w:rsid w:val="F57FF291"/>
    <w:rsid w:val="F5BA7558"/>
    <w:rsid w:val="F5C7FA36"/>
    <w:rsid w:val="F5ED3376"/>
    <w:rsid w:val="F5EFA01E"/>
    <w:rsid w:val="F5F87707"/>
    <w:rsid w:val="F5F9F206"/>
    <w:rsid w:val="F5FF167F"/>
    <w:rsid w:val="F5FF8AA0"/>
    <w:rsid w:val="F5FFAC7B"/>
    <w:rsid w:val="F5FFB075"/>
    <w:rsid w:val="F5FFEF8A"/>
    <w:rsid w:val="F6BB0101"/>
    <w:rsid w:val="F6FC556E"/>
    <w:rsid w:val="F6FDDB1D"/>
    <w:rsid w:val="F6FF8109"/>
    <w:rsid w:val="F6FFB558"/>
    <w:rsid w:val="F73291CF"/>
    <w:rsid w:val="F75EF2F1"/>
    <w:rsid w:val="F76749FE"/>
    <w:rsid w:val="F77D5A68"/>
    <w:rsid w:val="F77F0F55"/>
    <w:rsid w:val="F7B598AD"/>
    <w:rsid w:val="F7B7705E"/>
    <w:rsid w:val="F7B7989D"/>
    <w:rsid w:val="F7BE2F5C"/>
    <w:rsid w:val="F7BFD072"/>
    <w:rsid w:val="F7DF7E8F"/>
    <w:rsid w:val="F7EC0D58"/>
    <w:rsid w:val="F7EC7BB3"/>
    <w:rsid w:val="F7EEC53B"/>
    <w:rsid w:val="F7EFBBEC"/>
    <w:rsid w:val="F7F6DB64"/>
    <w:rsid w:val="F7F79B7A"/>
    <w:rsid w:val="F7FB8AFB"/>
    <w:rsid w:val="F7FEAB6A"/>
    <w:rsid w:val="F7FFAFAC"/>
    <w:rsid w:val="F7FFF598"/>
    <w:rsid w:val="F7FFFEA2"/>
    <w:rsid w:val="F87B109A"/>
    <w:rsid w:val="F8E701ED"/>
    <w:rsid w:val="F8F7D448"/>
    <w:rsid w:val="F8FF5DE6"/>
    <w:rsid w:val="F935474C"/>
    <w:rsid w:val="F973E303"/>
    <w:rsid w:val="F97BD2F7"/>
    <w:rsid w:val="F97E8FAD"/>
    <w:rsid w:val="F989BCE8"/>
    <w:rsid w:val="F9D5EEE4"/>
    <w:rsid w:val="F9EBAD40"/>
    <w:rsid w:val="F9FE34DA"/>
    <w:rsid w:val="FA3B60A2"/>
    <w:rsid w:val="FA67B7F9"/>
    <w:rsid w:val="FA6F3E70"/>
    <w:rsid w:val="FA7F2156"/>
    <w:rsid w:val="FABF5568"/>
    <w:rsid w:val="FAD5A73A"/>
    <w:rsid w:val="FAE6603B"/>
    <w:rsid w:val="FAE7269E"/>
    <w:rsid w:val="FAEF0ACD"/>
    <w:rsid w:val="FAEFD81C"/>
    <w:rsid w:val="FAFBDDD8"/>
    <w:rsid w:val="FAFD88EB"/>
    <w:rsid w:val="FAFE7B2C"/>
    <w:rsid w:val="FB587594"/>
    <w:rsid w:val="FB6DB040"/>
    <w:rsid w:val="FB7ABBD4"/>
    <w:rsid w:val="FB7DFB10"/>
    <w:rsid w:val="FB7F4B15"/>
    <w:rsid w:val="FB7FDA2F"/>
    <w:rsid w:val="FB997A69"/>
    <w:rsid w:val="FBAF1493"/>
    <w:rsid w:val="FBB3EAC1"/>
    <w:rsid w:val="FBBB231F"/>
    <w:rsid w:val="FBBB7E16"/>
    <w:rsid w:val="FBBF0695"/>
    <w:rsid w:val="FBC192C2"/>
    <w:rsid w:val="FBC2B7E7"/>
    <w:rsid w:val="FBC70928"/>
    <w:rsid w:val="FBDBFF00"/>
    <w:rsid w:val="FBE0C1FC"/>
    <w:rsid w:val="FBE2E6C1"/>
    <w:rsid w:val="FBF0ABF8"/>
    <w:rsid w:val="FBF32540"/>
    <w:rsid w:val="FBF6935F"/>
    <w:rsid w:val="FBF76111"/>
    <w:rsid w:val="FBF92603"/>
    <w:rsid w:val="FBFC4870"/>
    <w:rsid w:val="FBFD3067"/>
    <w:rsid w:val="FBFDF176"/>
    <w:rsid w:val="FBFE2CE0"/>
    <w:rsid w:val="FBFEC5B0"/>
    <w:rsid w:val="FBFEEE2D"/>
    <w:rsid w:val="FBFF0D31"/>
    <w:rsid w:val="FBFFC873"/>
    <w:rsid w:val="FBFFF2F4"/>
    <w:rsid w:val="FC55BFA8"/>
    <w:rsid w:val="FC575829"/>
    <w:rsid w:val="FC7898D7"/>
    <w:rsid w:val="FC7F5D0D"/>
    <w:rsid w:val="FCB1D545"/>
    <w:rsid w:val="FCB75032"/>
    <w:rsid w:val="FCBFE769"/>
    <w:rsid w:val="FCDED1FF"/>
    <w:rsid w:val="FCDF580D"/>
    <w:rsid w:val="FCFE1A13"/>
    <w:rsid w:val="FCFE7E79"/>
    <w:rsid w:val="FCFF30AB"/>
    <w:rsid w:val="FD45B524"/>
    <w:rsid w:val="FD754BBA"/>
    <w:rsid w:val="FD7AC442"/>
    <w:rsid w:val="FD7E939C"/>
    <w:rsid w:val="FD7F05A4"/>
    <w:rsid w:val="FD7FF3C1"/>
    <w:rsid w:val="FD8F70B2"/>
    <w:rsid w:val="FDCF27B9"/>
    <w:rsid w:val="FDD5A136"/>
    <w:rsid w:val="FDDABDF9"/>
    <w:rsid w:val="FDDADE22"/>
    <w:rsid w:val="FDDB76C7"/>
    <w:rsid w:val="FDE7330F"/>
    <w:rsid w:val="FDEB3DFF"/>
    <w:rsid w:val="FDEB9D10"/>
    <w:rsid w:val="FDECD6F2"/>
    <w:rsid w:val="FDEDC709"/>
    <w:rsid w:val="FDEF56BA"/>
    <w:rsid w:val="FDF2B6F1"/>
    <w:rsid w:val="FDF36DC7"/>
    <w:rsid w:val="FDF63529"/>
    <w:rsid w:val="FDF74124"/>
    <w:rsid w:val="FDF75B62"/>
    <w:rsid w:val="FDFB2A11"/>
    <w:rsid w:val="FDFD2422"/>
    <w:rsid w:val="FDFD9D19"/>
    <w:rsid w:val="FDFDE6BA"/>
    <w:rsid w:val="FDFEA790"/>
    <w:rsid w:val="FDFF7EAF"/>
    <w:rsid w:val="FDFF94C4"/>
    <w:rsid w:val="FDFFE98A"/>
    <w:rsid w:val="FE1FE7D7"/>
    <w:rsid w:val="FE36DAA5"/>
    <w:rsid w:val="FE53CFCF"/>
    <w:rsid w:val="FE7D59FF"/>
    <w:rsid w:val="FE7E4CB6"/>
    <w:rsid w:val="FE7F97BA"/>
    <w:rsid w:val="FE9B7309"/>
    <w:rsid w:val="FE9EA74D"/>
    <w:rsid w:val="FE9FDBD7"/>
    <w:rsid w:val="FEABB1FD"/>
    <w:rsid w:val="FEB772AB"/>
    <w:rsid w:val="FED94C7D"/>
    <w:rsid w:val="FEDF20A8"/>
    <w:rsid w:val="FEE7520C"/>
    <w:rsid w:val="FEE7C03F"/>
    <w:rsid w:val="FEECB418"/>
    <w:rsid w:val="FEEF16D9"/>
    <w:rsid w:val="FEEF310D"/>
    <w:rsid w:val="FEF7557B"/>
    <w:rsid w:val="FEF8EB3B"/>
    <w:rsid w:val="FEFCF7D4"/>
    <w:rsid w:val="FEFD7249"/>
    <w:rsid w:val="FEFE6B30"/>
    <w:rsid w:val="FEFF4BB5"/>
    <w:rsid w:val="FF2B7C5F"/>
    <w:rsid w:val="FF2D0EBC"/>
    <w:rsid w:val="FF372FFF"/>
    <w:rsid w:val="FF3A91E1"/>
    <w:rsid w:val="FF3FBE0C"/>
    <w:rsid w:val="FF5509FB"/>
    <w:rsid w:val="FF5757B8"/>
    <w:rsid w:val="FF5F2F33"/>
    <w:rsid w:val="FF63452B"/>
    <w:rsid w:val="FF6B77E7"/>
    <w:rsid w:val="FF6F8271"/>
    <w:rsid w:val="FF6FC3D0"/>
    <w:rsid w:val="FF7753CC"/>
    <w:rsid w:val="FF77A231"/>
    <w:rsid w:val="FF7D6919"/>
    <w:rsid w:val="FF7F23FD"/>
    <w:rsid w:val="FF7F32C1"/>
    <w:rsid w:val="FF7F5935"/>
    <w:rsid w:val="FF7F68AE"/>
    <w:rsid w:val="FF7F7A0B"/>
    <w:rsid w:val="FF7F7BA5"/>
    <w:rsid w:val="FF7F97B9"/>
    <w:rsid w:val="FF8FAA62"/>
    <w:rsid w:val="FF8FB52A"/>
    <w:rsid w:val="FF940639"/>
    <w:rsid w:val="FF9B26FD"/>
    <w:rsid w:val="FFA5E8BF"/>
    <w:rsid w:val="FFAE5AAE"/>
    <w:rsid w:val="FFAF258A"/>
    <w:rsid w:val="FFAF41C6"/>
    <w:rsid w:val="FFAFC2A5"/>
    <w:rsid w:val="FFAFE52E"/>
    <w:rsid w:val="FFB2807B"/>
    <w:rsid w:val="FFB4A464"/>
    <w:rsid w:val="FFB7AD4D"/>
    <w:rsid w:val="FFBD3C71"/>
    <w:rsid w:val="FFBE0ACA"/>
    <w:rsid w:val="FFBEB288"/>
    <w:rsid w:val="FFBF4905"/>
    <w:rsid w:val="FFBF6738"/>
    <w:rsid w:val="FFBF8D58"/>
    <w:rsid w:val="FFC2A09D"/>
    <w:rsid w:val="FFC7DDBF"/>
    <w:rsid w:val="FFCB4822"/>
    <w:rsid w:val="FFCE12C2"/>
    <w:rsid w:val="FFCF2151"/>
    <w:rsid w:val="FFCFFEFE"/>
    <w:rsid w:val="FFD36876"/>
    <w:rsid w:val="FFD6FE28"/>
    <w:rsid w:val="FFD97AF0"/>
    <w:rsid w:val="FFDDEB4A"/>
    <w:rsid w:val="FFDF2B71"/>
    <w:rsid w:val="FFDF65FC"/>
    <w:rsid w:val="FFDF79E6"/>
    <w:rsid w:val="FFDF82FC"/>
    <w:rsid w:val="FFDFCCA9"/>
    <w:rsid w:val="FFDFD518"/>
    <w:rsid w:val="FFDFDAB5"/>
    <w:rsid w:val="FFDFE918"/>
    <w:rsid w:val="FFE3CB32"/>
    <w:rsid w:val="FFE75944"/>
    <w:rsid w:val="FFE940FA"/>
    <w:rsid w:val="FFE9E2B2"/>
    <w:rsid w:val="FFEA3193"/>
    <w:rsid w:val="FFEB7173"/>
    <w:rsid w:val="FFEBF2A3"/>
    <w:rsid w:val="FFEC6AC9"/>
    <w:rsid w:val="FFED513F"/>
    <w:rsid w:val="FFEDEFE3"/>
    <w:rsid w:val="FFEF28CC"/>
    <w:rsid w:val="FFEF8DD2"/>
    <w:rsid w:val="FFF15A00"/>
    <w:rsid w:val="FFF39CAC"/>
    <w:rsid w:val="FFF67C4B"/>
    <w:rsid w:val="FFF71217"/>
    <w:rsid w:val="FFF71AB4"/>
    <w:rsid w:val="FFF721F4"/>
    <w:rsid w:val="FFF9166F"/>
    <w:rsid w:val="FFF9F249"/>
    <w:rsid w:val="FFFA0E8C"/>
    <w:rsid w:val="FFFA551F"/>
    <w:rsid w:val="FFFC5155"/>
    <w:rsid w:val="FFFCBBC5"/>
    <w:rsid w:val="FFFD7161"/>
    <w:rsid w:val="FFFD7DAB"/>
    <w:rsid w:val="FFFD8445"/>
    <w:rsid w:val="FFFE50EF"/>
    <w:rsid w:val="FFFE612D"/>
    <w:rsid w:val="FFFE94BE"/>
    <w:rsid w:val="FFFF0927"/>
    <w:rsid w:val="FFFF0E25"/>
    <w:rsid w:val="FFFF0E34"/>
    <w:rsid w:val="FFFF72D0"/>
    <w:rsid w:val="FFFF77C1"/>
    <w:rsid w:val="FFFFB04E"/>
    <w:rsid w:val="FFFFC286"/>
    <w:rsid w:val="FFFFD8F8"/>
    <w:rsid w:val="FFFFDB02"/>
    <w:rsid w:val="FFFFE837"/>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9" w:semiHidden="0" w:name="heading 5"/>
    <w:lsdException w:qFormat="1" w:unhideWhenUsed="0" w:uiPriority="9" w:semiHidden="0" w:name="heading 6"/>
    <w:lsdException w:qFormat="1" w:unhideWhenUsed="0" w:uiPriority="9" w:semiHidden="0" w:name="heading 7"/>
    <w:lsdException w:qFormat="1" w:unhideWhenUsed="0" w:uiPriority="9" w:semiHidden="0" w:name="heading 8"/>
    <w:lsdException w:qFormat="1" w:unhideWhenUsed="0" w:uiPriority="9"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35" w:semiHidden="0" w:name="caption"/>
    <w:lsdException w:uiPriority="99" w:name="table of figures"/>
    <w:lsdException w:uiPriority="99" w:name="envelope address"/>
    <w:lsdException w:uiPriority="99" w:name="envelope return"/>
    <w:lsdException w:uiPriority="99" w:name="footnote reference"/>
    <w:lsdException w:qFormat="1" w:uiPriority="99" w:semiHidden="0"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0"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iPriority="1"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line="588" w:lineRule="exact"/>
      <w:ind w:firstLine="200" w:firstLineChars="200"/>
      <w:jc w:val="both"/>
    </w:pPr>
    <w:rPr>
      <w:rFonts w:ascii="宋体" w:hAnsi="宋体" w:eastAsia="仿宋_GB2312" w:cs="Times New Roman"/>
      <w:kern w:val="2"/>
      <w:sz w:val="32"/>
      <w:szCs w:val="22"/>
      <w:lang w:val="en-US" w:eastAsia="zh-CN" w:bidi="ar-SA"/>
    </w:rPr>
  </w:style>
  <w:style w:type="paragraph" w:styleId="2">
    <w:name w:val="heading 1"/>
    <w:next w:val="1"/>
    <w:link w:val="40"/>
    <w:qFormat/>
    <w:uiPriority w:val="9"/>
    <w:pPr>
      <w:keepNext/>
      <w:keepLines/>
      <w:numPr>
        <w:ilvl w:val="0"/>
        <w:numId w:val="1"/>
      </w:numPr>
      <w:adjustRightInd w:val="0"/>
      <w:snapToGrid w:val="0"/>
      <w:spacing w:before="200" w:after="400"/>
      <w:ind w:left="0"/>
      <w:jc w:val="center"/>
      <w:outlineLvl w:val="0"/>
    </w:pPr>
    <w:rPr>
      <w:rFonts w:ascii="方正小标宋简体" w:hAnsi="方正小标宋简体" w:eastAsia="方正小标宋简体" w:cs="方正小标宋简体"/>
      <w:bCs/>
      <w:kern w:val="44"/>
      <w:sz w:val="36"/>
      <w:szCs w:val="36"/>
      <w:lang w:val="en-US" w:eastAsia="zh-CN" w:bidi="ar-SA"/>
    </w:rPr>
  </w:style>
  <w:style w:type="paragraph" w:styleId="3">
    <w:name w:val="heading 2"/>
    <w:next w:val="1"/>
    <w:link w:val="41"/>
    <w:qFormat/>
    <w:uiPriority w:val="9"/>
    <w:pPr>
      <w:keepNext/>
      <w:keepLines/>
      <w:numPr>
        <w:ilvl w:val="1"/>
        <w:numId w:val="1"/>
      </w:numPr>
      <w:adjustRightInd w:val="0"/>
      <w:snapToGrid w:val="0"/>
      <w:spacing w:before="200" w:after="200"/>
      <w:ind w:left="0"/>
      <w:jc w:val="center"/>
      <w:outlineLvl w:val="1"/>
    </w:pPr>
    <w:rPr>
      <w:rFonts w:ascii="黑体" w:hAnsi="Cambria" w:eastAsia="黑体" w:cs="Times New Roman"/>
      <w:bCs/>
      <w:kern w:val="2"/>
      <w:sz w:val="32"/>
      <w:szCs w:val="30"/>
      <w:lang w:val="en-US" w:eastAsia="zh-CN" w:bidi="ar-SA"/>
    </w:rPr>
  </w:style>
  <w:style w:type="paragraph" w:styleId="4">
    <w:name w:val="heading 3"/>
    <w:next w:val="1"/>
    <w:link w:val="42"/>
    <w:qFormat/>
    <w:uiPriority w:val="9"/>
    <w:pPr>
      <w:keepNext/>
      <w:keepLines/>
      <w:numPr>
        <w:ilvl w:val="2"/>
        <w:numId w:val="1"/>
      </w:numPr>
      <w:adjustRightInd w:val="0"/>
      <w:snapToGrid w:val="0"/>
      <w:spacing w:line="588" w:lineRule="exact"/>
      <w:outlineLvl w:val="2"/>
    </w:pPr>
    <w:rPr>
      <w:rFonts w:ascii="楷体" w:hAnsi="楷体" w:eastAsia="楷体" w:cs="楷体"/>
      <w:bCs/>
      <w:kern w:val="2"/>
      <w:sz w:val="32"/>
      <w:szCs w:val="32"/>
      <w:lang w:val="en-US" w:eastAsia="zh-CN" w:bidi="ar-SA"/>
    </w:rPr>
  </w:style>
  <w:style w:type="paragraph" w:styleId="5">
    <w:name w:val="heading 4"/>
    <w:next w:val="1"/>
    <w:link w:val="43"/>
    <w:qFormat/>
    <w:uiPriority w:val="9"/>
    <w:pPr>
      <w:keepNext/>
      <w:keepLines/>
      <w:numPr>
        <w:ilvl w:val="3"/>
        <w:numId w:val="1"/>
      </w:numPr>
      <w:adjustRightInd w:val="0"/>
      <w:snapToGrid w:val="0"/>
      <w:spacing w:line="560" w:lineRule="exact"/>
      <w:ind w:left="0" w:firstLine="200" w:firstLineChars="200"/>
      <w:outlineLvl w:val="3"/>
    </w:pPr>
    <w:rPr>
      <w:rFonts w:ascii="仿宋_GB2312" w:hAnsi="仿宋_GB2312" w:eastAsia="仿宋_GB2312" w:cs="仿宋_GB2312"/>
      <w:bCs/>
      <w:kern w:val="2"/>
      <w:sz w:val="32"/>
      <w:szCs w:val="32"/>
      <w:lang w:val="en-US" w:eastAsia="zh-CN" w:bidi="ar-SA"/>
    </w:rPr>
  </w:style>
  <w:style w:type="paragraph" w:styleId="6">
    <w:name w:val="heading 5"/>
    <w:basedOn w:val="5"/>
    <w:next w:val="1"/>
    <w:link w:val="44"/>
    <w:qFormat/>
    <w:uiPriority w:val="9"/>
    <w:pPr>
      <w:numPr>
        <w:ilvl w:val="4"/>
      </w:numPr>
      <w:outlineLvl w:val="4"/>
    </w:pPr>
  </w:style>
  <w:style w:type="paragraph" w:styleId="7">
    <w:name w:val="heading 6"/>
    <w:basedOn w:val="1"/>
    <w:next w:val="1"/>
    <w:link w:val="45"/>
    <w:qFormat/>
    <w:uiPriority w:val="9"/>
    <w:pPr>
      <w:keepNext/>
      <w:keepLines/>
      <w:spacing w:before="240" w:after="64" w:line="320" w:lineRule="auto"/>
      <w:ind w:firstLine="0" w:firstLineChars="0"/>
      <w:outlineLvl w:val="5"/>
    </w:pPr>
    <w:rPr>
      <w:rFonts w:ascii="Cambria" w:hAnsi="Cambria"/>
      <w:b/>
      <w:bCs/>
      <w:szCs w:val="24"/>
    </w:rPr>
  </w:style>
  <w:style w:type="paragraph" w:styleId="8">
    <w:name w:val="heading 7"/>
    <w:basedOn w:val="1"/>
    <w:next w:val="1"/>
    <w:link w:val="46"/>
    <w:qFormat/>
    <w:uiPriority w:val="9"/>
    <w:pPr>
      <w:keepNext/>
      <w:keepLines/>
      <w:spacing w:before="240" w:after="64" w:line="320" w:lineRule="auto"/>
      <w:ind w:firstLine="0" w:firstLineChars="0"/>
      <w:outlineLvl w:val="6"/>
    </w:pPr>
    <w:rPr>
      <w:b/>
      <w:bCs/>
      <w:szCs w:val="24"/>
    </w:rPr>
  </w:style>
  <w:style w:type="paragraph" w:styleId="9">
    <w:name w:val="heading 8"/>
    <w:basedOn w:val="1"/>
    <w:next w:val="1"/>
    <w:link w:val="47"/>
    <w:qFormat/>
    <w:uiPriority w:val="9"/>
    <w:pPr>
      <w:keepNext/>
      <w:keepLines/>
      <w:numPr>
        <w:ilvl w:val="7"/>
        <w:numId w:val="1"/>
      </w:numPr>
      <w:spacing w:before="240" w:after="64" w:line="320" w:lineRule="auto"/>
      <w:ind w:firstLine="0" w:firstLineChars="0"/>
      <w:outlineLvl w:val="7"/>
    </w:pPr>
    <w:rPr>
      <w:rFonts w:ascii="Cambria" w:hAnsi="Cambria"/>
      <w:szCs w:val="24"/>
    </w:rPr>
  </w:style>
  <w:style w:type="paragraph" w:styleId="10">
    <w:name w:val="heading 9"/>
    <w:basedOn w:val="1"/>
    <w:next w:val="1"/>
    <w:link w:val="48"/>
    <w:qFormat/>
    <w:uiPriority w:val="9"/>
    <w:pPr>
      <w:keepNext/>
      <w:keepLines/>
      <w:numPr>
        <w:ilvl w:val="8"/>
        <w:numId w:val="1"/>
      </w:numPr>
      <w:spacing w:before="240" w:after="64" w:line="320" w:lineRule="auto"/>
      <w:ind w:firstLine="0" w:firstLineChars="0"/>
      <w:outlineLvl w:val="8"/>
    </w:pPr>
    <w:rPr>
      <w:rFonts w:ascii="Cambria" w:hAnsi="Cambria"/>
      <w:szCs w:val="21"/>
    </w:rPr>
  </w:style>
  <w:style w:type="character" w:default="1" w:styleId="32">
    <w:name w:val="Default Paragraph Font"/>
    <w:semiHidden/>
    <w:unhideWhenUsed/>
    <w:qFormat/>
    <w:uiPriority w:val="1"/>
  </w:style>
  <w:style w:type="table" w:default="1" w:styleId="30">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widowControl w:val="0"/>
      <w:adjustRightInd/>
      <w:snapToGrid/>
      <w:spacing w:line="240" w:lineRule="auto"/>
      <w:ind w:left="2520" w:leftChars="1200" w:firstLine="0" w:firstLineChars="0"/>
    </w:pPr>
    <w:rPr>
      <w:rFonts w:asciiTheme="minorHAnsi" w:hAnsiTheme="minorHAnsi" w:eastAsiaTheme="minorEastAsia" w:cstheme="minorBidi"/>
      <w:sz w:val="21"/>
    </w:rPr>
  </w:style>
  <w:style w:type="paragraph" w:styleId="12">
    <w:name w:val="caption"/>
    <w:basedOn w:val="1"/>
    <w:next w:val="1"/>
    <w:link w:val="95"/>
    <w:qFormat/>
    <w:uiPriority w:val="35"/>
    <w:pPr>
      <w:widowControl w:val="0"/>
      <w:adjustRightInd/>
      <w:snapToGrid/>
    </w:pPr>
    <w:rPr>
      <w:rFonts w:ascii="等线 Light" w:hAnsi="等线 Light" w:eastAsia="黑体"/>
      <w:sz w:val="20"/>
      <w:szCs w:val="20"/>
    </w:rPr>
  </w:style>
  <w:style w:type="paragraph" w:styleId="13">
    <w:name w:val="annotation text"/>
    <w:basedOn w:val="1"/>
    <w:link w:val="65"/>
    <w:unhideWhenUsed/>
    <w:qFormat/>
    <w:uiPriority w:val="99"/>
    <w:pPr>
      <w:jc w:val="left"/>
    </w:pPr>
  </w:style>
  <w:style w:type="paragraph" w:styleId="14">
    <w:name w:val="Body Text"/>
    <w:basedOn w:val="1"/>
    <w:link w:val="80"/>
    <w:unhideWhenUsed/>
    <w:qFormat/>
    <w:uiPriority w:val="1"/>
    <w:pPr>
      <w:widowControl w:val="0"/>
      <w:spacing w:after="120"/>
    </w:pPr>
    <w:rPr>
      <w:rFonts w:ascii="Times New Roman"/>
      <w:sz w:val="28"/>
      <w:szCs w:val="24"/>
    </w:rPr>
  </w:style>
  <w:style w:type="paragraph" w:styleId="15">
    <w:name w:val="Body Text Indent"/>
    <w:basedOn w:val="1"/>
    <w:link w:val="75"/>
    <w:unhideWhenUsed/>
    <w:qFormat/>
    <w:uiPriority w:val="99"/>
    <w:pPr>
      <w:spacing w:after="120"/>
      <w:ind w:left="420" w:leftChars="200"/>
    </w:pPr>
  </w:style>
  <w:style w:type="paragraph" w:styleId="16">
    <w:name w:val="toc 5"/>
    <w:basedOn w:val="1"/>
    <w:next w:val="1"/>
    <w:unhideWhenUsed/>
    <w:qFormat/>
    <w:uiPriority w:val="39"/>
    <w:pPr>
      <w:widowControl w:val="0"/>
      <w:adjustRightInd/>
      <w:snapToGrid/>
      <w:spacing w:line="240" w:lineRule="auto"/>
      <w:ind w:left="1680" w:leftChars="800" w:firstLine="0" w:firstLineChars="0"/>
    </w:pPr>
    <w:rPr>
      <w:rFonts w:asciiTheme="minorHAnsi" w:hAnsiTheme="minorHAnsi" w:eastAsiaTheme="minorEastAsia" w:cstheme="minorBidi"/>
      <w:sz w:val="21"/>
    </w:rPr>
  </w:style>
  <w:style w:type="paragraph" w:styleId="17">
    <w:name w:val="toc 3"/>
    <w:next w:val="1"/>
    <w:unhideWhenUsed/>
    <w:qFormat/>
    <w:uiPriority w:val="39"/>
    <w:pPr>
      <w:adjustRightInd w:val="0"/>
      <w:snapToGrid w:val="0"/>
      <w:spacing w:before="50" w:beforeLines="50" w:after="50" w:afterLines="50"/>
      <w:ind w:left="680"/>
      <w:jc w:val="both"/>
    </w:pPr>
    <w:rPr>
      <w:rFonts w:ascii="等线" w:hAnsi="等线" w:eastAsia="黑体" w:cs="Times New Roman"/>
      <w:sz w:val="24"/>
      <w:szCs w:val="22"/>
      <w:lang w:val="en-US" w:eastAsia="zh-CN" w:bidi="ar-SA"/>
    </w:rPr>
  </w:style>
  <w:style w:type="paragraph" w:styleId="18">
    <w:name w:val="toc 8"/>
    <w:basedOn w:val="1"/>
    <w:next w:val="1"/>
    <w:unhideWhenUsed/>
    <w:qFormat/>
    <w:uiPriority w:val="39"/>
    <w:pPr>
      <w:widowControl w:val="0"/>
      <w:adjustRightInd/>
      <w:snapToGrid/>
      <w:spacing w:line="240" w:lineRule="auto"/>
      <w:ind w:left="2940" w:leftChars="1400" w:firstLine="0" w:firstLineChars="0"/>
    </w:pPr>
    <w:rPr>
      <w:rFonts w:asciiTheme="minorHAnsi" w:hAnsiTheme="minorHAnsi" w:eastAsiaTheme="minorEastAsia" w:cstheme="minorBidi"/>
      <w:sz w:val="21"/>
    </w:rPr>
  </w:style>
  <w:style w:type="paragraph" w:styleId="19">
    <w:name w:val="Balloon Text"/>
    <w:basedOn w:val="1"/>
    <w:link w:val="70"/>
    <w:unhideWhenUsed/>
    <w:qFormat/>
    <w:uiPriority w:val="99"/>
    <w:pPr>
      <w:widowControl w:val="0"/>
      <w:adjustRightInd/>
      <w:snapToGrid/>
      <w:spacing w:afterLines="50" w:line="240" w:lineRule="auto"/>
      <w:ind w:firstLine="480"/>
    </w:pPr>
    <w:rPr>
      <w:rFonts w:asciiTheme="minorHAnsi" w:hAnsiTheme="minorHAnsi" w:eastAsiaTheme="minorEastAsia" w:cstheme="minorBidi"/>
      <w:sz w:val="18"/>
      <w:szCs w:val="18"/>
    </w:rPr>
  </w:style>
  <w:style w:type="paragraph" w:styleId="20">
    <w:name w:val="footer"/>
    <w:basedOn w:val="1"/>
    <w:link w:val="51"/>
    <w:unhideWhenUsed/>
    <w:qFormat/>
    <w:uiPriority w:val="99"/>
    <w:pPr>
      <w:tabs>
        <w:tab w:val="center" w:pos="4153"/>
        <w:tab w:val="right" w:pos="8306"/>
      </w:tabs>
      <w:jc w:val="left"/>
    </w:pPr>
    <w:rPr>
      <w:rFonts w:asciiTheme="minorHAnsi" w:hAnsiTheme="minorHAnsi" w:eastAsiaTheme="minorEastAsia" w:cstheme="minorBidi"/>
      <w:sz w:val="18"/>
      <w:szCs w:val="18"/>
    </w:rPr>
  </w:style>
  <w:style w:type="paragraph" w:styleId="21">
    <w:name w:val="header"/>
    <w:link w:val="58"/>
    <w:unhideWhenUsed/>
    <w:qFormat/>
    <w:uiPriority w:val="99"/>
    <w:pPr>
      <w:pBdr>
        <w:bottom w:val="single" w:color="auto" w:sz="6" w:space="1"/>
      </w:pBdr>
      <w:adjustRightInd w:val="0"/>
      <w:snapToGrid w:val="0"/>
    </w:pPr>
    <w:rPr>
      <w:rFonts w:ascii="宋体" w:eastAsia="宋体" w:hAnsiTheme="minorHAnsi" w:cstheme="minorBidi"/>
      <w:kern w:val="2"/>
      <w:sz w:val="18"/>
      <w:szCs w:val="18"/>
      <w:lang w:val="en-US" w:eastAsia="zh-CN" w:bidi="ar-SA"/>
    </w:rPr>
  </w:style>
  <w:style w:type="paragraph" w:styleId="22">
    <w:name w:val="toc 1"/>
    <w:next w:val="1"/>
    <w:unhideWhenUsed/>
    <w:qFormat/>
    <w:uiPriority w:val="39"/>
    <w:pPr>
      <w:adjustRightInd w:val="0"/>
      <w:snapToGrid w:val="0"/>
      <w:spacing w:line="500" w:lineRule="exact"/>
      <w:jc w:val="both"/>
    </w:pPr>
    <w:rPr>
      <w:rFonts w:ascii="楷体" w:hAnsi="楷体" w:eastAsia="楷体" w:cs="楷体"/>
      <w:b/>
      <w:sz w:val="32"/>
      <w:szCs w:val="32"/>
      <w:lang w:val="en-US" w:eastAsia="zh-CN" w:bidi="ar-SA"/>
    </w:rPr>
  </w:style>
  <w:style w:type="paragraph" w:styleId="23">
    <w:name w:val="toc 4"/>
    <w:basedOn w:val="1"/>
    <w:next w:val="1"/>
    <w:unhideWhenUsed/>
    <w:qFormat/>
    <w:uiPriority w:val="39"/>
    <w:pPr>
      <w:widowControl w:val="0"/>
      <w:adjustRightInd/>
      <w:snapToGrid/>
      <w:spacing w:line="240" w:lineRule="auto"/>
      <w:ind w:left="1260" w:leftChars="600" w:firstLine="0" w:firstLineChars="0"/>
    </w:pPr>
    <w:rPr>
      <w:rFonts w:asciiTheme="minorHAnsi" w:hAnsiTheme="minorHAnsi" w:eastAsiaTheme="minorEastAsia" w:cstheme="minorBidi"/>
      <w:sz w:val="21"/>
    </w:rPr>
  </w:style>
  <w:style w:type="paragraph" w:styleId="24">
    <w:name w:val="toc 6"/>
    <w:basedOn w:val="1"/>
    <w:next w:val="1"/>
    <w:unhideWhenUsed/>
    <w:qFormat/>
    <w:uiPriority w:val="39"/>
    <w:pPr>
      <w:widowControl w:val="0"/>
      <w:adjustRightInd/>
      <w:snapToGrid/>
      <w:spacing w:line="240" w:lineRule="auto"/>
      <w:ind w:left="2100" w:leftChars="1000" w:firstLine="0" w:firstLineChars="0"/>
    </w:pPr>
    <w:rPr>
      <w:rFonts w:asciiTheme="minorHAnsi" w:hAnsiTheme="minorHAnsi" w:eastAsiaTheme="minorEastAsia" w:cstheme="minorBidi"/>
      <w:sz w:val="21"/>
    </w:rPr>
  </w:style>
  <w:style w:type="paragraph" w:styleId="25">
    <w:name w:val="toc 2"/>
    <w:next w:val="1"/>
    <w:unhideWhenUsed/>
    <w:qFormat/>
    <w:uiPriority w:val="39"/>
    <w:pPr>
      <w:adjustRightInd w:val="0"/>
      <w:snapToGrid w:val="0"/>
      <w:spacing w:line="500" w:lineRule="exact"/>
      <w:ind w:left="454"/>
      <w:jc w:val="both"/>
    </w:pPr>
    <w:rPr>
      <w:rFonts w:ascii="楷体" w:hAnsi="楷体" w:eastAsia="楷体" w:cs="楷体"/>
      <w:sz w:val="32"/>
      <w:szCs w:val="32"/>
      <w:lang w:val="en-US" w:eastAsia="zh-CN" w:bidi="ar-SA"/>
    </w:rPr>
  </w:style>
  <w:style w:type="paragraph" w:styleId="26">
    <w:name w:val="toc 9"/>
    <w:basedOn w:val="1"/>
    <w:next w:val="1"/>
    <w:unhideWhenUsed/>
    <w:qFormat/>
    <w:uiPriority w:val="39"/>
    <w:pPr>
      <w:widowControl w:val="0"/>
      <w:adjustRightInd/>
      <w:snapToGrid/>
      <w:spacing w:line="240" w:lineRule="auto"/>
      <w:ind w:left="3360" w:leftChars="1600" w:firstLine="0" w:firstLineChars="0"/>
    </w:pPr>
    <w:rPr>
      <w:rFonts w:asciiTheme="minorHAnsi" w:hAnsiTheme="minorHAnsi" w:eastAsiaTheme="minorEastAsia" w:cstheme="minorBidi"/>
      <w:sz w:val="21"/>
    </w:rPr>
  </w:style>
  <w:style w:type="paragraph" w:styleId="27">
    <w:name w:val="HTML Preformatted"/>
    <w:basedOn w:val="1"/>
    <w:link w:val="74"/>
    <w:unhideWhenUsed/>
    <w:qFormat/>
    <w:uiPriority w:val="99"/>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napToGrid/>
      <w:spacing w:before="156" w:after="156" w:afterLines="50"/>
      <w:ind w:firstLine="480"/>
      <w:jc w:val="left"/>
    </w:pPr>
    <w:rPr>
      <w:rFonts w:hint="eastAsia"/>
      <w:kern w:val="0"/>
      <w:szCs w:val="24"/>
    </w:rPr>
  </w:style>
  <w:style w:type="paragraph" w:styleId="28">
    <w:name w:val="Normal (Web)"/>
    <w:basedOn w:val="1"/>
    <w:unhideWhenUsed/>
    <w:qFormat/>
    <w:uiPriority w:val="99"/>
    <w:pPr>
      <w:widowControl w:val="0"/>
      <w:adjustRightInd/>
      <w:snapToGrid/>
      <w:spacing w:afterLines="50"/>
      <w:ind w:firstLine="480"/>
      <w:jc w:val="left"/>
    </w:pPr>
    <w:rPr>
      <w:kern w:val="0"/>
    </w:rPr>
  </w:style>
  <w:style w:type="paragraph" w:styleId="29">
    <w:name w:val="annotation subject"/>
    <w:basedOn w:val="13"/>
    <w:next w:val="13"/>
    <w:link w:val="66"/>
    <w:unhideWhenUsed/>
    <w:qFormat/>
    <w:uiPriority w:val="99"/>
    <w:rPr>
      <w:b/>
      <w:bCs/>
    </w:rPr>
  </w:style>
  <w:style w:type="table" w:styleId="31">
    <w:name w:val="Table Grid"/>
    <w:basedOn w:val="30"/>
    <w:qFormat/>
    <w:uiPriority w:val="5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Strong"/>
    <w:qFormat/>
    <w:uiPriority w:val="22"/>
    <w:rPr>
      <w:b/>
      <w:bCs/>
    </w:rPr>
  </w:style>
  <w:style w:type="character" w:styleId="34">
    <w:name w:val="FollowedHyperlink"/>
    <w:basedOn w:val="32"/>
    <w:semiHidden/>
    <w:unhideWhenUsed/>
    <w:qFormat/>
    <w:uiPriority w:val="99"/>
    <w:rPr>
      <w:color w:val="954F72"/>
      <w:u w:val="single"/>
    </w:rPr>
  </w:style>
  <w:style w:type="character" w:styleId="35">
    <w:name w:val="Emphasis"/>
    <w:qFormat/>
    <w:uiPriority w:val="20"/>
    <w:rPr>
      <w:i/>
      <w:iCs/>
    </w:rPr>
  </w:style>
  <w:style w:type="character" w:styleId="36">
    <w:name w:val="Hyperlink"/>
    <w:unhideWhenUsed/>
    <w:qFormat/>
    <w:uiPriority w:val="99"/>
    <w:rPr>
      <w:color w:val="0563C1"/>
      <w:u w:val="single"/>
    </w:rPr>
  </w:style>
  <w:style w:type="character" w:styleId="37">
    <w:name w:val="annotation reference"/>
    <w:unhideWhenUsed/>
    <w:qFormat/>
    <w:uiPriority w:val="99"/>
    <w:rPr>
      <w:sz w:val="21"/>
      <w:szCs w:val="21"/>
    </w:rPr>
  </w:style>
  <w:style w:type="character" w:customStyle="1" w:styleId="38">
    <w:name w:val="无间隔 字符"/>
    <w:link w:val="39"/>
    <w:qFormat/>
    <w:uiPriority w:val="1"/>
    <w:rPr>
      <w:sz w:val="24"/>
      <w:szCs w:val="32"/>
    </w:rPr>
  </w:style>
  <w:style w:type="paragraph" w:styleId="39">
    <w:name w:val="No Spacing"/>
    <w:link w:val="38"/>
    <w:qFormat/>
    <w:uiPriority w:val="1"/>
    <w:pPr>
      <w:widowControl w:val="0"/>
      <w:jc w:val="both"/>
    </w:pPr>
    <w:rPr>
      <w:rFonts w:asciiTheme="minorHAnsi" w:hAnsiTheme="minorHAnsi" w:eastAsiaTheme="minorEastAsia" w:cstheme="minorBidi"/>
      <w:kern w:val="2"/>
      <w:sz w:val="24"/>
      <w:szCs w:val="32"/>
      <w:lang w:val="en-US" w:eastAsia="zh-CN" w:bidi="ar-SA"/>
    </w:rPr>
  </w:style>
  <w:style w:type="character" w:customStyle="1" w:styleId="40">
    <w:name w:val="标题 1 字符"/>
    <w:basedOn w:val="32"/>
    <w:link w:val="2"/>
    <w:qFormat/>
    <w:uiPriority w:val="9"/>
    <w:rPr>
      <w:rFonts w:ascii="方正小标宋简体" w:hAnsi="方正小标宋简体" w:eastAsia="方正小标宋简体" w:cs="方正小标宋简体"/>
      <w:bCs/>
      <w:kern w:val="44"/>
      <w:sz w:val="36"/>
      <w:szCs w:val="36"/>
    </w:rPr>
  </w:style>
  <w:style w:type="character" w:customStyle="1" w:styleId="41">
    <w:name w:val="标题 2 字符"/>
    <w:basedOn w:val="32"/>
    <w:link w:val="3"/>
    <w:qFormat/>
    <w:uiPriority w:val="9"/>
    <w:rPr>
      <w:rFonts w:ascii="黑体" w:hAnsi="Cambria" w:eastAsia="黑体"/>
      <w:bCs/>
      <w:kern w:val="2"/>
      <w:sz w:val="32"/>
      <w:szCs w:val="30"/>
    </w:rPr>
  </w:style>
  <w:style w:type="character" w:customStyle="1" w:styleId="42">
    <w:name w:val="标题 3 字符"/>
    <w:basedOn w:val="32"/>
    <w:link w:val="4"/>
    <w:qFormat/>
    <w:uiPriority w:val="9"/>
    <w:rPr>
      <w:rFonts w:ascii="楷体" w:hAnsi="楷体" w:eastAsia="楷体" w:cs="楷体"/>
      <w:bCs/>
      <w:kern w:val="2"/>
      <w:sz w:val="32"/>
      <w:szCs w:val="32"/>
    </w:rPr>
  </w:style>
  <w:style w:type="character" w:customStyle="1" w:styleId="43">
    <w:name w:val="标题 4 字符"/>
    <w:basedOn w:val="32"/>
    <w:link w:val="5"/>
    <w:qFormat/>
    <w:uiPriority w:val="9"/>
    <w:rPr>
      <w:rFonts w:ascii="仿宋_GB2312" w:hAnsi="仿宋_GB2312" w:eastAsia="仿宋_GB2312" w:cs="仿宋_GB2312"/>
      <w:bCs/>
      <w:kern w:val="2"/>
      <w:sz w:val="32"/>
      <w:szCs w:val="32"/>
    </w:rPr>
  </w:style>
  <w:style w:type="character" w:customStyle="1" w:styleId="44">
    <w:name w:val="标题 5 字符"/>
    <w:basedOn w:val="32"/>
    <w:link w:val="6"/>
    <w:qFormat/>
    <w:uiPriority w:val="9"/>
    <w:rPr>
      <w:rFonts w:ascii="仿宋_GB2312" w:hAnsi="仿宋_GB2312" w:eastAsia="仿宋_GB2312" w:cs="仿宋_GB2312"/>
      <w:bCs/>
      <w:kern w:val="2"/>
      <w:sz w:val="32"/>
      <w:szCs w:val="32"/>
    </w:rPr>
  </w:style>
  <w:style w:type="character" w:customStyle="1" w:styleId="45">
    <w:name w:val="标题 6 字符"/>
    <w:basedOn w:val="32"/>
    <w:link w:val="7"/>
    <w:qFormat/>
    <w:uiPriority w:val="9"/>
    <w:rPr>
      <w:rFonts w:ascii="Cambria" w:hAnsi="Cambria" w:eastAsia="宋体" w:cs="Times New Roman"/>
      <w:b/>
      <w:bCs/>
      <w:sz w:val="24"/>
      <w:szCs w:val="24"/>
    </w:rPr>
  </w:style>
  <w:style w:type="character" w:customStyle="1" w:styleId="46">
    <w:name w:val="标题 7 字符"/>
    <w:basedOn w:val="32"/>
    <w:link w:val="8"/>
    <w:qFormat/>
    <w:uiPriority w:val="9"/>
    <w:rPr>
      <w:rFonts w:ascii="Times New Roman" w:hAnsi="Times New Roman" w:eastAsia="宋体" w:cs="Times New Roman"/>
      <w:b/>
      <w:bCs/>
      <w:sz w:val="24"/>
      <w:szCs w:val="24"/>
    </w:rPr>
  </w:style>
  <w:style w:type="character" w:customStyle="1" w:styleId="47">
    <w:name w:val="标题 8 字符"/>
    <w:basedOn w:val="32"/>
    <w:link w:val="9"/>
    <w:qFormat/>
    <w:uiPriority w:val="9"/>
    <w:rPr>
      <w:rFonts w:ascii="Cambria" w:hAnsi="Cambria" w:eastAsia="仿宋_GB2312"/>
      <w:kern w:val="2"/>
      <w:sz w:val="32"/>
      <w:szCs w:val="24"/>
    </w:rPr>
  </w:style>
  <w:style w:type="character" w:customStyle="1" w:styleId="48">
    <w:name w:val="标题 9 字符"/>
    <w:basedOn w:val="32"/>
    <w:link w:val="10"/>
    <w:qFormat/>
    <w:uiPriority w:val="9"/>
    <w:rPr>
      <w:rFonts w:ascii="Cambria" w:hAnsi="Cambria" w:eastAsia="仿宋_GB2312"/>
      <w:kern w:val="2"/>
      <w:sz w:val="32"/>
      <w:szCs w:val="21"/>
    </w:rPr>
  </w:style>
  <w:style w:type="character" w:customStyle="1" w:styleId="49">
    <w:name w:val="表格正文 字符"/>
    <w:link w:val="50"/>
    <w:qFormat/>
    <w:uiPriority w:val="0"/>
    <w:rPr>
      <w:rFonts w:ascii="仿宋_GB2312" w:hAnsi="仿宋_GB2312" w:eastAsia="仿宋_GB2312" w:cs="仿宋_GB2312"/>
      <w:kern w:val="2"/>
      <w:sz w:val="28"/>
      <w:szCs w:val="22"/>
    </w:rPr>
  </w:style>
  <w:style w:type="paragraph" w:customStyle="1" w:styleId="50">
    <w:name w:val="表格正文"/>
    <w:link w:val="49"/>
    <w:qFormat/>
    <w:uiPriority w:val="0"/>
    <w:pPr>
      <w:adjustRightInd w:val="0"/>
      <w:snapToGrid w:val="0"/>
      <w:spacing w:line="500" w:lineRule="exact"/>
      <w:ind w:firstLine="200" w:firstLineChars="200"/>
    </w:pPr>
    <w:rPr>
      <w:rFonts w:ascii="仿宋_GB2312" w:hAnsi="仿宋_GB2312" w:eastAsia="仿宋_GB2312" w:cs="仿宋_GB2312"/>
      <w:kern w:val="2"/>
      <w:sz w:val="28"/>
      <w:szCs w:val="22"/>
      <w:lang w:val="en-US" w:eastAsia="zh-CN" w:bidi="ar-SA"/>
    </w:rPr>
  </w:style>
  <w:style w:type="character" w:customStyle="1" w:styleId="51">
    <w:name w:val="页脚 字符"/>
    <w:link w:val="20"/>
    <w:qFormat/>
    <w:uiPriority w:val="99"/>
    <w:rPr>
      <w:sz w:val="18"/>
      <w:szCs w:val="18"/>
    </w:rPr>
  </w:style>
  <w:style w:type="character" w:customStyle="1" w:styleId="52">
    <w:name w:val="页脚 字符1"/>
    <w:basedOn w:val="32"/>
    <w:semiHidden/>
    <w:qFormat/>
    <w:uiPriority w:val="99"/>
    <w:rPr>
      <w:rFonts w:ascii="Times New Roman" w:hAnsi="Times New Roman" w:eastAsia="宋体" w:cs="Times New Roman"/>
      <w:sz w:val="18"/>
      <w:szCs w:val="18"/>
    </w:rPr>
  </w:style>
  <w:style w:type="paragraph" w:customStyle="1" w:styleId="53">
    <w:name w:val="封面"/>
    <w:basedOn w:val="1"/>
    <w:link w:val="54"/>
    <w:qFormat/>
    <w:uiPriority w:val="0"/>
    <w:pPr>
      <w:spacing w:before="400" w:beforeLines="400"/>
      <w:ind w:firstLine="0" w:firstLineChars="0"/>
      <w:jc w:val="center"/>
    </w:pPr>
    <w:rPr>
      <w:rFonts w:ascii="黑体" w:eastAsia="黑体"/>
      <w:b/>
      <w:spacing w:val="80"/>
      <w:sz w:val="72"/>
      <w:szCs w:val="72"/>
    </w:rPr>
  </w:style>
  <w:style w:type="character" w:customStyle="1" w:styleId="54">
    <w:name w:val="封面 字符"/>
    <w:link w:val="53"/>
    <w:qFormat/>
    <w:uiPriority w:val="0"/>
    <w:rPr>
      <w:rFonts w:ascii="黑体" w:hAnsi="Times New Roman" w:eastAsia="黑体" w:cs="Times New Roman"/>
      <w:b/>
      <w:spacing w:val="80"/>
      <w:sz w:val="72"/>
      <w:szCs w:val="72"/>
    </w:rPr>
  </w:style>
  <w:style w:type="character" w:customStyle="1" w:styleId="55">
    <w:name w:val="明显强调1"/>
    <w:qFormat/>
    <w:uiPriority w:val="21"/>
    <w:rPr>
      <w:i/>
      <w:iCs/>
      <w:color w:val="4472C4"/>
    </w:rPr>
  </w:style>
  <w:style w:type="paragraph" w:customStyle="1" w:styleId="56">
    <w:name w:val="附表"/>
    <w:next w:val="1"/>
    <w:link w:val="57"/>
    <w:qFormat/>
    <w:uiPriority w:val="0"/>
    <w:pPr>
      <w:keepNext/>
      <w:pageBreakBefore/>
      <w:adjustRightInd w:val="0"/>
      <w:snapToGrid w:val="0"/>
      <w:spacing w:before="100" w:beforeLines="100"/>
      <w:jc w:val="both"/>
      <w:outlineLvl w:val="0"/>
    </w:pPr>
    <w:rPr>
      <w:rFonts w:ascii="黑体" w:hAnsi="Times New Roman" w:eastAsia="黑体" w:cs="Times New Roman"/>
      <w:b/>
      <w:bCs/>
      <w:kern w:val="44"/>
      <w:sz w:val="36"/>
      <w:szCs w:val="44"/>
      <w:lang w:val="en-US" w:eastAsia="zh-CN" w:bidi="ar-SA"/>
    </w:rPr>
  </w:style>
  <w:style w:type="character" w:customStyle="1" w:styleId="57">
    <w:name w:val="附表 字符"/>
    <w:link w:val="56"/>
    <w:qFormat/>
    <w:uiPriority w:val="0"/>
    <w:rPr>
      <w:rFonts w:ascii="黑体" w:hAnsi="Times New Roman" w:eastAsia="黑体" w:cs="Times New Roman"/>
      <w:b/>
      <w:bCs/>
      <w:kern w:val="44"/>
      <w:sz w:val="36"/>
      <w:szCs w:val="44"/>
    </w:rPr>
  </w:style>
  <w:style w:type="character" w:customStyle="1" w:styleId="58">
    <w:name w:val="页眉 字符"/>
    <w:link w:val="21"/>
    <w:qFormat/>
    <w:uiPriority w:val="99"/>
    <w:rPr>
      <w:rFonts w:ascii="宋体" w:eastAsia="宋体"/>
      <w:sz w:val="18"/>
      <w:szCs w:val="18"/>
    </w:rPr>
  </w:style>
  <w:style w:type="character" w:customStyle="1" w:styleId="59">
    <w:name w:val="页眉 字符1"/>
    <w:basedOn w:val="32"/>
    <w:semiHidden/>
    <w:qFormat/>
    <w:uiPriority w:val="99"/>
    <w:rPr>
      <w:rFonts w:ascii="Times New Roman" w:hAnsi="Times New Roman" w:eastAsia="宋体" w:cs="Times New Roman"/>
      <w:sz w:val="18"/>
      <w:szCs w:val="18"/>
    </w:rPr>
  </w:style>
  <w:style w:type="table" w:customStyle="1" w:styleId="60">
    <w:name w:val="样式1"/>
    <w:basedOn w:val="30"/>
    <w:qFormat/>
    <w:uiPriority w:val="99"/>
    <w:pPr>
      <w:adjustRightInd w:val="0"/>
      <w:snapToGrid w:val="0"/>
      <w:jc w:val="center"/>
    </w:pPr>
    <w:rPr>
      <w:rFonts w:ascii="宋体"/>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cantSplit/>
    </w:trPr>
    <w:tcPr>
      <w:vAlign w:val="center"/>
    </w:tcPr>
    <w:tblStylePr w:type="firstRow">
      <w:pPr>
        <w:keepNext/>
        <w:keepLines w:val="0"/>
        <w:pageBreakBefore w:val="0"/>
        <w:widowControl/>
        <w:suppressLineNumbers w:val="0"/>
        <w:suppressAutoHyphens w:val="0"/>
        <w:kinsoku/>
        <w:wordWrap/>
        <w:overflowPunct/>
        <w:topLinePunct w:val="0"/>
        <w:autoSpaceDE/>
        <w:autoSpaceDN/>
        <w:adjustRightInd w:val="0"/>
        <w:snapToGrid w:val="0"/>
        <w:contextualSpacing w:val="0"/>
        <w:jc w:val="center"/>
      </w:pPr>
      <w:rPr>
        <w:rFonts w:eastAsia="宋体"/>
        <w:b/>
        <w:sz w:val="21"/>
      </w:rPr>
      <w:tblPr/>
      <w:trPr>
        <w:tblHeader/>
      </w:trPr>
      <w:tcPr>
        <w:shd w:val="clear" w:color="auto" w:fill="BFBFBF"/>
      </w:tcPr>
    </w:tblStylePr>
  </w:style>
  <w:style w:type="paragraph" w:customStyle="1" w:styleId="61">
    <w:name w:val="TOC 标题1"/>
    <w:basedOn w:val="2"/>
    <w:next w:val="1"/>
    <w:qFormat/>
    <w:uiPriority w:val="39"/>
    <w:pPr>
      <w:numPr>
        <w:numId w:val="0"/>
      </w:numPr>
      <w:spacing w:beforeAutospacing="1"/>
      <w:outlineLvl w:val="9"/>
    </w:pPr>
    <w:rPr>
      <w:rFonts w:ascii="等线 Light" w:hAnsi="等线 Light"/>
      <w:b/>
      <w:bCs w:val="0"/>
      <w:kern w:val="0"/>
      <w:sz w:val="44"/>
      <w:szCs w:val="32"/>
    </w:rPr>
  </w:style>
  <w:style w:type="paragraph" w:customStyle="1" w:styleId="62">
    <w:name w:val="图名"/>
    <w:basedOn w:val="63"/>
    <w:next w:val="1"/>
    <w:link w:val="64"/>
    <w:qFormat/>
    <w:uiPriority w:val="0"/>
    <w:pPr>
      <w:keepNext w:val="0"/>
    </w:pPr>
  </w:style>
  <w:style w:type="paragraph" w:customStyle="1" w:styleId="63">
    <w:name w:val="表名"/>
    <w:next w:val="50"/>
    <w:link w:val="76"/>
    <w:qFormat/>
    <w:uiPriority w:val="0"/>
    <w:pPr>
      <w:keepNext/>
      <w:keepLines/>
      <w:adjustRightInd w:val="0"/>
      <w:snapToGrid w:val="0"/>
      <w:spacing w:before="326" w:beforeLines="100" w:after="163" w:afterLines="50"/>
      <w:outlineLvl w:val="1"/>
    </w:pPr>
    <w:rPr>
      <w:rFonts w:ascii="黑体" w:hAnsi="黑体" w:eastAsia="仿宋_GB2312" w:cs="Times New Roman"/>
      <w:b/>
      <w:bCs/>
      <w:kern w:val="44"/>
      <w:sz w:val="24"/>
      <w:szCs w:val="44"/>
      <w:lang w:val="en-US" w:eastAsia="zh-CN" w:bidi="ar-SA"/>
    </w:rPr>
  </w:style>
  <w:style w:type="character" w:customStyle="1" w:styleId="64">
    <w:name w:val="图名 字符"/>
    <w:link w:val="62"/>
    <w:qFormat/>
    <w:uiPriority w:val="0"/>
    <w:rPr>
      <w:rFonts w:ascii="黑体" w:hAnsi="黑体" w:eastAsia="仿宋_GB2312"/>
      <w:b/>
      <w:bCs/>
      <w:kern w:val="44"/>
      <w:sz w:val="24"/>
      <w:szCs w:val="44"/>
    </w:rPr>
  </w:style>
  <w:style w:type="character" w:customStyle="1" w:styleId="65">
    <w:name w:val="批注文字 字符"/>
    <w:basedOn w:val="32"/>
    <w:link w:val="13"/>
    <w:qFormat/>
    <w:uiPriority w:val="99"/>
    <w:rPr>
      <w:rFonts w:ascii="Times New Roman" w:hAnsi="Times New Roman" w:eastAsia="宋体" w:cs="Times New Roman"/>
      <w:sz w:val="24"/>
    </w:rPr>
  </w:style>
  <w:style w:type="character" w:customStyle="1" w:styleId="66">
    <w:name w:val="批注主题 字符"/>
    <w:basedOn w:val="65"/>
    <w:link w:val="29"/>
    <w:qFormat/>
    <w:uiPriority w:val="99"/>
    <w:rPr>
      <w:rFonts w:ascii="Times New Roman" w:hAnsi="Times New Roman" w:eastAsia="宋体" w:cs="Times New Roman"/>
      <w:b/>
      <w:bCs/>
      <w:sz w:val="24"/>
    </w:rPr>
  </w:style>
  <w:style w:type="paragraph" w:customStyle="1" w:styleId="67">
    <w:name w:val="图片"/>
    <w:next w:val="62"/>
    <w:link w:val="68"/>
    <w:qFormat/>
    <w:uiPriority w:val="0"/>
    <w:pPr>
      <w:keepNext/>
      <w:widowControl w:val="0"/>
      <w:adjustRightInd w:val="0"/>
      <w:snapToGrid w:val="0"/>
      <w:spacing w:before="100" w:beforeLines="100" w:after="50" w:afterLines="50"/>
      <w:jc w:val="center"/>
    </w:pPr>
    <w:rPr>
      <w:rFonts w:ascii="Times New Roman" w:hAnsi="Times New Roman" w:eastAsia="宋体" w:cs="Times New Roman"/>
      <w:kern w:val="2"/>
      <w:sz w:val="24"/>
      <w:szCs w:val="22"/>
      <w:lang w:val="en-US" w:eastAsia="zh-CN" w:bidi="ar-SA"/>
    </w:rPr>
  </w:style>
  <w:style w:type="character" w:customStyle="1" w:styleId="68">
    <w:name w:val="图片 字符"/>
    <w:link w:val="67"/>
    <w:qFormat/>
    <w:uiPriority w:val="0"/>
    <w:rPr>
      <w:rFonts w:ascii="Times New Roman" w:hAnsi="Times New Roman" w:eastAsia="宋体" w:cs="Times New Roman"/>
      <w:sz w:val="24"/>
    </w:rPr>
  </w:style>
  <w:style w:type="character" w:customStyle="1" w:styleId="69">
    <w:name w:val="正文文本首行缩进 字符"/>
    <w:semiHidden/>
    <w:qFormat/>
    <w:uiPriority w:val="99"/>
  </w:style>
  <w:style w:type="character" w:customStyle="1" w:styleId="70">
    <w:name w:val="批注框文本 字符"/>
    <w:link w:val="19"/>
    <w:qFormat/>
    <w:uiPriority w:val="99"/>
    <w:rPr>
      <w:sz w:val="18"/>
      <w:szCs w:val="18"/>
    </w:rPr>
  </w:style>
  <w:style w:type="character" w:customStyle="1" w:styleId="71">
    <w:name w:val="批注框文本 字符1"/>
    <w:basedOn w:val="32"/>
    <w:semiHidden/>
    <w:qFormat/>
    <w:uiPriority w:val="99"/>
    <w:rPr>
      <w:rFonts w:ascii="Times New Roman" w:hAnsi="Times New Roman" w:eastAsia="宋体" w:cs="Times New Roman"/>
      <w:sz w:val="18"/>
      <w:szCs w:val="18"/>
    </w:rPr>
  </w:style>
  <w:style w:type="paragraph" w:styleId="72">
    <w:name w:val="List Paragraph"/>
    <w:basedOn w:val="1"/>
    <w:link w:val="73"/>
    <w:qFormat/>
    <w:uiPriority w:val="34"/>
    <w:pPr>
      <w:widowControl w:val="0"/>
      <w:adjustRightInd/>
      <w:snapToGrid/>
      <w:ind w:firstLine="420"/>
    </w:pPr>
  </w:style>
  <w:style w:type="character" w:customStyle="1" w:styleId="73">
    <w:name w:val="列表段落 字符"/>
    <w:link w:val="72"/>
    <w:qFormat/>
    <w:uiPriority w:val="34"/>
    <w:rPr>
      <w:rFonts w:ascii="Times New Roman" w:hAnsi="Times New Roman" w:eastAsia="宋体" w:cs="Times New Roman"/>
      <w:sz w:val="24"/>
    </w:rPr>
  </w:style>
  <w:style w:type="character" w:customStyle="1" w:styleId="74">
    <w:name w:val="HTML 预设格式 字符"/>
    <w:basedOn w:val="32"/>
    <w:link w:val="27"/>
    <w:qFormat/>
    <w:uiPriority w:val="99"/>
    <w:rPr>
      <w:rFonts w:ascii="宋体" w:hAnsi="宋体" w:eastAsia="宋体" w:cs="Times New Roman"/>
      <w:kern w:val="0"/>
      <w:sz w:val="24"/>
      <w:szCs w:val="24"/>
    </w:rPr>
  </w:style>
  <w:style w:type="character" w:customStyle="1" w:styleId="75">
    <w:name w:val="正文文本缩进 字符"/>
    <w:basedOn w:val="32"/>
    <w:link w:val="15"/>
    <w:qFormat/>
    <w:uiPriority w:val="99"/>
    <w:rPr>
      <w:rFonts w:ascii="Times New Roman" w:hAnsi="Times New Roman" w:eastAsia="宋体" w:cs="Times New Roman"/>
      <w:sz w:val="24"/>
    </w:rPr>
  </w:style>
  <w:style w:type="character" w:customStyle="1" w:styleId="76">
    <w:name w:val="表名 字符"/>
    <w:basedOn w:val="64"/>
    <w:link w:val="63"/>
    <w:qFormat/>
    <w:uiPriority w:val="0"/>
    <w:rPr>
      <w:rFonts w:ascii="黑体" w:hAnsi="黑体" w:eastAsia="仿宋_GB2312"/>
      <w:kern w:val="44"/>
      <w:sz w:val="24"/>
      <w:szCs w:val="44"/>
    </w:rPr>
  </w:style>
  <w:style w:type="character" w:customStyle="1" w:styleId="77">
    <w:name w:val="未处理的提及1"/>
    <w:basedOn w:val="32"/>
    <w:semiHidden/>
    <w:unhideWhenUsed/>
    <w:qFormat/>
    <w:uiPriority w:val="99"/>
    <w:rPr>
      <w:color w:val="605E5C"/>
      <w:shd w:val="clear" w:color="auto" w:fill="E1DFDD"/>
    </w:rPr>
  </w:style>
  <w:style w:type="table" w:customStyle="1" w:styleId="78">
    <w:name w:val="网格型浅色1"/>
    <w:basedOn w:val="30"/>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character" w:customStyle="1" w:styleId="79">
    <w:name w:val="正文首行缩进 Char"/>
    <w:basedOn w:val="32"/>
    <w:qFormat/>
    <w:uiPriority w:val="0"/>
    <w:rPr>
      <w:rFonts w:hint="eastAsia" w:ascii="黑体" w:hAnsi="宋体" w:eastAsia="黑体" w:cs="黑体"/>
      <w:color w:val="000000"/>
      <w:kern w:val="2"/>
      <w:sz w:val="28"/>
      <w:szCs w:val="24"/>
      <w:lang w:val="en-US" w:eastAsia="zh-CN" w:bidi="ar"/>
    </w:rPr>
  </w:style>
  <w:style w:type="character" w:customStyle="1" w:styleId="80">
    <w:name w:val="正文文本 字符"/>
    <w:basedOn w:val="32"/>
    <w:link w:val="14"/>
    <w:qFormat/>
    <w:uiPriority w:val="1"/>
    <w:rPr>
      <w:rFonts w:hint="eastAsia" w:ascii="黑体" w:hAnsi="宋体" w:eastAsia="黑体" w:cs="黑体"/>
      <w:color w:val="000000"/>
      <w:kern w:val="2"/>
      <w:sz w:val="21"/>
      <w:szCs w:val="24"/>
      <w:lang w:val="en-US" w:eastAsia="zh-CN" w:bidi="ar"/>
    </w:rPr>
  </w:style>
  <w:style w:type="character" w:customStyle="1" w:styleId="81">
    <w:name w:val="正文01 字符"/>
    <w:basedOn w:val="32"/>
    <w:link w:val="82"/>
    <w:qFormat/>
    <w:uiPriority w:val="0"/>
    <w:rPr>
      <w:rFonts w:hint="eastAsia" w:ascii="宋体" w:hAnsi="宋体" w:eastAsia="宋体" w:cs="宋体"/>
      <w:kern w:val="2"/>
      <w:sz w:val="24"/>
      <w:szCs w:val="24"/>
    </w:rPr>
  </w:style>
  <w:style w:type="paragraph" w:customStyle="1" w:styleId="82">
    <w:name w:val="正文01"/>
    <w:basedOn w:val="1"/>
    <w:link w:val="81"/>
    <w:qFormat/>
    <w:uiPriority w:val="0"/>
    <w:pPr>
      <w:widowControl w:val="0"/>
      <w:ind w:firstLine="480"/>
    </w:pPr>
    <w:rPr>
      <w:rFonts w:hint="eastAsia"/>
      <w:szCs w:val="24"/>
    </w:rPr>
  </w:style>
  <w:style w:type="paragraph" w:customStyle="1" w:styleId="83">
    <w:name w:val="msonormal"/>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4">
    <w:name w:val="font5"/>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5">
    <w:name w:val="font6"/>
    <w:basedOn w:val="1"/>
    <w:qFormat/>
    <w:uiPriority w:val="0"/>
    <w:pPr>
      <w:adjustRightInd/>
      <w:snapToGrid/>
      <w:spacing w:before="100" w:beforeAutospacing="1" w:after="100" w:afterAutospacing="1" w:line="240" w:lineRule="auto"/>
      <w:ind w:firstLine="0" w:firstLineChars="0"/>
      <w:jc w:val="left"/>
    </w:pPr>
    <w:rPr>
      <w:rFonts w:ascii="等线" w:hAnsi="等线" w:eastAsia="等线" w:cs="宋体"/>
      <w:kern w:val="0"/>
      <w:sz w:val="18"/>
      <w:szCs w:val="18"/>
    </w:rPr>
  </w:style>
  <w:style w:type="paragraph" w:customStyle="1" w:styleId="86">
    <w:name w:val="xl65"/>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7">
    <w:name w:val="xl66"/>
    <w:basedOn w:val="1"/>
    <w:qFormat/>
    <w:uiPriority w:val="0"/>
    <w:pPr>
      <w:pBdr>
        <w:top w:val="single" w:color="auto" w:sz="4" w:space="0"/>
        <w:left w:val="single" w:color="auto" w:sz="4" w:space="0"/>
        <w:bottom w:val="single" w:color="auto" w:sz="4" w:space="0"/>
        <w:right w:val="single" w:color="auto" w:sz="4" w:space="0"/>
      </w:pBd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88">
    <w:name w:val="xl67"/>
    <w:basedOn w:val="1"/>
    <w:qFormat/>
    <w:uiPriority w:val="0"/>
    <w:pPr>
      <w:adjustRightInd/>
      <w:snapToGrid/>
      <w:spacing w:before="100" w:beforeAutospacing="1" w:after="100" w:afterAutospacing="1" w:line="240" w:lineRule="auto"/>
      <w:ind w:firstLine="0" w:firstLineChars="0"/>
      <w:jc w:val="left"/>
    </w:pPr>
    <w:rPr>
      <w:rFonts w:cs="宋体"/>
      <w:kern w:val="0"/>
      <w:szCs w:val="24"/>
    </w:rPr>
  </w:style>
  <w:style w:type="paragraph" w:customStyle="1" w:styleId="89">
    <w:name w:val="xl68"/>
    <w:basedOn w:val="1"/>
    <w:qFormat/>
    <w:uiPriority w:val="0"/>
    <w:pPr>
      <w:adjustRightInd/>
      <w:snapToGrid/>
      <w:spacing w:before="100" w:beforeAutospacing="1" w:after="100" w:afterAutospacing="1" w:line="240" w:lineRule="auto"/>
      <w:ind w:firstLine="0" w:firstLineChars="0"/>
      <w:jc w:val="center"/>
      <w:textAlignment w:val="center"/>
    </w:pPr>
    <w:rPr>
      <w:rFonts w:cs="宋体"/>
      <w:kern w:val="0"/>
      <w:szCs w:val="24"/>
    </w:rPr>
  </w:style>
  <w:style w:type="paragraph" w:customStyle="1" w:styleId="90">
    <w:name w:val="4级要点"/>
    <w:next w:val="1"/>
    <w:qFormat/>
    <w:uiPriority w:val="0"/>
    <w:pPr>
      <w:keepNext/>
      <w:adjustRightInd w:val="0"/>
      <w:snapToGrid w:val="0"/>
      <w:spacing w:before="163" w:beforeLines="50" w:after="163" w:afterLines="50" w:line="360" w:lineRule="auto"/>
      <w:ind w:left="85" w:firstLine="340"/>
    </w:pPr>
    <w:rPr>
      <w:rFonts w:ascii="宋体" w:hAnsi="Times New Roman" w:eastAsia="宋体" w:cs="Times New Roman"/>
      <w:b/>
      <w:kern w:val="2"/>
      <w:sz w:val="24"/>
      <w:szCs w:val="22"/>
      <w:lang w:val="en-US" w:eastAsia="zh-CN" w:bidi="ar-SA"/>
    </w:rPr>
  </w:style>
  <w:style w:type="paragraph" w:customStyle="1" w:styleId="91">
    <w:name w:val="5级要点"/>
    <w:next w:val="1"/>
    <w:qFormat/>
    <w:uiPriority w:val="0"/>
    <w:pPr>
      <w:adjustRightInd w:val="0"/>
      <w:snapToGrid w:val="0"/>
      <w:spacing w:before="50" w:beforeLines="50" w:after="50" w:afterLines="50" w:line="360" w:lineRule="auto"/>
      <w:ind w:firstLine="567"/>
    </w:pPr>
    <w:rPr>
      <w:rFonts w:ascii="宋体" w:hAnsi="Times New Roman" w:eastAsia="宋体" w:cs="Times New Roman"/>
      <w:b/>
      <w:kern w:val="2"/>
      <w:sz w:val="24"/>
      <w:szCs w:val="22"/>
      <w:lang w:val="en-US" w:eastAsia="zh-CN" w:bidi="ar-SA"/>
    </w:rPr>
  </w:style>
  <w:style w:type="paragraph" w:customStyle="1" w:styleId="92">
    <w:name w:val="Default"/>
    <w:qFormat/>
    <w:uiPriority w:val="0"/>
    <w:pPr>
      <w:widowControl w:val="0"/>
      <w:autoSpaceDE w:val="0"/>
      <w:autoSpaceDN w:val="0"/>
      <w:adjustRightInd w:val="0"/>
    </w:pPr>
    <w:rPr>
      <w:rFonts w:ascii="黑体" w:hAnsi="黑体" w:eastAsia="宋体" w:cs="黑体"/>
      <w:color w:val="000000"/>
      <w:sz w:val="24"/>
      <w:szCs w:val="24"/>
      <w:lang w:val="en-US" w:eastAsia="zh-CN" w:bidi="ar-SA"/>
    </w:rPr>
  </w:style>
  <w:style w:type="character" w:customStyle="1" w:styleId="93">
    <w:name w:val="表 字符"/>
    <w:link w:val="94"/>
    <w:qFormat/>
    <w:locked/>
    <w:uiPriority w:val="0"/>
    <w:rPr>
      <w:rFonts w:ascii="宋体" w:hAnsi="宋体"/>
      <w:kern w:val="2"/>
      <w:sz w:val="21"/>
      <w:szCs w:val="21"/>
    </w:rPr>
  </w:style>
  <w:style w:type="paragraph" w:customStyle="1" w:styleId="94">
    <w:name w:val="表"/>
    <w:basedOn w:val="1"/>
    <w:link w:val="93"/>
    <w:qFormat/>
    <w:uiPriority w:val="0"/>
    <w:pPr>
      <w:widowControl w:val="0"/>
      <w:adjustRightInd/>
      <w:snapToGrid/>
      <w:spacing w:line="240" w:lineRule="auto"/>
      <w:ind w:firstLine="0" w:firstLineChars="0"/>
    </w:pPr>
    <w:rPr>
      <w:sz w:val="21"/>
      <w:szCs w:val="21"/>
    </w:rPr>
  </w:style>
  <w:style w:type="character" w:customStyle="1" w:styleId="95">
    <w:name w:val="题注 字符"/>
    <w:link w:val="12"/>
    <w:qFormat/>
    <w:locked/>
    <w:uiPriority w:val="35"/>
    <w:rPr>
      <w:rFonts w:ascii="等线 Light" w:hAnsi="等线 Light" w:eastAsia="黑体"/>
      <w:kern w:val="2"/>
    </w:rPr>
  </w:style>
  <w:style w:type="paragraph" w:customStyle="1" w:styleId="96">
    <w:name w:val="表格"/>
    <w:basedOn w:val="1"/>
    <w:link w:val="97"/>
    <w:qFormat/>
    <w:uiPriority w:val="0"/>
    <w:pPr>
      <w:widowControl w:val="0"/>
      <w:adjustRightInd/>
      <w:snapToGrid/>
      <w:spacing w:line="580" w:lineRule="exact"/>
      <w:ind w:firstLine="0" w:firstLineChars="0"/>
      <w:jc w:val="center"/>
    </w:pPr>
    <w:rPr>
      <w:sz w:val="21"/>
      <w:szCs w:val="21"/>
    </w:rPr>
  </w:style>
  <w:style w:type="character" w:customStyle="1" w:styleId="97">
    <w:name w:val="表格 Char"/>
    <w:link w:val="96"/>
    <w:qFormat/>
    <w:locked/>
    <w:uiPriority w:val="0"/>
    <w:rPr>
      <w:rFonts w:ascii="宋体" w:hAnsi="宋体" w:eastAsia="仿宋_GB2312"/>
      <w:kern w:val="2"/>
      <w:sz w:val="21"/>
      <w:szCs w:val="21"/>
    </w:rPr>
  </w:style>
  <w:style w:type="paragraph" w:customStyle="1" w:styleId="98">
    <w:name w:val="专栏标题"/>
    <w:basedOn w:val="1"/>
    <w:link w:val="99"/>
    <w:qFormat/>
    <w:uiPriority w:val="0"/>
    <w:pPr>
      <w:spacing w:line="500" w:lineRule="exact"/>
      <w:ind w:firstLine="0" w:firstLineChars="0"/>
      <w:jc w:val="center"/>
    </w:pPr>
    <w:rPr>
      <w:b/>
      <w:bCs/>
      <w:sz w:val="28"/>
      <w:szCs w:val="20"/>
    </w:rPr>
  </w:style>
  <w:style w:type="character" w:customStyle="1" w:styleId="99">
    <w:name w:val="专栏标题 字符"/>
    <w:basedOn w:val="32"/>
    <w:link w:val="98"/>
    <w:qFormat/>
    <w:uiPriority w:val="0"/>
    <w:rPr>
      <w:rFonts w:ascii="宋体" w:hAnsi="宋体" w:eastAsia="仿宋_GB2312"/>
      <w:b/>
      <w:bCs/>
      <w:kern w:val="2"/>
      <w:sz w:val="28"/>
    </w:rPr>
  </w:style>
  <w:style w:type="paragraph" w:customStyle="1" w:styleId="100">
    <w:name w:val="_Style 2"/>
    <w:qFormat/>
    <w:uiPriority w:val="1"/>
    <w:pPr>
      <w:widowControl w:val="0"/>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101">
    <w:name w:val="专栏文字"/>
    <w:basedOn w:val="1"/>
    <w:link w:val="102"/>
    <w:qFormat/>
    <w:uiPriority w:val="0"/>
    <w:pPr>
      <w:widowControl w:val="0"/>
      <w:ind w:firstLine="420"/>
    </w:pPr>
    <w:rPr>
      <w:rFonts w:ascii="Times New Roman" w:hAnsi="Times New Roman"/>
      <w:sz w:val="21"/>
      <w:szCs w:val="20"/>
    </w:rPr>
  </w:style>
  <w:style w:type="character" w:customStyle="1" w:styleId="102">
    <w:name w:val="专栏文字 字符"/>
    <w:basedOn w:val="32"/>
    <w:link w:val="101"/>
    <w:qFormat/>
    <w:uiPriority w:val="0"/>
    <w:rPr>
      <w:rFonts w:eastAsia="仿宋_GB2312"/>
      <w:kern w:val="2"/>
      <w:sz w:val="21"/>
    </w:rPr>
  </w:style>
  <w:style w:type="paragraph" w:customStyle="1" w:styleId="103">
    <w:name w:val="专栏内容"/>
    <w:basedOn w:val="1"/>
    <w:link w:val="104"/>
    <w:qFormat/>
    <w:uiPriority w:val="0"/>
    <w:pPr>
      <w:widowControl w:val="0"/>
      <w:ind w:firstLine="422"/>
    </w:pPr>
    <w:rPr>
      <w:rFonts w:ascii="Times New Roman" w:hAnsi="Times New Roman"/>
      <w:bCs/>
      <w:sz w:val="21"/>
      <w:szCs w:val="20"/>
    </w:rPr>
  </w:style>
  <w:style w:type="character" w:customStyle="1" w:styleId="104">
    <w:name w:val="专栏内容 字符"/>
    <w:basedOn w:val="32"/>
    <w:link w:val="103"/>
    <w:qFormat/>
    <w:uiPriority w:val="0"/>
    <w:rPr>
      <w:rFonts w:eastAsia="仿宋_GB2312"/>
      <w:bCs/>
      <w:kern w:val="2"/>
      <w:sz w:val="21"/>
    </w:rPr>
  </w:style>
  <w:style w:type="paragraph" w:customStyle="1" w:styleId="105">
    <w:name w:val="注脚"/>
    <w:basedOn w:val="1"/>
    <w:link w:val="106"/>
    <w:qFormat/>
    <w:uiPriority w:val="0"/>
    <w:pPr>
      <w:ind w:firstLine="0" w:firstLineChars="0"/>
    </w:pPr>
    <w:rPr>
      <w:rFonts w:ascii="楷体_GB2312" w:eastAsia="楷体_GB2312"/>
      <w:sz w:val="24"/>
      <w:szCs w:val="20"/>
    </w:rPr>
  </w:style>
  <w:style w:type="character" w:customStyle="1" w:styleId="106">
    <w:name w:val="注脚 字符"/>
    <w:basedOn w:val="32"/>
    <w:link w:val="105"/>
    <w:qFormat/>
    <w:uiPriority w:val="0"/>
    <w:rPr>
      <w:rFonts w:ascii="楷体_GB2312" w:hAnsi="宋体" w:eastAsia="楷体_GB2312"/>
      <w:kern w:val="2"/>
      <w:sz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true">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false"/>
        </a:gradFill>
        <a:gradFill rotWithShape="true">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false"/>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true">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false"/>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114</Pages>
  <Words>6934</Words>
  <Characters>39529</Characters>
  <Lines>329</Lines>
  <Paragraphs>92</Paragraphs>
  <TotalTime>8179</TotalTime>
  <ScaleCrop>false</ScaleCrop>
  <LinksUpToDate>false</LinksUpToDate>
  <CharactersWithSpaces>46371</CharactersWithSpaces>
  <Application>WPS Office_11.8.2.9980_F1E327BC-269C-435d-A152-05C5408002CA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2025-07-17T14:53:00Z</dcterms:created>
  <dc:creator>Lee wintersweet</dc:creator>
  <cp:lastModifiedBy>kylin</cp:lastModifiedBy>
  <cp:lastPrinted>2025-11-04T16:59:00Z</cp:lastPrinted>
  <dcterms:modified xsi:type="dcterms:W3CDTF">2026-02-05T15:47:56Z</dcterms:modified>
  <cp:revision>136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2052-11.8.2.9980</vt:lpwstr>
  </property>
  <property fmtid="{D5CDD505-2E9C-101B-9397-08002B2CF9AE}" pid="3" name="ICV">
    <vt:lpwstr>38E1466444224D0A93CE8049DB88D4EB</vt:lpwstr>
  </property>
</Properties>
</file>