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pPr>
    </w:p>
    <w:p>
      <w:pPr>
        <w:ind w:firstLine="640"/>
      </w:pPr>
    </w:p>
    <w:p>
      <w:pPr>
        <w:ind w:firstLine="640"/>
      </w:pPr>
    </w:p>
    <w:p>
      <w:pPr>
        <w:ind w:firstLine="640"/>
      </w:pPr>
    </w:p>
    <w:p>
      <w:pPr>
        <w:tabs>
          <w:tab w:val="left" w:pos="229"/>
          <w:tab w:val="center" w:pos="4264"/>
        </w:tabs>
        <w:spacing w:line="240" w:lineRule="auto"/>
        <w:ind w:firstLine="0" w:firstLineChars="0"/>
        <w:jc w:val="center"/>
        <w:rPr>
          <w:rFonts w:ascii="方正小标宋简体" w:hAnsi="黑体" w:eastAsia="方正小标宋简体"/>
          <w:bCs/>
          <w:sz w:val="48"/>
          <w:szCs w:val="48"/>
        </w:rPr>
      </w:pPr>
      <w:r>
        <w:rPr>
          <w:rFonts w:hint="eastAsia" w:ascii="方正小标宋简体" w:hAnsi="黑体" w:eastAsia="方正小标宋简体"/>
          <w:bCs/>
          <w:sz w:val="48"/>
          <w:szCs w:val="48"/>
        </w:rPr>
        <w:t>内乡县赵店乡国土空间总体规划</w:t>
      </w:r>
    </w:p>
    <w:p>
      <w:pPr>
        <w:widowControl w:val="0"/>
        <w:adjustRightInd/>
        <w:snapToGrid/>
        <w:spacing w:line="240" w:lineRule="auto"/>
        <w:ind w:firstLine="0" w:firstLineChars="0"/>
        <w:jc w:val="center"/>
        <w:rPr>
          <w:rFonts w:ascii="方正小标宋简体" w:hAnsi="黑体" w:eastAsia="方正小标宋简体"/>
          <w:bCs/>
          <w:sz w:val="48"/>
          <w:szCs w:val="48"/>
        </w:rPr>
      </w:pPr>
      <w:r>
        <w:rPr>
          <w:rFonts w:hint="eastAsia" w:ascii="方正小标宋简体" w:hAnsi="黑体" w:eastAsia="方正小标宋简体"/>
          <w:bCs/>
          <w:sz w:val="48"/>
          <w:szCs w:val="48"/>
        </w:rPr>
        <w:t>（2021-2035年）</w:t>
      </w:r>
    </w:p>
    <w:p>
      <w:pPr>
        <w:spacing w:before="65"/>
        <w:ind w:firstLine="0" w:firstLineChars="0"/>
        <w:jc w:val="center"/>
        <w:rPr>
          <w:rFonts w:eastAsia="微软雅黑"/>
          <w:bCs/>
          <w:sz w:val="36"/>
        </w:rPr>
      </w:pPr>
    </w:p>
    <w:p>
      <w:pPr>
        <w:spacing w:before="65"/>
        <w:ind w:firstLine="0" w:firstLineChars="0"/>
        <w:jc w:val="center"/>
        <w:rPr>
          <w:rFonts w:ascii="方正小标宋简体" w:eastAsia="方正小标宋简体"/>
          <w:bCs/>
        </w:rPr>
      </w:pPr>
      <w:r>
        <w:rPr>
          <w:rFonts w:hint="eastAsia" w:ascii="方正小标宋简体" w:eastAsia="方正小标宋简体"/>
          <w:bCs/>
          <w:sz w:val="44"/>
          <w:szCs w:val="44"/>
        </w:rPr>
        <w:t>文  本</w:t>
      </w:r>
    </w:p>
    <w:p>
      <w:pPr>
        <w:spacing w:before="65"/>
        <w:ind w:firstLine="0" w:firstLineChars="0"/>
        <w:jc w:val="center"/>
        <w:rPr>
          <w:rFonts w:ascii="楷体" w:hAnsi="楷体" w:eastAsia="楷体" w:cs="楷体"/>
          <w:bCs/>
          <w:sz w:val="44"/>
          <w:szCs w:val="44"/>
        </w:rPr>
      </w:pPr>
      <w:bookmarkStart w:id="0" w:name="_Hlk196901031"/>
      <w:r>
        <w:rPr>
          <w:rFonts w:hint="eastAsia" w:ascii="楷体" w:hAnsi="楷体" w:eastAsia="楷体" w:cs="楷体"/>
          <w:bCs/>
          <w:sz w:val="44"/>
          <w:szCs w:val="44"/>
        </w:rPr>
        <w:t>（公示稿）</w:t>
      </w:r>
    </w:p>
    <w:bookmarkEnd w:id="0"/>
    <w:p>
      <w:pPr>
        <w:spacing w:before="65"/>
        <w:ind w:firstLine="0" w:firstLineChars="0"/>
        <w:jc w:val="center"/>
        <w:rPr>
          <w:rFonts w:ascii="楷体_GB2312" w:eastAsia="楷体_GB2312"/>
          <w:b/>
          <w:sz w:val="36"/>
          <w:szCs w:val="36"/>
        </w:rP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rPr>
          <w:rFonts w:ascii="楷体" w:hAnsi="楷体" w:eastAsia="楷体"/>
        </w:rPr>
      </w:pPr>
    </w:p>
    <w:p>
      <w:pPr>
        <w:spacing w:line="500" w:lineRule="exact"/>
        <w:ind w:firstLine="0" w:firstLineChars="0"/>
        <w:jc w:val="center"/>
        <w:rPr>
          <w:rFonts w:ascii="黑体" w:hAnsi="黑体" w:eastAsia="黑体"/>
          <w:szCs w:val="32"/>
        </w:rPr>
      </w:pPr>
      <w:r>
        <w:rPr>
          <w:rFonts w:hint="eastAsia" w:ascii="黑体" w:hAnsi="黑体" w:eastAsia="黑体"/>
          <w:szCs w:val="32"/>
        </w:rPr>
        <w:t>内乡县赵店乡人民政府</w:t>
      </w:r>
    </w:p>
    <w:p>
      <w:pPr>
        <w:spacing w:line="500" w:lineRule="exact"/>
        <w:ind w:firstLine="0" w:firstLineChars="0"/>
        <w:jc w:val="center"/>
        <w:rPr>
          <w:rFonts w:ascii="黑体" w:hAnsi="黑体" w:eastAsia="黑体"/>
          <w:szCs w:val="32"/>
        </w:rPr>
      </w:pPr>
      <w:bookmarkStart w:id="1" w:name="_Hlk166763093"/>
      <w:r>
        <w:rPr>
          <w:rFonts w:hint="eastAsia" w:ascii="黑体" w:hAnsi="黑体" w:eastAsia="黑体"/>
          <w:szCs w:val="32"/>
        </w:rPr>
        <w:t>2</w:t>
      </w:r>
      <w:r>
        <w:rPr>
          <w:rFonts w:ascii="黑体" w:hAnsi="黑体" w:eastAsia="黑体"/>
          <w:szCs w:val="32"/>
        </w:rPr>
        <w:t>025</w:t>
      </w:r>
      <w:r>
        <w:rPr>
          <w:rFonts w:hint="eastAsia" w:ascii="黑体" w:hAnsi="黑体" w:eastAsia="黑体"/>
          <w:szCs w:val="32"/>
        </w:rPr>
        <w:t>年9月</w:t>
      </w:r>
      <w:bookmarkEnd w:id="1"/>
    </w:p>
    <w:p>
      <w:pPr>
        <w:ind w:firstLine="640"/>
      </w:pPr>
    </w:p>
    <w:p>
      <w:pPr>
        <w:pStyle w:val="53"/>
        <w:spacing w:before="652" w:beforeLines="200" w:after="163"/>
        <w:jc w:val="both"/>
        <w:rPr>
          <w:b w:val="0"/>
          <w:bCs/>
          <w:spacing w:val="0"/>
          <w:sz w:val="36"/>
          <w:szCs w:val="36"/>
        </w:rPr>
        <w:sectPr>
          <w:headerReference r:id="rId7" w:type="first"/>
          <w:footerReference r:id="rId10" w:type="first"/>
          <w:headerReference r:id="rId5" w:type="default"/>
          <w:footerReference r:id="rId8" w:type="default"/>
          <w:headerReference r:id="rId6" w:type="even"/>
          <w:footerReference r:id="rId9" w:type="even"/>
          <w:pgSz w:w="11907" w:h="16839"/>
          <w:pgMar w:top="1440" w:right="1800" w:bottom="1440" w:left="1800" w:header="851" w:footer="992" w:gutter="0"/>
          <w:pgNumType w:start="1"/>
          <w:cols w:space="1137" w:num="1"/>
          <w:docGrid w:type="lines" w:linePitch="326" w:charSpace="0"/>
        </w:sectPr>
      </w:pPr>
    </w:p>
    <w:sdt>
      <w:sdtPr>
        <w:rPr>
          <w:rFonts w:hint="eastAsia" w:ascii="黑体" w:hAnsi="黑体" w:eastAsia="黑体" w:cs="黑体"/>
          <w:b/>
          <w:bCs/>
          <w:szCs w:val="32"/>
          <w:lang w:val="zh-CN"/>
        </w:rPr>
        <w:id w:val="-1"/>
        <w:docPartObj>
          <w:docPartGallery w:val="Table of Contents"/>
          <w:docPartUnique/>
        </w:docPartObj>
      </w:sdtPr>
      <w:sdtEndPr>
        <w:rPr>
          <w:rFonts w:hint="eastAsia" w:ascii="宋体" w:hAnsi="黑体" w:eastAsia="黑体" w:cs="黑体"/>
          <w:b/>
          <w:bCs/>
          <w:sz w:val="40"/>
          <w:szCs w:val="36"/>
          <w:lang w:val="zh-CN"/>
        </w:rPr>
      </w:sdtEndPr>
      <w:sdtContent>
        <w:p>
          <w:pPr>
            <w:spacing w:line="240" w:lineRule="auto"/>
            <w:ind w:firstLine="0" w:firstLineChars="0"/>
            <w:jc w:val="center"/>
            <w:rPr>
              <w:rFonts w:ascii="方正小标宋简体" w:eastAsia="方正小标宋简体"/>
              <w:szCs w:val="32"/>
            </w:rPr>
          </w:pPr>
          <w:r>
            <w:rPr>
              <w:rFonts w:hint="eastAsia" w:ascii="方正小标宋简体" w:eastAsia="方正小标宋简体"/>
              <w:b/>
              <w:bCs/>
              <w:szCs w:val="32"/>
            </w:rPr>
            <w:t>目 录</w:t>
          </w:r>
        </w:p>
        <w:p>
          <w:pPr>
            <w:pStyle w:val="22"/>
            <w:tabs>
              <w:tab w:val="right" w:leader="dot" w:pos="8297"/>
            </w:tabs>
            <w:rPr>
              <w:rFonts w:asciiTheme="minorHAnsi" w:hAnsiTheme="minorHAnsi" w:eastAsiaTheme="minorEastAsia" w:cstheme="minorBidi"/>
              <w:kern w:val="2"/>
              <w:sz w:val="21"/>
              <w:szCs w:val="22"/>
            </w:rPr>
          </w:pPr>
          <w:r>
            <w:rPr>
              <w:rFonts w:ascii="楷体_GB2312" w:hAnsi="Times New Roman" w:cs="楷体_GB2312"/>
              <w:b/>
              <w:sz w:val="36"/>
            </w:rPr>
            <w:fldChar w:fldCharType="begin"/>
          </w:r>
          <w:r>
            <w:rPr>
              <w:rFonts w:ascii="楷体_GB2312" w:hAnsi="Times New Roman" w:cs="楷体_GB2312"/>
              <w:b/>
              <w:sz w:val="36"/>
            </w:rPr>
            <w:instrText xml:space="preserve"> TOC \o "1-1" \h \z \u </w:instrText>
          </w:r>
          <w:r>
            <w:rPr>
              <w:rFonts w:ascii="楷体_GB2312" w:hAnsi="Times New Roman" w:cs="楷体_GB2312"/>
              <w:b/>
              <w:sz w:val="36"/>
            </w:rPr>
            <w:fldChar w:fldCharType="separate"/>
          </w:r>
          <w:r>
            <w:fldChar w:fldCharType="begin"/>
          </w:r>
          <w:r>
            <w:instrText xml:space="preserve"> HYPERLINK \l "_Toc212798322" </w:instrText>
          </w:r>
          <w:r>
            <w:fldChar w:fldCharType="separate"/>
          </w:r>
          <w:r>
            <w:rPr>
              <w:rStyle w:val="36"/>
            </w:rPr>
            <w:t>第一章 规划总则</w:t>
          </w:r>
          <w:r>
            <w:tab/>
          </w:r>
          <w:r>
            <w:fldChar w:fldCharType="begin"/>
          </w:r>
          <w:r>
            <w:instrText xml:space="preserve"> PAGEREF _Toc212798322 \h </w:instrText>
          </w:r>
          <w:r>
            <w:fldChar w:fldCharType="separate"/>
          </w:r>
          <w:r>
            <w:t>1</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"_Toc212798323" </w:instrText>
          </w:r>
          <w:r>
            <w:fldChar w:fldCharType="separate"/>
          </w:r>
          <w:r>
            <w:rPr>
              <w:rStyle w:val="36"/>
            </w:rPr>
            <w:t>第二章 现状分析</w:t>
          </w:r>
          <w:r>
            <w:tab/>
          </w:r>
          <w:r>
            <w:fldChar w:fldCharType="begin"/>
          </w:r>
          <w:r>
            <w:instrText xml:space="preserve"> PAGEREF _Toc212798323 \h </w:instrText>
          </w:r>
          <w:r>
            <w:fldChar w:fldCharType="separate"/>
          </w:r>
          <w:r>
            <w:t>4</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"_Toc212798324" </w:instrText>
          </w:r>
          <w:r>
            <w:fldChar w:fldCharType="separate"/>
          </w:r>
          <w:r>
            <w:rPr>
              <w:rStyle w:val="36"/>
            </w:rPr>
            <w:t>第三章 发展定位与目标</w:t>
          </w:r>
          <w:r>
            <w:tab/>
          </w:r>
          <w:r>
            <w:fldChar w:fldCharType="begin"/>
          </w:r>
          <w:r>
            <w:instrText xml:space="preserve"> PAGEREF _Toc212798324 \h </w:instrText>
          </w:r>
          <w:r>
            <w:fldChar w:fldCharType="separate"/>
          </w:r>
          <w:r>
            <w:t>9</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"_Toc212798325" </w:instrText>
          </w:r>
          <w:r>
            <w:fldChar w:fldCharType="separate"/>
          </w:r>
          <w:r>
            <w:rPr>
              <w:rStyle w:val="36"/>
            </w:rPr>
            <w:t>第四章 底线约束</w:t>
          </w:r>
          <w:r>
            <w:tab/>
          </w:r>
          <w:r>
            <w:fldChar w:fldCharType="begin"/>
          </w:r>
          <w:r>
            <w:instrText xml:space="preserve"> PAGEREF _Toc212798325 \h </w:instrText>
          </w:r>
          <w:r>
            <w:fldChar w:fldCharType="separate"/>
          </w:r>
          <w:r>
            <w:t>13</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"_Toc212798326" </w:instrText>
          </w:r>
          <w:r>
            <w:fldChar w:fldCharType="separate"/>
          </w:r>
          <w:r>
            <w:rPr>
              <w:rStyle w:val="36"/>
            </w:rPr>
            <w:t>第五章 规划分区</w:t>
          </w:r>
          <w:r>
            <w:tab/>
          </w:r>
          <w:r>
            <w:fldChar w:fldCharType="begin"/>
          </w:r>
          <w:r>
            <w:instrText xml:space="preserve"> PAGEREF _Toc212798326 \h </w:instrText>
          </w:r>
          <w:r>
            <w:fldChar w:fldCharType="separate"/>
          </w:r>
          <w:r>
            <w:t>17</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"_Toc212798327" </w:instrText>
          </w:r>
          <w:r>
            <w:fldChar w:fldCharType="separate"/>
          </w:r>
          <w:r>
            <w:rPr>
              <w:rStyle w:val="36"/>
              <w:lang w:bidi="ar"/>
            </w:rPr>
            <w:t>第六章 国土空间功能结构调整</w:t>
          </w:r>
          <w:r>
            <w:tab/>
          </w:r>
          <w:r>
            <w:fldChar w:fldCharType="begin"/>
          </w:r>
          <w:r>
            <w:instrText xml:space="preserve"> PAGEREF _Toc212798327 \h </w:instrText>
          </w:r>
          <w:r>
            <w:fldChar w:fldCharType="separate"/>
          </w:r>
          <w:r>
            <w:t>24</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"_Toc212798328" </w:instrText>
          </w:r>
          <w:r>
            <w:fldChar w:fldCharType="separate"/>
          </w:r>
          <w:r>
            <w:rPr>
              <w:rStyle w:val="36"/>
            </w:rPr>
            <w:t>第七章 自然资源保护利用</w:t>
          </w:r>
          <w:r>
            <w:tab/>
          </w:r>
          <w:r>
            <w:fldChar w:fldCharType="begin"/>
          </w:r>
          <w:r>
            <w:instrText xml:space="preserve"> PAGEREF _Toc212798328 \h </w:instrText>
          </w:r>
          <w:r>
            <w:fldChar w:fldCharType="separate"/>
          </w:r>
          <w:r>
            <w:t>27</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"_Toc212798329" </w:instrText>
          </w:r>
          <w:r>
            <w:fldChar w:fldCharType="separate"/>
          </w:r>
          <w:r>
            <w:rPr>
              <w:rStyle w:val="36"/>
            </w:rPr>
            <w:t>第八章 产业规划</w:t>
          </w:r>
          <w:r>
            <w:tab/>
          </w:r>
          <w:r>
            <w:fldChar w:fldCharType="begin"/>
          </w:r>
          <w:r>
            <w:instrText xml:space="preserve"> PAGEREF _Toc212798329 \h </w:instrText>
          </w:r>
          <w:r>
            <w:fldChar w:fldCharType="separate"/>
          </w:r>
          <w:r>
            <w:t>39</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"_Toc212798330" </w:instrText>
          </w:r>
          <w:r>
            <w:fldChar w:fldCharType="separate"/>
          </w:r>
          <w:r>
            <w:rPr>
              <w:rStyle w:val="36"/>
            </w:rPr>
            <w:t>第九章 村庄布局</w:t>
          </w:r>
          <w:r>
            <w:tab/>
          </w:r>
          <w:r>
            <w:fldChar w:fldCharType="begin"/>
          </w:r>
          <w:r>
            <w:instrText xml:space="preserve"> PAGEREF _Toc212798330 \h </w:instrText>
          </w:r>
          <w:r>
            <w:fldChar w:fldCharType="separate"/>
          </w:r>
          <w:r>
            <w:t>44</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"_Toc212798331" </w:instrText>
          </w:r>
          <w:r>
            <w:fldChar w:fldCharType="separate"/>
          </w:r>
          <w:r>
            <w:rPr>
              <w:rStyle w:val="36"/>
            </w:rPr>
            <w:t>第十章 支撑保障体系</w:t>
          </w:r>
          <w:r>
            <w:tab/>
          </w:r>
          <w:r>
            <w:fldChar w:fldCharType="begin"/>
          </w:r>
          <w:r>
            <w:instrText xml:space="preserve"> PAGEREF _Toc212798331 \h </w:instrText>
          </w:r>
          <w:r>
            <w:fldChar w:fldCharType="separate"/>
          </w:r>
          <w:r>
            <w:t>48</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"_Toc212798332" </w:instrText>
          </w:r>
          <w:r>
            <w:fldChar w:fldCharType="separate"/>
          </w:r>
          <w:r>
            <w:rPr>
              <w:rStyle w:val="36"/>
            </w:rPr>
            <w:t>第十一章 历史文化与景观风貌</w:t>
          </w:r>
          <w:r>
            <w:tab/>
          </w:r>
          <w:r>
            <w:fldChar w:fldCharType="begin"/>
          </w:r>
          <w:r>
            <w:instrText xml:space="preserve"> PAGEREF _Toc212798332 \h </w:instrText>
          </w:r>
          <w:r>
            <w:fldChar w:fldCharType="separate"/>
          </w:r>
          <w:r>
            <w:t>61</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"_Toc212798333" </w:instrText>
          </w:r>
          <w:r>
            <w:fldChar w:fldCharType="separate"/>
          </w:r>
          <w:r>
            <w:rPr>
              <w:rStyle w:val="36"/>
            </w:rPr>
            <w:t>第十二章 乡政府驻地规划</w:t>
          </w:r>
          <w:r>
            <w:tab/>
          </w:r>
          <w:r>
            <w:fldChar w:fldCharType="begin"/>
          </w:r>
          <w:r>
            <w:instrText xml:space="preserve"> PAGEREF _Toc212798333 \h </w:instrText>
          </w:r>
          <w:r>
            <w:fldChar w:fldCharType="separate"/>
          </w:r>
          <w:r>
            <w:t>67</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"_Toc212798334" </w:instrText>
          </w:r>
          <w:r>
            <w:fldChar w:fldCharType="separate"/>
          </w:r>
          <w:r>
            <w:rPr>
              <w:rStyle w:val="36"/>
            </w:rPr>
            <w:t>第十三章 土地综合整治与生态修复</w:t>
          </w:r>
          <w:r>
            <w:tab/>
          </w:r>
          <w:r>
            <w:fldChar w:fldCharType="begin"/>
          </w:r>
          <w:r>
            <w:instrText xml:space="preserve"> PAGEREF _Toc212798334 \h </w:instrText>
          </w:r>
          <w:r>
            <w:fldChar w:fldCharType="separate"/>
          </w:r>
          <w:r>
            <w:t>81</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"_Toc212798335" </w:instrText>
          </w:r>
          <w:r>
            <w:fldChar w:fldCharType="separate"/>
          </w:r>
          <w:r>
            <w:rPr>
              <w:rStyle w:val="36"/>
            </w:rPr>
            <w:t>第十四章 规划传导</w:t>
          </w:r>
          <w:r>
            <w:tab/>
          </w:r>
          <w:r>
            <w:fldChar w:fldCharType="begin"/>
          </w:r>
          <w:r>
            <w:instrText xml:space="preserve"> PAGEREF _Toc212798335 \h </w:instrText>
          </w:r>
          <w:r>
            <w:fldChar w:fldCharType="separate"/>
          </w:r>
          <w:r>
            <w:t>86</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"_Toc212798336" </w:instrText>
          </w:r>
          <w:r>
            <w:fldChar w:fldCharType="separate"/>
          </w:r>
          <w:r>
            <w:rPr>
              <w:rStyle w:val="36"/>
            </w:rPr>
            <w:t>第十五章 规划实施</w:t>
          </w:r>
          <w:r>
            <w:tab/>
          </w:r>
          <w:r>
            <w:fldChar w:fldCharType="begin"/>
          </w:r>
          <w:r>
            <w:instrText xml:space="preserve"> PAGEREF _Toc212798336 \h </w:instrText>
          </w:r>
          <w:r>
            <w:fldChar w:fldCharType="separate"/>
          </w:r>
          <w:r>
            <w:t>88</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"_Toc212798337" </w:instrText>
          </w:r>
          <w:r>
            <w:fldChar w:fldCharType="separate"/>
          </w:r>
          <w:r>
            <w:rPr>
              <w:rStyle w:val="36"/>
            </w:rPr>
            <w:t>第十六章 “通则式”村庄规划管理规定</w:t>
          </w:r>
          <w:r>
            <w:tab/>
          </w:r>
          <w:r>
            <w:fldChar w:fldCharType="begin"/>
          </w:r>
          <w:r>
            <w:instrText xml:space="preserve"> PAGEREF _Toc212798337 \h </w:instrText>
          </w:r>
          <w:r>
            <w:fldChar w:fldCharType="separate"/>
          </w:r>
          <w:r>
            <w:t>91</w:t>
          </w:r>
          <w:r>
            <w:fldChar w:fldCharType="end"/>
          </w:r>
          <w:r>
            <w:fldChar w:fldCharType="end"/>
          </w:r>
        </w:p>
        <w:p>
          <w:pPr>
            <w:spacing w:before="65" w:after="163" w:line="312" w:lineRule="auto"/>
            <w:ind w:firstLine="0" w:firstLineChars="0"/>
            <w:sectPr>
              <w:pgSz w:w="11907" w:h="16839"/>
              <w:pgMar w:top="1440" w:right="1800" w:bottom="1440" w:left="1800" w:header="851" w:footer="992" w:gutter="0"/>
              <w:pgNumType w:start="1"/>
              <w:cols w:space="1137" w:num="1"/>
              <w:docGrid w:type="lines" w:linePitch="326" w:charSpace="0"/>
            </w:sectPr>
          </w:pPr>
          <w:r>
            <w:rPr>
              <w:rFonts w:ascii="楷体_GB2312" w:hAnsi="Times New Roman" w:eastAsia="楷体" w:cs="楷体_GB2312"/>
              <w:b/>
              <w:kern w:val="0"/>
              <w:sz w:val="36"/>
              <w:szCs w:val="32"/>
            </w:rPr>
            <w:fldChar w:fldCharType="end"/>
          </w:r>
        </w:p>
      </w:sdtContent>
    </w:sdt>
    <w:p>
      <w:pPr>
        <w:pStyle w:val="2"/>
        <w:spacing w:before="489" w:after="489"/>
      </w:pPr>
      <w:bookmarkStart w:id="2" w:name="_Toc212798322"/>
      <w:bookmarkStart w:id="3" w:name="_Toc127432230"/>
      <w:bookmarkStart w:id="4" w:name="_Toc129339489"/>
      <w:r>
        <w:rPr>
          <w:rFonts w:hint="eastAsia"/>
        </w:rPr>
        <w:t>规划总则</w:t>
      </w:r>
      <w:bookmarkEnd w:id="2"/>
      <w:bookmarkEnd w:id="3"/>
      <w:bookmarkEnd w:id="4"/>
    </w:p>
    <w:p>
      <w:pPr>
        <w:pStyle w:val="4"/>
        <w:spacing w:before="195" w:after="195"/>
      </w:pPr>
      <w:r>
        <w:rPr>
          <w:rFonts w:hint="eastAsia"/>
        </w:rPr>
        <w:t>规划目的</w:t>
      </w:r>
    </w:p>
    <w:p>
      <w:pPr>
        <w:spacing w:before="65"/>
        <w:ind w:firstLine="640"/>
      </w:pPr>
      <w:r>
        <w:rPr>
          <w:rFonts w:hint="eastAsia"/>
        </w:rPr>
        <w:t>为落实习近平生态文明思想和总体国家安全观，贯彻《中共中央国务院关于建立国土空间规划体系并监督实施的若干意见》要求，细化落实《内乡县国土空间总体规划（</w:t>
      </w:r>
      <w:r>
        <w:t>2021-2035年）》，科学有序地推进</w:t>
      </w:r>
      <w:r>
        <w:rPr>
          <w:rFonts w:hint="eastAsia"/>
        </w:rPr>
        <w:t>赵店乡</w:t>
      </w:r>
      <w:r>
        <w:t>国土空间开发保护的总体安排和综合部署，统筹</w:t>
      </w:r>
      <w:r>
        <w:rPr>
          <w:rFonts w:hint="eastAsia"/>
        </w:rPr>
        <w:t>赵店乡</w:t>
      </w:r>
      <w:r>
        <w:t>的农业、生态、城镇空间，全面提升</w:t>
      </w:r>
      <w:r>
        <w:rPr>
          <w:rFonts w:hint="eastAsia"/>
        </w:rPr>
        <w:t>赵店乡</w:t>
      </w:r>
      <w:r>
        <w:t>国土空间治理体系和治理能力现代化水平，特编制《内乡县</w:t>
      </w:r>
      <w:r>
        <w:rPr>
          <w:rFonts w:hint="eastAsia"/>
        </w:rPr>
        <w:t>赵店乡</w:t>
      </w:r>
      <w:r>
        <w:t>国土空间总体规划（2021-2035年）》（以下简称本规划）</w:t>
      </w:r>
      <w:r>
        <w:rPr>
          <w:rFonts w:hint="eastAsia"/>
        </w:rPr>
        <w:t>。</w:t>
      </w:r>
    </w:p>
    <w:p>
      <w:pPr>
        <w:pStyle w:val="4"/>
        <w:spacing w:before="195" w:after="195"/>
      </w:pPr>
      <w:r>
        <w:rPr>
          <w:rFonts w:hint="eastAsia"/>
        </w:rPr>
        <w:t>指导思想</w:t>
      </w:r>
    </w:p>
    <w:p>
      <w:pPr>
        <w:spacing w:before="65"/>
        <w:ind w:firstLine="640"/>
      </w:pPr>
      <w:r>
        <w:rPr>
          <w:rFonts w:hint="eastAsia"/>
        </w:rPr>
        <w:t>以习近平新时代中国特色社会主义思想为指导，紧紧围绕统筹推进“五位一体”总体布局和协调推进“四个全面”战略布局，践行“两高四着力”重大要求，优化国土空间开发格局，加快构建科学有序的国土空间布局体系，统筹安排国土空间开发、资源环境保护、国土综合整治、生态修复和保障体系建设，提升国土空间品质和利用效率，提高国土空间治理能力，推进乡村振兴，促进赵店乡经济社会发展更高质量、更有效率、更加公平、更可持续。</w:t>
      </w:r>
    </w:p>
    <w:p>
      <w:pPr>
        <w:pStyle w:val="4"/>
        <w:spacing w:before="195" w:after="195"/>
      </w:pPr>
      <w:r>
        <w:rPr>
          <w:rFonts w:hint="eastAsia"/>
        </w:rPr>
        <w:t>规划范围</w:t>
      </w:r>
    </w:p>
    <w:p>
      <w:pPr>
        <w:spacing w:before="65"/>
        <w:ind w:firstLine="640"/>
      </w:pPr>
      <w:r>
        <w:rPr>
          <w:rFonts w:hint="eastAsia"/>
        </w:rPr>
        <w:t>规划范围为赵店乡行政辖区内全部国土空间，包含乡域和集镇区两个层次。其中：</w:t>
      </w:r>
    </w:p>
    <w:p>
      <w:pPr>
        <w:spacing w:before="65"/>
        <w:ind w:firstLine="640"/>
      </w:pPr>
      <w:r>
        <w:rPr>
          <w:rFonts w:hint="eastAsia"/>
        </w:rPr>
        <w:t>乡域范围为赵店乡行政辖区内全部国土空间，总面积</w:t>
      </w:r>
      <w:r>
        <w:t>96.68平方公里。</w:t>
      </w:r>
    </w:p>
    <w:p>
      <w:pPr>
        <w:spacing w:before="65"/>
        <w:ind w:firstLine="640"/>
      </w:pPr>
      <w:r>
        <w:rPr>
          <w:rFonts w:hint="eastAsia"/>
        </w:rPr>
        <w:t>集镇区范围为赵店乡政府驻地周边，国道</w:t>
      </w:r>
      <w:r>
        <w:t>241两侧</w:t>
      </w:r>
      <w:r>
        <w:rPr>
          <w:rFonts w:hint="eastAsia"/>
        </w:rPr>
        <w:t>村庄建设边界区域</w:t>
      </w:r>
      <w:r>
        <w:t>，</w:t>
      </w:r>
      <w:r>
        <w:rPr>
          <w:rFonts w:hint="eastAsia"/>
        </w:rPr>
        <w:t>其中，村庄建设边界</w:t>
      </w:r>
      <w:r>
        <w:t>总面积124.93公顷</w:t>
      </w:r>
      <w:r>
        <w:rPr>
          <w:rFonts w:hint="eastAsia"/>
          <w:lang w:bidi="ar"/>
        </w:rPr>
        <w:t>。</w:t>
      </w:r>
    </w:p>
    <w:p>
      <w:pPr>
        <w:pStyle w:val="4"/>
        <w:spacing w:before="195" w:after="195"/>
      </w:pPr>
      <w:r>
        <w:rPr>
          <w:rFonts w:hint="eastAsia"/>
        </w:rPr>
        <w:t>规划原则</w:t>
      </w:r>
    </w:p>
    <w:p>
      <w:pPr>
        <w:pStyle w:val="5"/>
        <w:spacing w:before="97" w:after="97"/>
        <w:ind w:firstLine="640"/>
      </w:pPr>
      <w:r>
        <w:rPr>
          <w:rFonts w:hint="eastAsia"/>
        </w:rPr>
        <w:t>生态优先、绿色发展</w:t>
      </w:r>
    </w:p>
    <w:p>
      <w:pPr>
        <w:spacing w:before="65"/>
        <w:ind w:firstLine="640"/>
      </w:pPr>
      <w:r>
        <w:rPr>
          <w:rFonts w:hint="eastAsia"/>
        </w:rPr>
        <w:t>贯彻新时代新要求，坚持内涵式、集约型、绿色化的高质量发展新路子，在资源环境紧约束下编制规划，推动形成绿色发展方式和生活方式，形成发展新的增长点和竞争力。</w:t>
      </w:r>
    </w:p>
    <w:p>
      <w:pPr>
        <w:pStyle w:val="5"/>
        <w:spacing w:before="97" w:after="97"/>
        <w:ind w:firstLine="640"/>
      </w:pPr>
      <w:r>
        <w:rPr>
          <w:rFonts w:hint="eastAsia"/>
        </w:rPr>
        <w:t>以人为本、品质提升</w:t>
      </w:r>
    </w:p>
    <w:p>
      <w:pPr>
        <w:spacing w:before="65"/>
        <w:ind w:firstLine="640"/>
      </w:pPr>
      <w:r>
        <w:rPr>
          <w:rFonts w:hint="eastAsia"/>
        </w:rPr>
        <w:t>坚持以人民为中心，塑造高品质人居环境，着力破解各类民生问题，不断提升人民群众的获得感、幸福感、安全感。</w:t>
      </w:r>
    </w:p>
    <w:p>
      <w:pPr>
        <w:pStyle w:val="5"/>
        <w:spacing w:before="97" w:after="97"/>
        <w:ind w:firstLine="640"/>
      </w:pPr>
      <w:r>
        <w:rPr>
          <w:rFonts w:hint="eastAsia"/>
        </w:rPr>
        <w:t>全域统筹、城乡融合</w:t>
      </w:r>
    </w:p>
    <w:p>
      <w:pPr>
        <w:spacing w:before="65"/>
        <w:ind w:firstLine="640"/>
      </w:pPr>
      <w:r>
        <w:rPr>
          <w:rFonts w:hint="eastAsia"/>
        </w:rPr>
        <w:t>结合本地实际，发挥本地特色和优势，落实乡村振兴、区域协调发展、可持续发展等空间发展战略，推动形成开放协调的空间发展格局。</w:t>
      </w:r>
    </w:p>
    <w:p>
      <w:pPr>
        <w:pStyle w:val="5"/>
        <w:spacing w:before="97" w:after="97"/>
        <w:ind w:firstLine="640"/>
      </w:pPr>
      <w:r>
        <w:rPr>
          <w:rFonts w:hint="eastAsia"/>
        </w:rPr>
        <w:t>问题导向、目标导向</w:t>
      </w:r>
    </w:p>
    <w:p>
      <w:pPr>
        <w:spacing w:before="65"/>
        <w:ind w:firstLine="640"/>
      </w:pPr>
      <w:r>
        <w:rPr>
          <w:rFonts w:hint="eastAsia"/>
        </w:rPr>
        <w:t>按照“问题-目标-策略-机制”的逻辑，因地制宜制定规划方案和实施措施，充分发挥乡镇级总规在空间治理中的基础作用，确保规划能用、管用、好用。</w:t>
      </w:r>
    </w:p>
    <w:p>
      <w:pPr>
        <w:pStyle w:val="4"/>
        <w:spacing w:before="195" w:after="195"/>
      </w:pPr>
      <w:r>
        <w:rPr>
          <w:rFonts w:hint="eastAsia"/>
        </w:rPr>
        <w:t>规划期限</w:t>
      </w:r>
    </w:p>
    <w:p>
      <w:pPr>
        <w:spacing w:before="65"/>
        <w:ind w:firstLine="640"/>
      </w:pPr>
      <w:r>
        <w:rPr>
          <w:rFonts w:hint="eastAsia"/>
        </w:rPr>
        <w:t>规划期限为2</w:t>
      </w:r>
      <w:r>
        <w:t>021</w:t>
      </w:r>
      <w:r>
        <w:rPr>
          <w:rFonts w:hint="eastAsia"/>
        </w:rPr>
        <w:t>年至2</w:t>
      </w:r>
      <w:r>
        <w:t>035</w:t>
      </w:r>
      <w:r>
        <w:rPr>
          <w:rFonts w:hint="eastAsia"/>
        </w:rPr>
        <w:t>年。</w:t>
      </w:r>
    </w:p>
    <w:p>
      <w:pPr>
        <w:spacing w:before="65"/>
        <w:ind w:firstLine="640"/>
      </w:pPr>
      <w:r>
        <w:rPr>
          <w:rFonts w:hint="eastAsia"/>
        </w:rPr>
        <w:t>基期年为2</w:t>
      </w:r>
      <w:r>
        <w:t>020</w:t>
      </w:r>
      <w:r>
        <w:rPr>
          <w:rFonts w:hint="eastAsia"/>
        </w:rPr>
        <w:t>年，近期至2</w:t>
      </w:r>
      <w:r>
        <w:t>025</w:t>
      </w:r>
      <w:r>
        <w:rPr>
          <w:rFonts w:hint="eastAsia"/>
        </w:rPr>
        <w:t>年，</w:t>
      </w:r>
      <w:r>
        <w:t>远期至2035年，</w:t>
      </w:r>
      <w:r>
        <w:rPr>
          <w:rFonts w:hint="eastAsia"/>
        </w:rPr>
        <w:t>远景展望至2</w:t>
      </w:r>
      <w:r>
        <w:t>050</w:t>
      </w:r>
      <w:r>
        <w:rPr>
          <w:rFonts w:hint="eastAsia"/>
        </w:rPr>
        <w:t>年。</w:t>
      </w:r>
    </w:p>
    <w:p>
      <w:pPr>
        <w:pStyle w:val="4"/>
        <w:spacing w:before="195" w:after="195"/>
      </w:pPr>
      <w:r>
        <w:rPr>
          <w:rFonts w:hint="eastAsia"/>
        </w:rPr>
        <w:t>规划成果</w:t>
      </w:r>
    </w:p>
    <w:p>
      <w:pPr>
        <w:spacing w:before="65"/>
        <w:ind w:firstLine="640"/>
      </w:pPr>
      <w:r>
        <w:rPr>
          <w:rFonts w:hint="eastAsia"/>
        </w:rPr>
        <w:t>规划成果包括规划文本、图集、数据库和附件。附件包括规划说明、征求意见采纳情况、专家论证意见等其他材料。其中，规划文本、图件是法定文件。规划说明和相关附件是支撑法定性文件的论证依据。</w:t>
      </w:r>
    </w:p>
    <w:p>
      <w:pPr>
        <w:pStyle w:val="4"/>
        <w:spacing w:before="195" w:after="195"/>
      </w:pPr>
      <w:r>
        <w:rPr>
          <w:rFonts w:hint="eastAsia"/>
        </w:rPr>
        <w:t>强制性内容</w:t>
      </w:r>
    </w:p>
    <w:p>
      <w:pPr>
        <w:spacing w:before="65"/>
        <w:ind w:firstLine="640"/>
      </w:pPr>
      <w:r>
        <w:rPr>
          <w:rFonts w:hint="eastAsia"/>
        </w:rPr>
        <w:t>文本条款中下划线部分为强制性内容，应严格遵守落实。规划实施管理不得违背强制性内容，调整强制性内容必须按照相关法定程序执行。</w:t>
      </w:r>
    </w:p>
    <w:p>
      <w:pPr>
        <w:spacing w:before="65"/>
        <w:ind w:firstLine="640"/>
      </w:pPr>
      <w:r>
        <w:br w:type="page"/>
      </w:r>
    </w:p>
    <w:p>
      <w:pPr>
        <w:pStyle w:val="2"/>
        <w:spacing w:before="489" w:after="489"/>
      </w:pPr>
      <w:bookmarkStart w:id="5" w:name="_Toc212798323"/>
      <w:r>
        <w:rPr>
          <w:rFonts w:hint="eastAsia"/>
        </w:rPr>
        <w:t>现状分析</w:t>
      </w:r>
      <w:bookmarkEnd w:id="5"/>
    </w:p>
    <w:p>
      <w:pPr>
        <w:pStyle w:val="3"/>
      </w:pPr>
      <w:bookmarkStart w:id="6" w:name="_Toc208238252"/>
      <w:r>
        <w:rPr>
          <w:rFonts w:hint="eastAsia"/>
        </w:rPr>
        <w:t>自然地理格局和资源禀赋</w:t>
      </w:r>
      <w:bookmarkEnd w:id="6"/>
    </w:p>
    <w:p>
      <w:pPr>
        <w:pStyle w:val="4"/>
        <w:spacing w:before="195" w:after="195"/>
      </w:pPr>
      <w:bookmarkStart w:id="7" w:name="_Hlk150173612"/>
      <w:r>
        <w:rPr>
          <w:rFonts w:hint="eastAsia"/>
        </w:rPr>
        <w:t>自然地理格局</w:t>
      </w:r>
    </w:p>
    <w:bookmarkEnd w:id="7"/>
    <w:p>
      <w:pPr>
        <w:spacing w:before="65" w:after="120"/>
        <w:ind w:firstLine="640"/>
      </w:pPr>
      <w:r>
        <w:rPr>
          <w:rFonts w:hint="eastAsia"/>
        </w:rPr>
        <w:t>地形地貌：赵店乡辖区西部系浅山地区，伏牛山余脉，与西峡县山水相连，东部为岗坡丘陵，中部形成条带式冲积平原</w:t>
      </w:r>
      <w:r>
        <w:t>。</w:t>
      </w:r>
      <w:r>
        <w:rPr>
          <w:rFonts w:hint="eastAsia"/>
        </w:rPr>
        <w:t>赵店乡内有湍河、长城河、黄水河、代军河、螺蛳河等纵横乡境南北。</w:t>
      </w:r>
    </w:p>
    <w:p>
      <w:pPr>
        <w:spacing w:before="65" w:after="120"/>
        <w:ind w:firstLine="640"/>
      </w:pPr>
      <w:r>
        <w:rPr>
          <w:rFonts w:hint="eastAsia"/>
        </w:rPr>
        <w:t>气候气象：赵店乡属亚热带大陆性季风气候，其特点为冬夏长，春秋短，冬季多西北风，雪雨较少，气候干燥而冷；夏季温高多雨，气候潮湿，降雨集中；春秋气候多变，阴雨大风寒潮较多，多年平均气温</w:t>
      </w:r>
      <w:r>
        <w:t>15℃，1月平均气温1.5℃，7月平均气温36℃，生长期年平均217天以上，年平均降水量为700毫米左右，最多达1115—1523毫米，最少达335—382毫米，降雨集中在5—9月，7月最多</w:t>
      </w:r>
      <w:r>
        <w:rPr>
          <w:rFonts w:hint="eastAsia"/>
        </w:rPr>
        <w:t>。</w:t>
      </w:r>
    </w:p>
    <w:p>
      <w:pPr>
        <w:pStyle w:val="4"/>
        <w:spacing w:before="195" w:after="195"/>
      </w:pPr>
      <w:bookmarkStart w:id="8" w:name="_Hlk150173613"/>
      <w:r>
        <w:rPr>
          <w:rFonts w:hint="eastAsia"/>
        </w:rPr>
        <w:t>自然资源禀赋</w:t>
      </w:r>
    </w:p>
    <w:bookmarkEnd w:id="8"/>
    <w:p>
      <w:pPr>
        <w:spacing w:before="65"/>
        <w:ind w:firstLine="640"/>
      </w:pPr>
      <w:r>
        <w:rPr>
          <w:rFonts w:hint="eastAsia"/>
        </w:rPr>
        <w:t>耕地资源：赵店乡域内耕地总面积为</w:t>
      </w:r>
      <w:r>
        <w:t>5630.16公顷，占全乡域总用地面积比例为58.24%。主要粮食作物为小麦、玉米、红薯等粮食作物。</w:t>
      </w:r>
      <w:r>
        <w:rPr>
          <w:rFonts w:hint="eastAsia"/>
        </w:rPr>
        <w:t>种植烟叶、金银花为经济作物；烟叶作为赵店的头号支柱产业，近年来种植面积、交售均价、烟农收入持续保持全县第一位次；全乡核桃基地已达</w:t>
      </w:r>
      <w:r>
        <w:t>3万多亩，猕猴桃、草莓、桑椹等种植面积均超过1000亩，火龙果、甘蔗、金银花种植也势头良好。</w:t>
      </w:r>
    </w:p>
    <w:p>
      <w:pPr>
        <w:spacing w:before="65"/>
        <w:ind w:firstLine="640"/>
      </w:pPr>
      <w:r>
        <w:rPr>
          <w:rFonts w:hint="eastAsia"/>
        </w:rPr>
        <w:t>水资源：赵店乡内有湍河、长城河、黄水河、代军河、螺蛳河等水系，水资源丰富。</w:t>
      </w:r>
    </w:p>
    <w:p>
      <w:pPr>
        <w:spacing w:before="65"/>
        <w:ind w:firstLine="640"/>
      </w:pPr>
      <w:r>
        <w:rPr>
          <w:rFonts w:hint="eastAsia"/>
        </w:rPr>
        <w:t>矿产资源：赵店乡境内已探明地下矿藏有玄武岩、辅石、红砂、石棉、铀、琥珀等。其中长岭、楼房的玄武石、辅石都超过</w:t>
      </w:r>
      <w:r>
        <w:t>15平方千米，储量有3亿立方米以上。</w:t>
      </w:r>
      <w:r>
        <w:rPr>
          <w:rFonts w:hint="eastAsia"/>
        </w:rPr>
        <w:t>聂岗、红堰村红砂藏量丰富，质量极佳。长岭村代家沟的条状石棉矿和高品位铀矿，品质极佳，位于长城河中的琥珀质地优良，但储量分散，不易规模开采。</w:t>
      </w:r>
    </w:p>
    <w:p>
      <w:pPr>
        <w:spacing w:before="65"/>
        <w:ind w:firstLine="640"/>
      </w:pPr>
      <w:bookmarkStart w:id="9" w:name="OLE_LINK8"/>
      <w:bookmarkStart w:id="10" w:name="OLE_LINK5"/>
      <w:r>
        <w:rPr>
          <w:rFonts w:hint="eastAsia"/>
        </w:rPr>
        <w:t>文化资源</w:t>
      </w:r>
      <w:bookmarkEnd w:id="9"/>
      <w:bookmarkEnd w:id="10"/>
      <w:r>
        <w:rPr>
          <w:rFonts w:hint="eastAsia"/>
        </w:rPr>
        <w:t>：赵店乡有八处县级文物保护单位，分为红李南村遗址、郦国故址、花凹汉墓、半坡墓葬、吕营汉墓、寨后沟遗址、长城铺墓葬、胡文胡瑞墓</w:t>
      </w:r>
      <w:r>
        <w:t>。</w:t>
      </w:r>
    </w:p>
    <w:p>
      <w:pPr>
        <w:pStyle w:val="4"/>
        <w:spacing w:before="195" w:after="195"/>
      </w:pPr>
      <w:bookmarkStart w:id="11" w:name="_Hlk150173614"/>
      <w:r>
        <w:rPr>
          <w:rFonts w:hint="eastAsia"/>
        </w:rPr>
        <w:t>国土空间用地现状</w:t>
      </w:r>
      <w:bookmarkEnd w:id="11"/>
    </w:p>
    <w:p>
      <w:pPr>
        <w:spacing w:before="65"/>
        <w:ind w:firstLine="640"/>
      </w:pPr>
      <w:r>
        <w:rPr>
          <w:rFonts w:hint="eastAsia"/>
        </w:rPr>
        <w:t>根据</w:t>
      </w:r>
      <w:r>
        <w:t>2020年国土变更调查数据，赵店乡乡域总面积为9667.72公顷，</w:t>
      </w:r>
      <w:bookmarkStart w:id="12" w:name="_Hlk207962609"/>
      <w:r>
        <w:t>其中，耕地5630.16公顷，占比58.24 %，园地573.20公顷，占比5.93 %，林地1019.20公顷，占比10.54 %，草地71.90公顷，占比0.74 %，湿地80.92公顷，占比0.84 %，乡村道路用地156.52公顷，占比1.62 %，设施农用地55.59公顷，占比0.58 %，村庄用地1072.34公顷，占比11.09 %，区域基础设施用地189.71公顷，占比1.96 %，其他建设</w:t>
      </w:r>
      <w:r>
        <w:rPr>
          <w:rFonts w:hint="eastAsia"/>
        </w:rPr>
        <w:t>用地</w:t>
      </w:r>
      <w:r>
        <w:t>43.07公顷，占比0.45 %，陆地水域358.08公顷，占比3.70 %，其他土地417.02公顷，占比4.31 %</w:t>
      </w:r>
      <w:bookmarkEnd w:id="12"/>
      <w:r>
        <w:rPr>
          <w:rFonts w:hint="eastAsia"/>
        </w:rPr>
        <w:t>。</w:t>
      </w:r>
    </w:p>
    <w:p>
      <w:pPr>
        <w:pStyle w:val="3"/>
      </w:pPr>
      <w:bookmarkStart w:id="13" w:name="_Toc208238254"/>
      <w:r>
        <w:rPr>
          <w:rFonts w:hint="eastAsia"/>
        </w:rPr>
        <w:t>发展现状与发展成效</w:t>
      </w:r>
      <w:bookmarkEnd w:id="13"/>
    </w:p>
    <w:p>
      <w:pPr>
        <w:pStyle w:val="4"/>
        <w:spacing w:before="195" w:after="195"/>
      </w:pPr>
      <w:r>
        <w:rPr>
          <w:rFonts w:hint="eastAsia"/>
        </w:rPr>
        <w:t>发展现状与成效</w:t>
      </w:r>
    </w:p>
    <w:p>
      <w:pPr>
        <w:spacing w:before="65"/>
        <w:ind w:firstLine="640"/>
      </w:pPr>
      <w:r>
        <w:rPr>
          <w:rFonts w:hint="eastAsia"/>
        </w:rPr>
        <w:t>近十年来，全乡大力发展烟叶、林果的特色农业和农产品初加工，工业发展稳中向好，三产融合示范乡建设已初具规模。</w:t>
      </w:r>
      <w:r>
        <w:t>2019年赵店乡国民生产总值11.8亿元</w:t>
      </w:r>
      <w:r>
        <w:rPr>
          <w:rFonts w:hint="eastAsia"/>
        </w:rPr>
        <w:t>，比上年增长1.7%；财政收入1212.1万元</w:t>
      </w:r>
      <w:r>
        <w:t>。</w:t>
      </w:r>
    </w:p>
    <w:p>
      <w:pPr>
        <w:spacing w:before="65"/>
        <w:ind w:firstLine="640"/>
      </w:pPr>
      <w:r>
        <w:rPr>
          <w:rFonts w:hint="eastAsia"/>
        </w:rPr>
        <w:t>围绕兴产业、美生态，全乡把烟叶产业作为头号支柱产业，主动应对新形势，科学规划大方，推广先进技术，加大奖励力度，全年全乡共种烟</w:t>
      </w:r>
      <w:r>
        <w:t>6000亩，收购烟叶123万余斤，烟农收入1800余万元，财政收入400万元，收购总量、完成税收、完成比例均名列全县前茅。</w:t>
      </w:r>
      <w:r>
        <w:rPr>
          <w:rFonts w:hint="eastAsia"/>
        </w:rPr>
        <w:t>同时林果产业实现突破，在东部范营、岗堤、红堰</w:t>
      </w:r>
      <w:r>
        <w:t>3村县道两侧新增通道绿化林带600多亩，共栽植香椿、国槐、女桢等大规格风景苗木36000余棵；在西部黄营、大峪、聂岗三村依托国储林项目流转土地3100亩，发展花椒、核桃、甜柿等经济林产业；在中部平原村大力发展以猕猴桃、草莓、桑葚为主体的基种植、采摘、观光为一体的高效农业超过2000亩。目前全乡林果产业规模化、产业化水平不断提高，新型农业主体初见成效、势头良好，已经成为赵店群众致富增收的重要途径。</w:t>
      </w:r>
    </w:p>
    <w:p>
      <w:pPr>
        <w:spacing w:before="65"/>
        <w:ind w:firstLine="640"/>
      </w:pPr>
      <w:r>
        <w:rPr>
          <w:rFonts w:hint="eastAsia"/>
        </w:rPr>
        <w:t>宜居小镇创建成效显著，人民群众幸福感、获得感进一步提高。赵店乡大力推进与中心城区融合共享</w:t>
      </w:r>
      <w:r>
        <w:t>发展，以基础设施建设和人居环境整治为抓手，积极创建宜居小镇。通过工业、养殖业、大气污染深度治理，生态环境不断改善；通过基础设施建设</w:t>
      </w:r>
      <w:r>
        <w:rPr>
          <w:rFonts w:hint="eastAsia"/>
        </w:rPr>
        <w:t>、</w:t>
      </w:r>
      <w:r>
        <w:t>农村环境卫生整治和“厕所革命”，切实改善农村人居环境，提升群众生活品质，不断满</w:t>
      </w:r>
      <w:r>
        <w:rPr>
          <w:rFonts w:hint="eastAsia"/>
        </w:rPr>
        <w:t>足人民群众对美好生活的需要。全乡文化活动中心等配套设施基本齐全，美丽乡村建设成效显著。</w:t>
      </w:r>
    </w:p>
    <w:p>
      <w:pPr>
        <w:pStyle w:val="3"/>
      </w:pPr>
      <w:bookmarkStart w:id="14" w:name="_Toc208238255"/>
      <w:r>
        <w:rPr>
          <w:rFonts w:hint="eastAsia"/>
        </w:rPr>
        <w:t>主要问题和风险挑战</w:t>
      </w:r>
      <w:bookmarkEnd w:id="14"/>
    </w:p>
    <w:p>
      <w:pPr>
        <w:pStyle w:val="4"/>
        <w:spacing w:before="195" w:after="195"/>
      </w:pPr>
      <w:r>
        <w:rPr>
          <w:rFonts w:hint="eastAsia"/>
        </w:rPr>
        <w:t>主要问题</w:t>
      </w:r>
    </w:p>
    <w:p>
      <w:pPr>
        <w:spacing w:before="65"/>
        <w:ind w:firstLine="640"/>
      </w:pPr>
      <w:r>
        <w:rPr>
          <w:rFonts w:hint="eastAsia"/>
        </w:rPr>
        <w:t>乡域公共服务设施和基础设施建设有待加强。全乡公共服务设施配置尚可，但缺少养老、体育、公园绿地等。基础设施不够完善，排污、污水处理、农业基础设施等方面存在不足，基础设施建设有待进一步加强。</w:t>
      </w:r>
    </w:p>
    <w:p>
      <w:pPr>
        <w:spacing w:before="65"/>
        <w:ind w:firstLine="640"/>
      </w:pPr>
      <w:r>
        <w:rPr>
          <w:rFonts w:hint="eastAsia"/>
        </w:rPr>
        <w:t>历史文化特色展现不足。赵店乡境内存在郦国故址、李南村遗址等多处历史文化资源，但缺乏对文化资源的挖掘，乡镇发展中对历史文化特色展现不足。</w:t>
      </w:r>
    </w:p>
    <w:p>
      <w:pPr>
        <w:spacing w:before="65"/>
        <w:ind w:firstLine="640"/>
      </w:pPr>
      <w:bookmarkStart w:id="15" w:name="_Hlk207893192"/>
      <w:r>
        <w:rPr>
          <w:rFonts w:hint="eastAsia"/>
        </w:rPr>
        <w:t>乡域人居环境有待进一步提升。近年来赵店乡积极开展乡域人居环境整治，实现农村垃圾社会化运行、全面推行厕所革命等，村庄人居环境得到有效提升，但仍存在污水胡乱排放、房前屋后杂物堆放、部分道路未硬化等方面的问题，需进一步加强人居环境整治，从而提升乡村风貌</w:t>
      </w:r>
      <w:r>
        <w:rPr>
          <w:rFonts w:hint="eastAsia"/>
          <w:lang w:bidi="ar"/>
        </w:rPr>
        <w:t>。</w:t>
      </w:r>
    </w:p>
    <w:bookmarkEnd w:id="15"/>
    <w:p>
      <w:pPr>
        <w:pStyle w:val="4"/>
        <w:spacing w:before="195" w:after="195"/>
      </w:pPr>
      <w:r>
        <w:rPr>
          <w:rFonts w:hint="eastAsia"/>
        </w:rPr>
        <w:t>风险挑战</w:t>
      </w:r>
    </w:p>
    <w:p>
      <w:pPr>
        <w:spacing w:before="65"/>
        <w:ind w:firstLine="640"/>
      </w:pPr>
      <w:bookmarkStart w:id="16" w:name="_Hlk207893033"/>
      <w:r>
        <w:rPr>
          <w:rFonts w:hint="eastAsia"/>
        </w:rPr>
        <w:t>赵店乡长岭村存在滑坡、崩塌等风险；这些问题成为威胁人民群众生命和生产生活安全的主要灾害风险之一。</w:t>
      </w:r>
    </w:p>
    <w:p>
      <w:pPr>
        <w:spacing w:before="65"/>
        <w:ind w:firstLine="640"/>
      </w:pPr>
      <w:r>
        <w:rPr>
          <w:rFonts w:hint="eastAsia"/>
        </w:rPr>
        <w:t>城镇化水平较低，人口流出较多。随着社会经济发展，区域要素流动将更加频繁，人口外流、人口老龄化对赵店乡未来城镇化率和产业发展将产生重大影响，赵店乡社会福利体系构建也存在一定压力。</w:t>
      </w:r>
    </w:p>
    <w:p>
      <w:pPr>
        <w:spacing w:before="65"/>
        <w:ind w:firstLine="640"/>
        <w:rPr>
          <w:lang w:bidi="ar"/>
        </w:rPr>
      </w:pPr>
      <w:r>
        <w:rPr>
          <w:rFonts w:hint="eastAsia"/>
        </w:rPr>
        <w:t>建设用地集约利用水平不高。建设用地方面，</w:t>
      </w:r>
      <w:r>
        <w:t>2020年，全乡人均城乡建设用地面积223平方米。从人均城乡建设用地的水平来看，利用相对粗放</w:t>
      </w:r>
      <w:r>
        <w:rPr>
          <w:rFonts w:hint="eastAsia"/>
          <w:lang w:bidi="ar"/>
        </w:rPr>
        <w:t>。</w:t>
      </w:r>
    </w:p>
    <w:bookmarkEnd w:id="16"/>
    <w:p>
      <w:pPr>
        <w:spacing w:before="65" w:after="120"/>
        <w:ind w:firstLine="640"/>
      </w:pPr>
      <w:r>
        <w:br w:type="page"/>
      </w:r>
    </w:p>
    <w:p>
      <w:pPr>
        <w:pStyle w:val="2"/>
        <w:spacing w:before="489" w:after="489"/>
      </w:pPr>
      <w:bookmarkStart w:id="17" w:name="_Toc212798324"/>
      <w:r>
        <w:rPr>
          <w:rFonts w:hint="eastAsia"/>
        </w:rPr>
        <w:t>发展定位与目标</w:t>
      </w:r>
      <w:bookmarkEnd w:id="17"/>
    </w:p>
    <w:p>
      <w:pPr>
        <w:pStyle w:val="3"/>
      </w:pPr>
      <w:bookmarkStart w:id="18" w:name="_Toc208238259"/>
      <w:r>
        <w:rPr>
          <w:rFonts w:hint="eastAsia"/>
        </w:rPr>
        <w:t>发展定位</w:t>
      </w:r>
      <w:bookmarkEnd w:id="18"/>
    </w:p>
    <w:p>
      <w:pPr>
        <w:pStyle w:val="4"/>
        <w:spacing w:before="195" w:after="195"/>
      </w:pPr>
      <w:r>
        <w:rPr>
          <w:rFonts w:hint="eastAsia"/>
        </w:rPr>
        <w:t>落实乡镇主体功能</w:t>
      </w:r>
    </w:p>
    <w:p>
      <w:pPr>
        <w:spacing w:before="65"/>
        <w:ind w:firstLine="640"/>
        <w:rPr>
          <w:u w:val="single"/>
        </w:rPr>
      </w:pPr>
      <w:r>
        <w:rPr>
          <w:rFonts w:hint="eastAsia"/>
          <w:u w:val="single"/>
          <w:lang w:bidi="ar"/>
        </w:rPr>
        <w:t>赵店乡为城市化地区</w:t>
      </w:r>
      <w:r>
        <w:rPr>
          <w:rFonts w:hint="eastAsia"/>
          <w:u w:val="single"/>
        </w:rPr>
        <w:t>。</w:t>
      </w:r>
    </w:p>
    <w:p>
      <w:pPr>
        <w:pStyle w:val="4"/>
        <w:spacing w:before="195" w:after="195"/>
      </w:pPr>
      <w:r>
        <w:rPr>
          <w:rFonts w:hint="eastAsia"/>
        </w:rPr>
        <w:t>发展定位</w:t>
      </w:r>
    </w:p>
    <w:p>
      <w:pPr>
        <w:spacing w:before="65"/>
        <w:ind w:firstLine="640"/>
      </w:pPr>
      <w:bookmarkStart w:id="19" w:name="_Hlk207296634"/>
      <w:bookmarkStart w:id="20" w:name="_Hlk207964692"/>
      <w:bookmarkStart w:id="21" w:name="_Hlk207294494"/>
      <w:r>
        <w:rPr>
          <w:rFonts w:hint="eastAsia"/>
        </w:rPr>
        <w:t>内乡城北工贸枢纽，城郊农文旅名乡，特色农业示范区</w:t>
      </w:r>
      <w:bookmarkEnd w:id="19"/>
      <w:r>
        <w:rPr>
          <w:rFonts w:hint="eastAsia"/>
        </w:rPr>
        <w:t>。</w:t>
      </w:r>
      <w:bookmarkEnd w:id="20"/>
    </w:p>
    <w:bookmarkEnd w:id="21"/>
    <w:p>
      <w:pPr>
        <w:spacing w:before="65"/>
        <w:ind w:firstLine="640"/>
      </w:pPr>
      <w:r>
        <w:rPr>
          <w:rFonts w:hint="eastAsia"/>
        </w:rPr>
        <w:t>依托区位优势，发展商贸物流；以生态种植和高效农业为核心，壮大烟叶、金银花、蔬菜、核桃、猕猴桃等特色产业；延长产业链，增加附加值，发展农产品深加工；同时打造城郊融合型产业高地，承接县城制造外溢；以人居环境整治为重点，发展成为内乡县生态宜居、绿色发展的特色乡镇。</w:t>
      </w:r>
    </w:p>
    <w:p>
      <w:pPr>
        <w:pStyle w:val="3"/>
      </w:pPr>
      <w:bookmarkStart w:id="22" w:name="_Toc208238260"/>
      <w:r>
        <w:rPr>
          <w:rFonts w:hint="eastAsia"/>
        </w:rPr>
        <w:t>发展目标</w:t>
      </w:r>
      <w:bookmarkEnd w:id="22"/>
    </w:p>
    <w:p>
      <w:pPr>
        <w:pStyle w:val="4"/>
        <w:spacing w:before="195" w:after="195"/>
      </w:pPr>
      <w:r>
        <w:rPr>
          <w:rFonts w:hint="eastAsia"/>
        </w:rPr>
        <w:t>发展目标</w:t>
      </w:r>
    </w:p>
    <w:p>
      <w:pPr>
        <w:pStyle w:val="5"/>
        <w:spacing w:before="97" w:after="97"/>
        <w:ind w:firstLine="640"/>
      </w:pPr>
      <w:r>
        <w:rPr>
          <w:rFonts w:hint="eastAsia"/>
        </w:rPr>
        <w:t>总体目标</w:t>
      </w:r>
    </w:p>
    <w:p>
      <w:pPr>
        <w:ind w:firstLine="640"/>
      </w:pPr>
      <w:bookmarkStart w:id="23" w:name="_Hlk207964808"/>
      <w:r>
        <w:rPr>
          <w:rFonts w:hint="eastAsia"/>
        </w:rPr>
        <w:t>以建设“工贸枢纽，农文旅名乡、特色农业示范区”为目标愿景，优化全域国土空间格局，强化底线管控，科学高效配置国土空间资源，提升国土空间品质，构建绿色永续、集约高效、协调统筹、宜居共享和安全韧性的国土空间。以创新引领实现三产联动的高质量发展，推进新型城镇化建设，创建高品质人居环境，推动国土空间治理现代化</w:t>
      </w:r>
      <w:bookmarkEnd w:id="23"/>
      <w:r>
        <w:rPr>
          <w:rFonts w:hint="eastAsia"/>
        </w:rPr>
        <w:t>。</w:t>
      </w:r>
    </w:p>
    <w:p>
      <w:pPr>
        <w:pStyle w:val="5"/>
        <w:spacing w:before="97" w:after="97"/>
        <w:ind w:firstLine="640"/>
      </w:pPr>
      <w:r>
        <w:t>2025</w:t>
      </w:r>
      <w:r>
        <w:rPr>
          <w:rFonts w:hint="eastAsia"/>
        </w:rPr>
        <w:t>年发展目标</w:t>
      </w:r>
    </w:p>
    <w:p>
      <w:pPr>
        <w:spacing w:before="65" w:after="120"/>
        <w:ind w:firstLine="640"/>
      </w:pPr>
      <w:bookmarkStart w:id="24" w:name="_Hlk207964825"/>
      <w:r>
        <w:rPr>
          <w:rFonts w:hint="eastAsia"/>
        </w:rPr>
        <w:t>严守国土空间安全底线，生态保护红线、永久基本农田保护红线得到严格落实，耕地保有量不低于</w:t>
      </w:r>
      <w:r>
        <w:t>5614.88公顷，永久基本农田保护目标不低于5375.35公顷；城乡空间布局进一步优化，</w:t>
      </w:r>
      <w:r>
        <w:rPr>
          <w:rFonts w:hint="eastAsia"/>
        </w:rPr>
        <w:t>乡</w:t>
      </w:r>
      <w:r>
        <w:t>域常住人口约2.90万人，</w:t>
      </w:r>
      <w:r>
        <w:rPr>
          <w:rFonts w:hint="eastAsia"/>
        </w:rPr>
        <w:t>集镇区</w:t>
      </w:r>
      <w:r>
        <w:t>常住人口规模约0.70万人，城镇化率约24.14%，城镇化水平进一步提升，人口进一步集聚；特色农业种植及养殖规模进一步扩大，实现稳步发展，农产品深加工产业初具规模；工业发展经济效益呈上升趋势</w:t>
      </w:r>
      <w:bookmarkEnd w:id="24"/>
      <w:r>
        <w:rPr>
          <w:rFonts w:hint="eastAsia"/>
        </w:rPr>
        <w:t>。</w:t>
      </w:r>
    </w:p>
    <w:p>
      <w:pPr>
        <w:pStyle w:val="5"/>
        <w:spacing w:before="97" w:after="97"/>
        <w:ind w:firstLine="640"/>
      </w:pPr>
      <w:r>
        <w:rPr>
          <w:rFonts w:hint="eastAsia"/>
        </w:rPr>
        <w:t>2035年发展目标</w:t>
      </w:r>
    </w:p>
    <w:p>
      <w:pPr>
        <w:spacing w:before="65" w:after="120"/>
        <w:ind w:firstLine="640"/>
      </w:pPr>
      <w:bookmarkStart w:id="25" w:name="_Hlk207964834"/>
      <w:r>
        <w:rPr>
          <w:rFonts w:hint="eastAsia"/>
        </w:rPr>
        <w:t>国土空间治理体系和治理能力现代化基本实现，城镇总体发展格局全面稳固，现代高效农业建设完成，工业转型升级成功，生态保护和环境建设取得明显成效，生态文化旅游经济实现高质量发展；形成功能互补、分工明确的乡域村镇体系和辐射带动能力强的镇区，全乡基础设施配套完善，人居环境品质优良，人民生活水平和质量显著提高，逐步实现农村城乡一体化；城乡空间布局更加优化，乡域常住人口约</w:t>
      </w:r>
      <w:r>
        <w:t>2.80万人，</w:t>
      </w:r>
      <w:r>
        <w:rPr>
          <w:rFonts w:hint="eastAsia"/>
        </w:rPr>
        <w:t>集镇区</w:t>
      </w:r>
      <w:r>
        <w:t>常住人口规模约0.80万人，城镇化率约32.14%，城镇化水平大幅提升，人口更加集聚；基本实现三产融合发展，基本建设成为环境优美、功能完善、</w:t>
      </w:r>
      <w:r>
        <w:rPr>
          <w:rFonts w:hint="eastAsia"/>
        </w:rPr>
        <w:t>宜居宜业的</w:t>
      </w:r>
      <w:bookmarkStart w:id="26" w:name="_Hlk209795410"/>
      <w:r>
        <w:rPr>
          <w:rFonts w:hint="eastAsia"/>
        </w:rPr>
        <w:t>内乡县农工旅混合型重点乡镇</w:t>
      </w:r>
      <w:bookmarkEnd w:id="25"/>
      <w:bookmarkEnd w:id="26"/>
      <w:r>
        <w:rPr>
          <w:rFonts w:hint="eastAsia"/>
        </w:rPr>
        <w:t>。</w:t>
      </w:r>
    </w:p>
    <w:p>
      <w:pPr>
        <w:pStyle w:val="3"/>
      </w:pPr>
      <w:bookmarkStart w:id="27" w:name="_Toc208238261"/>
      <w:r>
        <w:rPr>
          <w:rFonts w:hint="eastAsia"/>
        </w:rPr>
        <w:t>规划指标体系</w:t>
      </w:r>
      <w:bookmarkEnd w:id="27"/>
    </w:p>
    <w:p>
      <w:pPr>
        <w:pStyle w:val="4"/>
        <w:spacing w:before="195" w:after="195"/>
      </w:pPr>
      <w:r>
        <w:rPr>
          <w:rFonts w:hint="eastAsia"/>
        </w:rPr>
        <w:t>规划指标体系</w:t>
      </w:r>
    </w:p>
    <w:p>
      <w:pPr>
        <w:spacing w:before="65" w:after="120"/>
        <w:ind w:firstLine="640"/>
      </w:pPr>
      <w:bookmarkStart w:id="28" w:name="_Hlk207964887"/>
      <w:bookmarkStart w:id="29" w:name="_Hlk152769328"/>
      <w:r>
        <w:rPr>
          <w:rFonts w:hint="eastAsia"/>
        </w:rPr>
        <w:t>赵店乡国土空间开发保护指标要落实衔接内乡县级国土空间规划指标，国土空间资源保护优先，提质增效，效率优先，保障国土安全，加强整治修复的原则。根据赵店乡的实际情况，指标类型分为约束性指标、预期性指标和引导性指标三类</w:t>
      </w:r>
      <w:bookmarkEnd w:id="28"/>
      <w:r>
        <w:rPr>
          <w:rFonts w:hint="eastAsia"/>
        </w:rPr>
        <w:t>。</w:t>
      </w:r>
    </w:p>
    <w:p>
      <w:pPr>
        <w:pStyle w:val="4"/>
        <w:spacing w:before="195" w:after="195"/>
      </w:pPr>
      <w:bookmarkStart w:id="30" w:name="_Hlk200561688"/>
      <w:bookmarkStart w:id="31" w:name="_Hlk200529460"/>
      <w:r>
        <w:rPr>
          <w:rFonts w:hint="eastAsia"/>
        </w:rPr>
        <w:t>国土空间开发保护策略</w:t>
      </w:r>
    </w:p>
    <w:bookmarkEnd w:id="30"/>
    <w:p>
      <w:pPr>
        <w:spacing w:before="65"/>
        <w:ind w:firstLine="640"/>
      </w:pPr>
      <w:bookmarkStart w:id="32" w:name="_Hlk207964997"/>
      <w:bookmarkStart w:id="33" w:name="_Hlk200561701"/>
      <w:r>
        <w:rPr>
          <w:rFonts w:hint="eastAsia"/>
        </w:rPr>
        <w:t>落实底线约束，保证三条控制线落地。落实最严格的耕地保护制度、生态保护制度和节约用地制度。科学避让地质灾害风险，构建安全韧性国土空间，维护粮食安全、生态安全。</w:t>
      </w:r>
    </w:p>
    <w:p>
      <w:pPr>
        <w:spacing w:before="65"/>
        <w:ind w:firstLine="640"/>
      </w:pPr>
      <w:r>
        <w:t>优化空间格局</w:t>
      </w:r>
      <w:r>
        <w:rPr>
          <w:rFonts w:hint="eastAsia"/>
        </w:rPr>
        <w:t>，</w:t>
      </w:r>
      <w:r>
        <w:t>构建高效、协调、可持续的国土空间结构</w:t>
      </w:r>
      <w:r>
        <w:rPr>
          <w:rFonts w:hint="eastAsia"/>
        </w:rPr>
        <w:t>，统一协调生产空间、生活空间、生态空间布局。推动产业转型升级，发展特色优势产业和绿色低碳产业，引导产业用地向集镇区、开发区集中。</w:t>
      </w:r>
    </w:p>
    <w:p>
      <w:pPr>
        <w:spacing w:before="65"/>
        <w:ind w:firstLine="640"/>
      </w:pPr>
      <w:r>
        <w:t>强化基础设施和公共服务支撑</w:t>
      </w:r>
      <w:r>
        <w:rPr>
          <w:rFonts w:hint="eastAsia"/>
        </w:rPr>
        <w:t>。构建便捷高效的内外交通网络，完善市政道路、停车场。提升供水、排水（雨污分流）、供电、供气、供热、通信、垃圾处理（分类）、污水处理等设施能力和智慧化水平。加强防洪排涝、抗震、消防、地质灾害防治等设施建设和应急能力。注重社区级公共服务设施的均衡布局和便捷可达。</w:t>
      </w:r>
    </w:p>
    <w:p>
      <w:pPr>
        <w:spacing w:before="65"/>
        <w:ind w:firstLine="640"/>
      </w:pPr>
      <w:r>
        <w:rPr>
          <w:rFonts w:hint="eastAsia"/>
        </w:rPr>
        <w:t>保护赵店乡历史文化遗产。将地方文化元素融入城镇风貌管控引导。控制建筑高度、体量、色彩和风格，形成与自然环境、地域文化相协调的城镇风貌。打造具有识别性的公共空间节点。推动公园绿地与城镇空间有机融合，提升蓝绿空间（水系、绿地）的连通性和亲民性</w:t>
      </w:r>
      <w:bookmarkEnd w:id="32"/>
      <w:r>
        <w:rPr>
          <w:rFonts w:hint="eastAsia"/>
        </w:rPr>
        <w:t>。</w:t>
      </w:r>
    </w:p>
    <w:bookmarkEnd w:id="31"/>
    <w:bookmarkEnd w:id="33"/>
    <w:p>
      <w:pPr>
        <w:spacing w:before="65" w:after="120"/>
        <w:ind w:firstLine="640"/>
      </w:pPr>
    </w:p>
    <w:bookmarkEnd w:id="29"/>
    <w:p>
      <w:pPr>
        <w:spacing w:before="65"/>
        <w:ind w:firstLine="640"/>
      </w:pPr>
      <w:r>
        <w:br w:type="page"/>
      </w:r>
    </w:p>
    <w:p>
      <w:pPr>
        <w:pStyle w:val="2"/>
        <w:spacing w:before="489" w:after="489"/>
      </w:pPr>
      <w:bookmarkStart w:id="34" w:name="_Toc212798325"/>
      <w:bookmarkStart w:id="35" w:name="_Hlk150329632"/>
      <w:r>
        <w:rPr>
          <w:rFonts w:hint="eastAsia"/>
        </w:rPr>
        <w:t>底线约束</w:t>
      </w:r>
      <w:bookmarkEnd w:id="34"/>
    </w:p>
    <w:bookmarkEnd w:id="35"/>
    <w:p>
      <w:pPr>
        <w:pStyle w:val="3"/>
      </w:pPr>
      <w:bookmarkStart w:id="36" w:name="_Toc208238263"/>
      <w:bookmarkStart w:id="37" w:name="_Hlk142658448"/>
      <w:r>
        <w:rPr>
          <w:rFonts w:hint="eastAsia"/>
        </w:rPr>
        <w:t>严格落实“三区三线”</w:t>
      </w:r>
      <w:bookmarkEnd w:id="36"/>
    </w:p>
    <w:bookmarkEnd w:id="37"/>
    <w:p>
      <w:pPr>
        <w:pStyle w:val="4"/>
        <w:spacing w:before="195" w:after="195"/>
      </w:pPr>
      <w:r>
        <w:rPr>
          <w:rFonts w:hint="eastAsia"/>
        </w:rPr>
        <w:t>严格落实</w:t>
      </w:r>
      <w:r>
        <w:t>耕地和</w:t>
      </w:r>
      <w:r>
        <w:rPr>
          <w:rFonts w:hint="eastAsia"/>
        </w:rPr>
        <w:t>永久基本农田</w:t>
      </w:r>
    </w:p>
    <w:p>
      <w:pPr>
        <w:pStyle w:val="5"/>
        <w:spacing w:before="97" w:after="97"/>
        <w:ind w:firstLine="640"/>
      </w:pPr>
      <w:r>
        <w:rPr>
          <w:rFonts w:hint="eastAsia"/>
        </w:rPr>
        <w:t>耕地保护红线</w:t>
      </w:r>
    </w:p>
    <w:p>
      <w:pPr>
        <w:spacing w:before="65" w:after="120"/>
        <w:ind w:firstLine="640"/>
      </w:pPr>
      <w:r>
        <w:rPr>
          <w:rFonts w:hint="eastAsia"/>
          <w:u w:val="single"/>
        </w:rPr>
        <w:t>根据上位规划传导，全乡共划定耕地保护目标不少于</w:t>
      </w:r>
      <w:r>
        <w:rPr>
          <w:u w:val="single"/>
        </w:rPr>
        <w:t>5614.88公顷</w:t>
      </w:r>
      <w:r>
        <w:t>，占全乡面积的58.08%。</w:t>
      </w:r>
    </w:p>
    <w:p>
      <w:pPr>
        <w:pStyle w:val="5"/>
        <w:spacing w:before="97" w:after="97"/>
        <w:ind w:firstLine="640"/>
      </w:pPr>
      <w:r>
        <w:t>永久基本农田</w:t>
      </w:r>
    </w:p>
    <w:p>
      <w:pPr>
        <w:spacing w:before="65"/>
        <w:ind w:firstLine="640"/>
        <w:rPr>
          <w:u w:val="single"/>
        </w:rPr>
      </w:pPr>
      <w:bookmarkStart w:id="38" w:name="_Hlk207965139"/>
      <w:r>
        <w:rPr>
          <w:rFonts w:hint="eastAsia"/>
          <w:u w:val="single"/>
        </w:rPr>
        <w:t>根据上位规划，永久基本农田保护面积不低于</w:t>
      </w:r>
      <w:bookmarkStart w:id="39" w:name="_Hlk207965119"/>
      <w:r>
        <w:rPr>
          <w:u w:val="single"/>
        </w:rPr>
        <w:t>5375.35</w:t>
      </w:r>
      <w:bookmarkEnd w:id="39"/>
      <w:r>
        <w:rPr>
          <w:u w:val="single"/>
        </w:rPr>
        <w:t>公顷</w:t>
      </w:r>
      <w:r>
        <w:rPr>
          <w:rFonts w:hint="eastAsia"/>
          <w:u w:val="single"/>
        </w:rPr>
        <w:t>，</w:t>
      </w:r>
      <w:bookmarkStart w:id="40" w:name="_Hlk206601219"/>
      <w:r>
        <w:rPr>
          <w:rFonts w:hint="eastAsia"/>
          <w:u w:val="single"/>
        </w:rPr>
        <w:t>根据永久基本农田核实处置成果，</w:t>
      </w:r>
      <w:bookmarkEnd w:id="40"/>
      <w:r>
        <w:rPr>
          <w:rFonts w:hint="eastAsia"/>
          <w:u w:val="single"/>
        </w:rPr>
        <w:t>实际落实永久基本农田保护红线面积</w:t>
      </w:r>
      <w:r>
        <w:rPr>
          <w:u w:val="single"/>
        </w:rPr>
        <w:t>5355.34公顷</w:t>
      </w:r>
      <w:bookmarkEnd w:id="38"/>
      <w:r>
        <w:rPr>
          <w:rFonts w:hint="eastAsia"/>
          <w:u w:val="single"/>
        </w:rPr>
        <w:t>。</w:t>
      </w:r>
      <w:bookmarkStart w:id="41" w:name="_Hlk209795486"/>
      <w:r>
        <w:rPr>
          <w:rFonts w:hint="eastAsia"/>
          <w:u w:val="single"/>
        </w:rPr>
        <w:t>内乡县中心城区城镇开发边界占用，不足部分已由内乡县其他乡镇补足。</w:t>
      </w:r>
      <w:bookmarkEnd w:id="41"/>
    </w:p>
    <w:p>
      <w:pPr>
        <w:pStyle w:val="4"/>
        <w:spacing w:before="195" w:after="195"/>
      </w:pPr>
      <w:r>
        <w:rPr>
          <w:rFonts w:hint="eastAsia"/>
        </w:rPr>
        <w:t>严格落实生态保护红线</w:t>
      </w:r>
    </w:p>
    <w:p>
      <w:pPr>
        <w:pStyle w:val="5"/>
        <w:spacing w:before="97" w:after="97"/>
        <w:ind w:firstLine="640"/>
      </w:pPr>
      <w:r>
        <w:rPr>
          <w:rFonts w:hint="eastAsia"/>
        </w:rPr>
        <w:t>生态保护红线划定</w:t>
      </w:r>
    </w:p>
    <w:p>
      <w:pPr>
        <w:spacing w:before="65" w:after="120"/>
        <w:ind w:firstLine="640"/>
      </w:pPr>
      <w:bookmarkStart w:id="42" w:name="_Hlk207965183"/>
      <w:bookmarkStart w:id="43" w:name="_Hlk150442329"/>
      <w:r>
        <w:rPr>
          <w:rFonts w:hint="eastAsia"/>
          <w:u w:val="single"/>
        </w:rPr>
        <w:t>落实内乡县划定生态保护红线面积</w:t>
      </w:r>
      <w:r>
        <w:rPr>
          <w:u w:val="single"/>
        </w:rPr>
        <w:t>207.71公顷，占全</w:t>
      </w:r>
      <w:r>
        <w:rPr>
          <w:rFonts w:hint="eastAsia"/>
          <w:u w:val="single"/>
        </w:rPr>
        <w:t>乡</w:t>
      </w:r>
      <w:r>
        <w:rPr>
          <w:u w:val="single"/>
        </w:rPr>
        <w:t>面积的2.15%。</w:t>
      </w:r>
      <w:r>
        <w:rPr>
          <w:rFonts w:hint="eastAsia"/>
        </w:rPr>
        <w:t>赵店乡乡</w:t>
      </w:r>
      <w:r>
        <w:t>域内的生态保护红线涉及</w:t>
      </w:r>
      <w:r>
        <w:rPr>
          <w:rFonts w:hint="eastAsia"/>
        </w:rPr>
        <w:t>河南内乡湍河湿地省级自然保护区</w:t>
      </w:r>
      <w:bookmarkEnd w:id="42"/>
      <w:r>
        <w:t>。</w:t>
      </w:r>
    </w:p>
    <w:bookmarkEnd w:id="43"/>
    <w:p>
      <w:pPr>
        <w:pStyle w:val="4"/>
        <w:spacing w:before="195" w:after="195"/>
      </w:pPr>
      <w:r>
        <w:rPr>
          <w:rFonts w:hint="eastAsia"/>
        </w:rPr>
        <w:t>严格落实城镇开发边界</w:t>
      </w:r>
    </w:p>
    <w:p>
      <w:pPr>
        <w:pStyle w:val="5"/>
        <w:spacing w:before="97" w:after="97"/>
        <w:ind w:firstLine="640"/>
      </w:pPr>
      <w:r>
        <w:rPr>
          <w:rFonts w:hint="eastAsia"/>
        </w:rPr>
        <w:t>城镇开发边界划定</w:t>
      </w:r>
    </w:p>
    <w:p>
      <w:pPr>
        <w:spacing w:before="65" w:after="120"/>
        <w:ind w:firstLine="640"/>
      </w:pPr>
      <w:bookmarkStart w:id="44" w:name="_Hlk207965197"/>
      <w:r>
        <w:rPr>
          <w:u w:val="single"/>
        </w:rPr>
        <w:t>内乡县</w:t>
      </w:r>
      <w:r>
        <w:rPr>
          <w:rFonts w:hint="eastAsia"/>
          <w:u w:val="single"/>
        </w:rPr>
        <w:t>上位传导城镇开发边界面积为</w:t>
      </w:r>
      <w:r>
        <w:rPr>
          <w:u w:val="single"/>
        </w:rPr>
        <w:t>36.58公顷</w:t>
      </w:r>
      <w:r>
        <w:rPr>
          <w:rFonts w:hint="eastAsia"/>
          <w:u w:val="single"/>
        </w:rPr>
        <w:t>，均位于内乡县中心城区规划范围内。</w:t>
      </w:r>
      <w:bookmarkStart w:id="45" w:name="_Hlk191285324"/>
      <w:r>
        <w:t>集镇区</w:t>
      </w:r>
      <w:bookmarkEnd w:id="45"/>
      <w:r>
        <w:rPr>
          <w:rFonts w:hint="eastAsia"/>
        </w:rPr>
        <w:t>未划定</w:t>
      </w:r>
      <w:bookmarkEnd w:id="44"/>
      <w:r>
        <w:rPr>
          <w:rFonts w:hint="eastAsia"/>
        </w:rPr>
        <w:t>。</w:t>
      </w:r>
    </w:p>
    <w:p>
      <w:pPr>
        <w:pStyle w:val="3"/>
      </w:pPr>
      <w:bookmarkStart w:id="46" w:name="_Toc208238264"/>
      <w:bookmarkStart w:id="47" w:name="_Hlk142575005"/>
      <w:r>
        <w:rPr>
          <w:rFonts w:hint="eastAsia"/>
        </w:rPr>
        <w:t>核准落实其他控制线</w:t>
      </w:r>
      <w:bookmarkEnd w:id="46"/>
    </w:p>
    <w:p>
      <w:pPr>
        <w:pStyle w:val="4"/>
        <w:spacing w:before="195" w:after="195"/>
      </w:pPr>
      <w:r>
        <w:rPr>
          <w:rFonts w:hint="eastAsia"/>
        </w:rPr>
        <w:t>历史文化保护线</w:t>
      </w:r>
    </w:p>
    <w:p>
      <w:pPr>
        <w:spacing w:before="65"/>
        <w:ind w:firstLine="640"/>
      </w:pPr>
      <w:bookmarkStart w:id="48" w:name="_Hlk207965211"/>
      <w:bookmarkStart w:id="49" w:name="_Hlk152257056"/>
      <w:r>
        <w:rPr>
          <w:rFonts w:hint="eastAsia"/>
          <w:u w:val="single"/>
        </w:rPr>
        <w:t>根据上位规划传导，全乡划定历史文化保护线</w:t>
      </w:r>
      <w:r>
        <w:rPr>
          <w:u w:val="single"/>
        </w:rPr>
        <w:t>8处，为</w:t>
      </w:r>
      <w:r>
        <w:rPr>
          <w:rFonts w:hint="eastAsia"/>
          <w:u w:val="single"/>
        </w:rPr>
        <w:t>县级文物保护单位（李南村遗址郦国故址、花凹汉墓、半坡墓葬、吕营汉墓、寨后沟遗址、长城铺墓葬、胡文胡瑞墓）的文物保护范围和</w:t>
      </w:r>
      <w:r>
        <w:rPr>
          <w:u w:val="single"/>
        </w:rPr>
        <w:t>建设控制地带，</w:t>
      </w:r>
      <w:bookmarkStart w:id="50" w:name="_Hlk206602832"/>
      <w:r>
        <w:rPr>
          <w:rFonts w:hint="eastAsia"/>
        </w:rPr>
        <w:t>赵店乡历史文化保护线结合乡域历史文化遗产保护范围和建设控制地带的划定情况，及时落实动态补划，纳入国土空间规划“一张图”进行管控</w:t>
      </w:r>
      <w:bookmarkEnd w:id="48"/>
      <w:r>
        <w:rPr>
          <w:rFonts w:hint="eastAsia"/>
        </w:rPr>
        <w:t>。</w:t>
      </w:r>
    </w:p>
    <w:bookmarkEnd w:id="49"/>
    <w:bookmarkEnd w:id="50"/>
    <w:p>
      <w:pPr>
        <w:pStyle w:val="4"/>
        <w:spacing w:before="195" w:after="195"/>
      </w:pPr>
      <w:r>
        <w:rPr>
          <w:rFonts w:hint="eastAsia"/>
        </w:rPr>
        <w:t>洪涝风险控制线</w:t>
      </w:r>
    </w:p>
    <w:p>
      <w:pPr>
        <w:spacing w:before="65" w:after="156"/>
        <w:ind w:firstLine="640"/>
      </w:pPr>
      <w:bookmarkStart w:id="51" w:name="_Hlk206602877"/>
      <w:bookmarkStart w:id="52" w:name="_Hlk207965223"/>
      <w:bookmarkStart w:id="53" w:name="_Hlk152257166"/>
      <w:r>
        <w:rPr>
          <w:rFonts w:hint="eastAsia"/>
        </w:rPr>
        <w:t>根据上位规划传导，</w:t>
      </w:r>
      <w:bookmarkEnd w:id="51"/>
      <w:r>
        <w:rPr>
          <w:rFonts w:hint="eastAsia"/>
        </w:rPr>
        <w:t>落实洪涝风险控制线，主要为湍河、长城河及黄水河的洪涝风险控制线</w:t>
      </w:r>
      <w:r>
        <w:t>。洪涝风险控制线内禁止新增城乡建设用地，确需新增的，需经得水利部门的意见后落实</w:t>
      </w:r>
      <w:bookmarkEnd w:id="52"/>
      <w:r>
        <w:rPr>
          <w:rFonts w:hint="eastAsia"/>
        </w:rPr>
        <w:t>。</w:t>
      </w:r>
    </w:p>
    <w:bookmarkEnd w:id="53"/>
    <w:p>
      <w:pPr>
        <w:pStyle w:val="4"/>
      </w:pPr>
      <w:r>
        <w:rPr>
          <w:rFonts w:hint="eastAsia"/>
        </w:rPr>
        <w:t>矿产资源开采保护线</w:t>
      </w:r>
    </w:p>
    <w:p>
      <w:pPr>
        <w:spacing w:before="65" w:after="156"/>
        <w:ind w:firstLine="640"/>
      </w:pPr>
      <w:bookmarkStart w:id="54" w:name="_Hlk152257181"/>
      <w:r>
        <w:rPr>
          <w:rFonts w:hint="eastAsia"/>
        </w:rPr>
        <w:t>赵店乡不涉及矿产资源开采，如后续有调整，按照调整后执行。</w:t>
      </w:r>
    </w:p>
    <w:bookmarkEnd w:id="54"/>
    <w:p>
      <w:pPr>
        <w:pStyle w:val="4"/>
        <w:spacing w:before="195" w:after="195"/>
      </w:pPr>
      <w:r>
        <w:rPr>
          <w:rFonts w:hint="eastAsia"/>
        </w:rPr>
        <w:t>廊道控制线</w:t>
      </w:r>
    </w:p>
    <w:p>
      <w:pPr>
        <w:spacing w:before="65"/>
        <w:ind w:firstLine="640"/>
      </w:pPr>
      <w:bookmarkStart w:id="55" w:name="_Hlk207965332"/>
      <w:r>
        <w:rPr>
          <w:rFonts w:hint="eastAsia"/>
        </w:rPr>
        <w:t>全乡交通控制廊道涉及规划高速铁路：南商高铁；普通铁路：浩吉铁路、宁西铁路；高速公路：沪陕高速、内邓高速、嵩内高速（规划）；国道：</w:t>
      </w:r>
      <w:r>
        <w:t>G312</w:t>
      </w:r>
      <w:r>
        <w:rPr>
          <w:rFonts w:hint="eastAsia"/>
        </w:rPr>
        <w:t>、G</w:t>
      </w:r>
      <w:r>
        <w:t>241；</w:t>
      </w:r>
      <w:r>
        <w:rPr>
          <w:rFonts w:hint="eastAsia"/>
        </w:rPr>
        <w:t>县道：</w:t>
      </w:r>
      <w:r>
        <w:t>X004、X007</w:t>
      </w:r>
      <w:r>
        <w:rPr>
          <w:rFonts w:hint="eastAsia"/>
        </w:rPr>
        <w:t>；</w:t>
      </w:r>
      <w:r>
        <w:t>乡道：Y018、Y021、Y013、Y014</w:t>
      </w:r>
      <w:r>
        <w:rPr>
          <w:rFonts w:hint="eastAsia"/>
        </w:rPr>
        <w:t>。</w:t>
      </w:r>
      <w:bookmarkStart w:id="56" w:name="_Hlk193116571"/>
    </w:p>
    <w:p>
      <w:pPr>
        <w:spacing w:before="65"/>
        <w:ind w:firstLine="640"/>
      </w:pPr>
      <w:bookmarkStart w:id="57" w:name="_Hlk209795580"/>
      <w:r>
        <w:t>根据《铁</w:t>
      </w:r>
      <w:r>
        <w:rPr>
          <w:rFonts w:hint="eastAsia"/>
        </w:rPr>
        <w:t>路安全管理条例》，铁路线路安全保护区的范围，从铁路线路路堤坡脚路堑坡顶或者铁路桥梁</w:t>
      </w:r>
      <w:r>
        <w:t>(含铁路、道路两用桥，</w:t>
      </w:r>
      <w:r>
        <w:rPr>
          <w:rFonts w:hint="eastAsia"/>
        </w:rPr>
        <w:t>下同</w:t>
      </w:r>
      <w:r>
        <w:t>)外侧起向外的距离分别为:村镇居民居住区高速铁路</w:t>
      </w:r>
      <w:r>
        <w:rPr>
          <w:rFonts w:hint="eastAsia"/>
        </w:rPr>
        <w:t>为</w:t>
      </w:r>
      <w:r>
        <w:t xml:space="preserve"> 15米，其他铁路</w:t>
      </w:r>
      <w:r>
        <w:rPr>
          <w:rFonts w:hint="eastAsia"/>
        </w:rPr>
        <w:t>（浩吉铁路、宁西铁路）</w:t>
      </w:r>
      <w:r>
        <w:t>为12米;其他地区高速铁路为20米，</w:t>
      </w:r>
      <w:r>
        <w:rPr>
          <w:rFonts w:hint="eastAsia"/>
        </w:rPr>
        <w:t>其他铁路（浩吉铁路、宁西铁路）为</w:t>
      </w:r>
      <w:r>
        <w:t xml:space="preserve"> 15米。</w:t>
      </w:r>
    </w:p>
    <w:p>
      <w:pPr>
        <w:spacing w:before="65"/>
        <w:ind w:firstLine="640"/>
      </w:pPr>
      <w:r>
        <w:rPr>
          <w:rFonts w:hint="eastAsia"/>
        </w:rPr>
        <w:t>根据《公路安全保护条例》，在公路两侧修建永久性工程设施，其建筑物边缘与公路边沟外缘的间距为：国道（G312、G</w:t>
      </w:r>
      <w:r>
        <w:t>241</w:t>
      </w:r>
      <w:r>
        <w:rPr>
          <w:rFonts w:hint="eastAsia"/>
        </w:rPr>
        <w:t>）不少于</w:t>
      </w:r>
      <w:r>
        <w:t>20米；省道不少于15米；县道</w:t>
      </w:r>
      <w:r>
        <w:rPr>
          <w:rFonts w:hint="eastAsia"/>
        </w:rPr>
        <w:t>（</w:t>
      </w:r>
      <w:r>
        <w:t>X004、X007</w:t>
      </w:r>
      <w:r>
        <w:rPr>
          <w:rFonts w:hint="eastAsia"/>
        </w:rPr>
        <w:t>）</w:t>
      </w:r>
      <w:r>
        <w:t>不少于10米；乡道</w:t>
      </w:r>
      <w:r>
        <w:rPr>
          <w:rFonts w:hint="eastAsia"/>
        </w:rPr>
        <w:t>（</w:t>
      </w:r>
      <w:r>
        <w:t>Y018、Y021、Y013、Y014</w:t>
      </w:r>
      <w:r>
        <w:rPr>
          <w:rFonts w:hint="eastAsia"/>
        </w:rPr>
        <w:t>）</w:t>
      </w:r>
      <w:r>
        <w:t>不少于5米。高速公路</w:t>
      </w:r>
      <w:r>
        <w:rPr>
          <w:rFonts w:hint="eastAsia"/>
        </w:rPr>
        <w:t>（高速公路：沪陕高速、内邓高速）</w:t>
      </w:r>
      <w:r>
        <w:t>的公路建筑控制区的范围从公路用地外缘起向外的距离标准不少于30米</w:t>
      </w:r>
      <w:bookmarkEnd w:id="55"/>
      <w:r>
        <w:t>。</w:t>
      </w:r>
    </w:p>
    <w:bookmarkEnd w:id="57"/>
    <w:p>
      <w:pPr>
        <w:pStyle w:val="4"/>
        <w:spacing w:before="195" w:after="195"/>
      </w:pPr>
      <w:r>
        <w:t>高压电力线路廊道控制</w:t>
      </w:r>
      <w:r>
        <w:rPr>
          <w:rFonts w:hint="eastAsia"/>
        </w:rPr>
        <w:t>线</w:t>
      </w:r>
    </w:p>
    <w:p>
      <w:pPr>
        <w:spacing w:before="65"/>
        <w:ind w:firstLine="640"/>
      </w:pPr>
      <w:bookmarkStart w:id="58" w:name="_Hlk207965344"/>
      <w:r>
        <w:rPr>
          <w:rFonts w:hint="eastAsia"/>
        </w:rPr>
        <w:t>赵店乡乡域内高压电力线路廊道以</w:t>
      </w:r>
      <w:r>
        <w:t>110kV及其以上电力线为主。根据《城市电力规划规范》（GB/T50293-2014） 及《电力设施保护条例》的要求，本次规划800kV高压电力线路廊道控制线宽度80-90米，500kV高压电力线路廊道控制线宽度60-75米， 110kV高压电力线路廊道控制线宽度15-25米</w:t>
      </w:r>
      <w:bookmarkEnd w:id="58"/>
      <w:r>
        <w:rPr>
          <w:rFonts w:hint="eastAsia"/>
        </w:rPr>
        <w:t>。</w:t>
      </w:r>
    </w:p>
    <w:bookmarkEnd w:id="56"/>
    <w:p>
      <w:pPr>
        <w:pStyle w:val="4"/>
      </w:pPr>
      <w:bookmarkStart w:id="59" w:name="_Toc208238265"/>
      <w:r>
        <w:t>高压燃气廊道控制线</w:t>
      </w:r>
    </w:p>
    <w:p>
      <w:pPr>
        <w:ind w:firstLine="640"/>
      </w:pPr>
      <w:bookmarkStart w:id="60" w:name="_Hlk209795640"/>
      <w:r>
        <w:rPr>
          <w:rFonts w:hint="eastAsia"/>
        </w:rPr>
        <w:t>乡域内高压燃气廊道主要为丹水</w:t>
      </w:r>
      <w:r>
        <w:t>-内乡-镇平-茶庵门站</w:t>
      </w:r>
      <w:r>
        <w:rPr>
          <w:rFonts w:hint="eastAsia"/>
        </w:rPr>
        <w:t>长输管线和西气东输三线。天然气高压燃气管道走廊宽度应严格按照《油气输送管道完整性管理规范</w:t>
      </w:r>
      <w:r>
        <w:t>GB 32167》、《石油天然气管道</w:t>
      </w:r>
      <w:r>
        <w:rPr>
          <w:rFonts w:hint="eastAsia"/>
        </w:rPr>
        <w:t>保护条例</w:t>
      </w:r>
      <w:r>
        <w:t>(国务院令第313号)》</w:t>
      </w:r>
      <w:r>
        <w:rPr>
          <w:rFonts w:hint="eastAsia"/>
        </w:rPr>
        <w:t>。</w:t>
      </w:r>
    </w:p>
    <w:bookmarkEnd w:id="60"/>
    <w:p>
      <w:pPr>
        <w:pStyle w:val="3"/>
      </w:pPr>
      <w:r>
        <w:rPr>
          <w:rFonts w:hint="eastAsia"/>
        </w:rPr>
        <w:t>划定村庄建设边界</w:t>
      </w:r>
      <w:bookmarkEnd w:id="59"/>
    </w:p>
    <w:p>
      <w:pPr>
        <w:pStyle w:val="4"/>
        <w:spacing w:before="195" w:after="195"/>
      </w:pPr>
      <w:r>
        <w:rPr>
          <w:rFonts w:hint="eastAsia"/>
        </w:rPr>
        <w:t>村庄建设边界</w:t>
      </w:r>
      <w:r>
        <w:t>划定</w:t>
      </w:r>
    </w:p>
    <w:p>
      <w:pPr>
        <w:spacing w:before="65" w:after="120"/>
        <w:ind w:firstLine="640"/>
      </w:pPr>
      <w:bookmarkStart w:id="61" w:name="_Hlk207965360"/>
      <w:r>
        <w:rPr>
          <w:rFonts w:hint="eastAsia"/>
        </w:rPr>
        <w:t>全乡</w:t>
      </w:r>
      <w:r>
        <w:t>划定村庄建设边界</w:t>
      </w:r>
      <w:r>
        <w:rPr>
          <w:rFonts w:hint="eastAsia"/>
        </w:rPr>
        <w:t>不大于</w:t>
      </w:r>
      <w:r>
        <w:t>1043.12</w:t>
      </w:r>
      <w:r>
        <w:rPr>
          <w:rFonts w:hint="eastAsia"/>
        </w:rPr>
        <w:t>公顷，其中，机动指标为</w:t>
      </w:r>
      <w:r>
        <w:t>10.79</w:t>
      </w:r>
      <w:r>
        <w:rPr>
          <w:rFonts w:hint="eastAsia"/>
        </w:rPr>
        <w:t>公顷</w:t>
      </w:r>
      <w:bookmarkEnd w:id="61"/>
      <w:r>
        <w:rPr>
          <w:rFonts w:hint="eastAsia"/>
        </w:rPr>
        <w:t>。</w:t>
      </w:r>
    </w:p>
    <w:p>
      <w:pPr>
        <w:ind w:firstLine="640"/>
      </w:pPr>
      <w:r>
        <w:br w:type="page"/>
      </w:r>
    </w:p>
    <w:p>
      <w:pPr>
        <w:pStyle w:val="2"/>
        <w:spacing w:before="489" w:after="489"/>
      </w:pPr>
      <w:bookmarkStart w:id="62" w:name="_Toc212798326"/>
      <w:r>
        <w:rPr>
          <w:rFonts w:hint="eastAsia"/>
        </w:rPr>
        <w:t>规划分区</w:t>
      </w:r>
      <w:bookmarkEnd w:id="62"/>
    </w:p>
    <w:p>
      <w:pPr>
        <w:pStyle w:val="3"/>
      </w:pPr>
      <w:bookmarkStart w:id="63" w:name="_Toc208238267"/>
      <w:r>
        <w:rPr>
          <w:rFonts w:hint="eastAsia"/>
        </w:rPr>
        <w:t>国土空间开发保护总体格局</w:t>
      </w:r>
      <w:bookmarkEnd w:id="63"/>
    </w:p>
    <w:p>
      <w:pPr>
        <w:pStyle w:val="4"/>
        <w:spacing w:before="195" w:after="195"/>
      </w:pPr>
      <w:r>
        <w:rPr>
          <w:rFonts w:hint="eastAsia"/>
        </w:rPr>
        <w:t>国土空间开发保护总体格局</w:t>
      </w:r>
    </w:p>
    <w:p>
      <w:pPr>
        <w:spacing w:before="65" w:after="120"/>
        <w:ind w:firstLine="640"/>
      </w:pPr>
      <w:r>
        <w:rPr>
          <w:rFonts w:hint="eastAsia"/>
        </w:rPr>
        <w:t>融合三生空间，兼顾保护与发展，构建“两轴一心多节点，三区一廊”的生态化集约化的国土空间开发保护总体格局。</w:t>
      </w:r>
    </w:p>
    <w:p>
      <w:pPr>
        <w:spacing w:before="65" w:after="120"/>
        <w:ind w:firstLine="640"/>
      </w:pPr>
      <w:r>
        <w:rPr>
          <w:rFonts w:hint="eastAsia"/>
        </w:rPr>
        <w:t>两轴：指以沿</w:t>
      </w:r>
      <w:r>
        <w:t>G241、老G312串联各村的城镇发展轴和沿X007和G312形成的</w:t>
      </w:r>
      <w:r>
        <w:rPr>
          <w:rFonts w:hint="eastAsia"/>
        </w:rPr>
        <w:t>城乡</w:t>
      </w:r>
      <w:r>
        <w:t>发展轴；</w:t>
      </w:r>
    </w:p>
    <w:p>
      <w:pPr>
        <w:spacing w:before="65" w:after="120"/>
        <w:ind w:firstLine="640"/>
      </w:pPr>
      <w:r>
        <w:t>一心</w:t>
      </w:r>
      <w:r>
        <w:rPr>
          <w:rFonts w:hint="eastAsia"/>
        </w:rPr>
        <w:t>：</w:t>
      </w:r>
      <w:r>
        <w:t>赵店乡集镇区形成的发展核心；</w:t>
      </w:r>
    </w:p>
    <w:p>
      <w:pPr>
        <w:spacing w:before="65" w:after="120"/>
        <w:ind w:firstLine="640"/>
      </w:pPr>
      <w:r>
        <w:t>多节点</w:t>
      </w:r>
      <w:r>
        <w:rPr>
          <w:rFonts w:hint="eastAsia"/>
        </w:rPr>
        <w:t>：</w:t>
      </w:r>
      <w:r>
        <w:t>指黄营村、莲花村、聂岗村、花凹村、张庄村、范营村形成的发展节点。</w:t>
      </w:r>
    </w:p>
    <w:p>
      <w:pPr>
        <w:spacing w:before="65" w:after="120"/>
        <w:ind w:firstLine="640"/>
      </w:pPr>
      <w:r>
        <w:rPr>
          <w:rFonts w:hint="eastAsia"/>
        </w:rPr>
        <w:t>三区：主要指西部生态涵养区、中部农业发展区、东部农业发展区；</w:t>
      </w:r>
      <w:r>
        <w:t xml:space="preserve"> </w:t>
      </w:r>
    </w:p>
    <w:p>
      <w:pPr>
        <w:spacing w:before="65" w:after="120"/>
        <w:ind w:firstLine="640"/>
      </w:pPr>
      <w:r>
        <w:rPr>
          <w:rFonts w:hint="eastAsia"/>
        </w:rPr>
        <w:t>一</w:t>
      </w:r>
      <w:r>
        <w:t>廊：以湍河</w:t>
      </w:r>
      <w:r>
        <w:rPr>
          <w:rFonts w:hint="eastAsia"/>
        </w:rPr>
        <w:t>为生态基底</w:t>
      </w:r>
      <w:r>
        <w:t>形成的生态廊道</w:t>
      </w:r>
      <w:r>
        <w:rPr>
          <w:rFonts w:hint="eastAsia"/>
        </w:rPr>
        <w:t>。</w:t>
      </w:r>
    </w:p>
    <w:p>
      <w:pPr>
        <w:pStyle w:val="3"/>
      </w:pPr>
      <w:bookmarkStart w:id="64" w:name="_Toc208238268"/>
      <w:r>
        <w:rPr>
          <w:rFonts w:hint="eastAsia"/>
        </w:rPr>
        <w:t>规划分区与用途管制</w:t>
      </w:r>
      <w:bookmarkEnd w:id="64"/>
    </w:p>
    <w:p>
      <w:pPr>
        <w:pStyle w:val="4"/>
        <w:spacing w:before="195" w:after="195"/>
      </w:pPr>
      <w:r>
        <w:rPr>
          <w:rFonts w:hint="eastAsia"/>
        </w:rPr>
        <w:t>生态保护区</w:t>
      </w:r>
    </w:p>
    <w:p>
      <w:pPr>
        <w:pStyle w:val="5"/>
        <w:ind w:firstLine="640"/>
      </w:pPr>
      <w:r>
        <w:t>生态</w:t>
      </w:r>
      <w:r>
        <w:rPr>
          <w:rFonts w:hint="eastAsia"/>
        </w:rPr>
        <w:t>保护</w:t>
      </w:r>
      <w:r>
        <w:t>区划定</w:t>
      </w:r>
    </w:p>
    <w:p>
      <w:pPr>
        <w:spacing w:before="65"/>
        <w:ind w:firstLine="640"/>
      </w:pPr>
      <w:r>
        <w:rPr>
          <w:rFonts w:hint="eastAsia"/>
          <w:lang w:bidi="ar"/>
        </w:rPr>
        <w:t>依据上位规划传导，并结合赵店乡实际情况，落实的生态保护红线，全乡划定生态保护区面积</w:t>
      </w:r>
      <w:r>
        <w:rPr>
          <w:lang w:bidi="ar"/>
        </w:rPr>
        <w:t>207.72公顷，占全域面积的2.15%</w:t>
      </w:r>
      <w:r>
        <w:rPr>
          <w:rFonts w:hint="eastAsia"/>
          <w:lang w:bidi="ar"/>
        </w:rPr>
        <w:t>。</w:t>
      </w:r>
    </w:p>
    <w:p>
      <w:pPr>
        <w:pStyle w:val="5"/>
        <w:ind w:firstLine="640"/>
      </w:pPr>
      <w:r>
        <w:rPr>
          <w:rFonts w:hint="eastAsia"/>
        </w:rPr>
        <w:t>管控规则</w:t>
      </w:r>
    </w:p>
    <w:p>
      <w:pPr>
        <w:ind w:firstLine="640"/>
      </w:pPr>
      <w:r>
        <w:rPr>
          <w:rFonts w:hint="eastAsia"/>
        </w:rPr>
        <w:t>生态保护区内国土空间用途准入、退出按照《中共中央办公厅国务院办公厅关于划定并严守生态保护红线的若干意见》、《自然资源部生态环境部</w:t>
      </w:r>
      <w:r>
        <w:t xml:space="preserve"> 国家林业和草原局关于加强生态保护红线管理的通知（试行）》、《河南省生态保护红线管理办法》、《河南省生态保护红线实施细则》以及生态保护红线相关法律法规进行管控。</w:t>
      </w:r>
    </w:p>
    <w:p>
      <w:pPr>
        <w:ind w:firstLine="640"/>
      </w:pPr>
      <w:r>
        <w:rPr>
          <w:rFonts w:hint="eastAsia"/>
        </w:rPr>
        <w:t>生态保护红线内，自然保护地核心保护区原则上禁止人为活动，其他区域严格禁止不符合主体功能定位的开发性、生产性建设活动。生态保护红线内各类自然保护地，饮用水水源地保护区等禁止开发区域的管理，同时执行相关法律法规规定。</w:t>
      </w:r>
    </w:p>
    <w:p>
      <w:pPr>
        <w:pStyle w:val="4"/>
        <w:spacing w:before="195" w:after="195"/>
      </w:pPr>
      <w:r>
        <w:rPr>
          <w:rFonts w:hint="eastAsia"/>
        </w:rPr>
        <w:t>生态控制区</w:t>
      </w:r>
    </w:p>
    <w:p>
      <w:pPr>
        <w:ind w:firstLine="640"/>
      </w:pPr>
      <w:r>
        <w:rPr>
          <w:rFonts w:hint="eastAsia"/>
        </w:rPr>
        <w:t>1</w:t>
      </w:r>
      <w:r>
        <w:t>.生态控制区划定</w:t>
      </w:r>
    </w:p>
    <w:p>
      <w:pPr>
        <w:spacing w:before="65"/>
        <w:ind w:firstLine="640"/>
      </w:pPr>
      <w:bookmarkStart w:id="65" w:name="_Hlk206603536"/>
      <w:r>
        <w:rPr>
          <w:rFonts w:hint="eastAsia"/>
          <w:lang w:bidi="ar"/>
        </w:rPr>
        <w:t>依据上位规划传导，并结合赵店乡实际情况，局部进行优化，</w:t>
      </w:r>
      <w:bookmarkEnd w:id="65"/>
      <w:r>
        <w:rPr>
          <w:rFonts w:hint="eastAsia"/>
          <w:lang w:bidi="ar"/>
        </w:rPr>
        <w:t>全乡划定生态控制区面积</w:t>
      </w:r>
      <w:r>
        <w:rPr>
          <w:lang w:bidi="ar"/>
        </w:rPr>
        <w:t>533.13公顷，占全域面积的5.51%</w:t>
      </w:r>
      <w:r>
        <w:rPr>
          <w:rFonts w:hint="eastAsia"/>
          <w:lang w:bidi="ar"/>
        </w:rPr>
        <w:t>。</w:t>
      </w:r>
    </w:p>
    <w:p>
      <w:pPr>
        <w:ind w:firstLine="640"/>
      </w:pPr>
      <w:r>
        <w:rPr>
          <w:rFonts w:hint="eastAsia"/>
        </w:rPr>
        <w:t>2</w:t>
      </w:r>
      <w:r>
        <w:t>.</w:t>
      </w:r>
      <w:bookmarkStart w:id="66" w:name="OLE_LINK10"/>
      <w:r>
        <w:t>管控规则</w:t>
      </w:r>
      <w:bookmarkEnd w:id="66"/>
    </w:p>
    <w:p>
      <w:pPr>
        <w:spacing w:before="65"/>
        <w:ind w:firstLine="640"/>
      </w:pPr>
      <w:r>
        <w:rPr>
          <w:rFonts w:hint="eastAsia"/>
          <w:lang w:bidi="ar"/>
        </w:rPr>
        <w:t>（1）用途准入</w:t>
      </w:r>
    </w:p>
    <w:p>
      <w:pPr>
        <w:spacing w:before="65"/>
        <w:ind w:firstLine="640"/>
      </w:pPr>
      <w:r>
        <w:rPr>
          <w:rFonts w:hint="eastAsia"/>
          <w:lang w:bidi="ar"/>
        </w:rPr>
        <w:t>鼓励依据国土空间规划及其他相关规划，按照自然恢复为主、人工修复为辅的原则，实施生态修复工程，提升生态功能。严格限制农业开发占用生态控制区，在不涉及</w:t>
      </w:r>
      <w:r>
        <w:rPr>
          <w:lang w:bidi="ar"/>
        </w:rPr>
        <w:t>天然林、公益林</w:t>
      </w:r>
      <w:r>
        <w:rPr>
          <w:rFonts w:hint="eastAsia"/>
          <w:lang w:bidi="ar"/>
        </w:rPr>
        <w:t>、水域的前提下，经评估有利于提升生态功能的，可依据国土空间规划或其他相关规划开展土地整治新增耕地。</w:t>
      </w:r>
    </w:p>
    <w:p>
      <w:pPr>
        <w:spacing w:before="65"/>
        <w:ind w:firstLine="640"/>
      </w:pPr>
      <w:r>
        <w:rPr>
          <w:rFonts w:hint="eastAsia"/>
          <w:lang w:bidi="ar"/>
        </w:rPr>
        <w:t>严控新增建设占用生态控制区，建设用途准入应符合国土空间规划和其他相关规划。各类风景名胜区等必要的配套设施建设、符合区域功能定位的旅游服务设施、道路交通基础设施、水利市政基础设施、公益性设施以及其他必要的特殊设施建设必须占用的，需做好选址论证，严格控制建筑规模与开发强度。</w:t>
      </w:r>
    </w:p>
    <w:p>
      <w:pPr>
        <w:spacing w:before="65"/>
        <w:ind w:firstLine="640"/>
      </w:pPr>
      <w:r>
        <w:rPr>
          <w:rFonts w:hint="eastAsia"/>
          <w:lang w:bidi="ar"/>
        </w:rPr>
        <w:t>（2）用途退出</w:t>
      </w:r>
    </w:p>
    <w:p>
      <w:pPr>
        <w:spacing w:before="65"/>
        <w:ind w:firstLine="640"/>
        <w:rPr>
          <w:lang w:bidi="ar"/>
        </w:rPr>
      </w:pPr>
      <w:r>
        <w:rPr>
          <w:rFonts w:hint="eastAsia"/>
          <w:lang w:bidi="ar"/>
        </w:rPr>
        <w:t>生态控制区内原有的各种不符合生态保护要求、防洪安全的生产、开发活动应当逐步退出，并进行生态修复，退出不应对生态环境造成重大影响；对区内主要保护对象及其栖息地环境造成的负面影响轻微或可控制；符合国土空间规划和其他相关规划。对国有林场和坡度25度以上已经开垦种植的林地要逐步还林。对于现状建设，应当进行评估后制定分类处置方案：对于违法建设和经评估对生态保护存在不利影响的，应当逐步退出；对于历史形成的合法现状建设用地，经评估对生态环境无影响的，可予以保留，但不得随意改变用途或进行改扩建。</w:t>
      </w:r>
    </w:p>
    <w:p>
      <w:pPr>
        <w:spacing w:before="65"/>
        <w:ind w:firstLine="640"/>
      </w:pPr>
      <w:r>
        <w:rPr>
          <w:rFonts w:hint="eastAsia"/>
        </w:rPr>
        <w:t>“三线一单”生态环境分区管控划定的一般生态空间管控要求：禁止在公益林内放牧、开垦、采石、挖沙取土、堆放废弃物，以及违反操作技术规程采脂、挖笋、掘根、剥树皮、过度修枝等毁林行为。禁止向公益林内排放污染物。</w:t>
      </w:r>
    </w:p>
    <w:p>
      <w:pPr>
        <w:pStyle w:val="4"/>
        <w:spacing w:before="195" w:after="195"/>
      </w:pPr>
      <w:r>
        <w:rPr>
          <w:rFonts w:hint="eastAsia"/>
        </w:rPr>
        <w:t>农田保护区</w:t>
      </w:r>
    </w:p>
    <w:p>
      <w:pPr>
        <w:ind w:firstLine="640"/>
      </w:pPr>
      <w:r>
        <w:rPr>
          <w:rFonts w:hint="eastAsia"/>
        </w:rPr>
        <w:t>1</w:t>
      </w:r>
      <w:r>
        <w:t>.农田保护区划定</w:t>
      </w:r>
    </w:p>
    <w:p>
      <w:pPr>
        <w:spacing w:before="65"/>
        <w:ind w:firstLine="640"/>
      </w:pPr>
      <w:bookmarkStart w:id="67" w:name="_Hlk152319961"/>
      <w:r>
        <w:rPr>
          <w:rFonts w:hint="eastAsia"/>
          <w:lang w:bidi="ar"/>
        </w:rPr>
        <w:t>全乡划定农田保护区面积</w:t>
      </w:r>
      <w:r>
        <w:rPr>
          <w:lang w:bidi="ar"/>
        </w:rPr>
        <w:t>5403.45公顷，占全域面积的55.89%</w:t>
      </w:r>
      <w:r>
        <w:rPr>
          <w:rFonts w:hint="eastAsia"/>
          <w:lang w:bidi="ar"/>
        </w:rPr>
        <w:t>。</w:t>
      </w:r>
    </w:p>
    <w:bookmarkEnd w:id="67"/>
    <w:p>
      <w:pPr>
        <w:ind w:firstLine="640"/>
      </w:pPr>
      <w:r>
        <w:rPr>
          <w:rFonts w:hint="eastAsia"/>
        </w:rPr>
        <w:t>2</w:t>
      </w:r>
      <w:r>
        <w:t>.管控规则</w:t>
      </w:r>
    </w:p>
    <w:p>
      <w:pPr>
        <w:spacing w:before="65"/>
        <w:ind w:firstLine="640"/>
      </w:pPr>
      <w:r>
        <w:rPr>
          <w:rFonts w:hint="eastAsia"/>
          <w:lang w:bidi="ar"/>
        </w:rPr>
        <w:t>（1）用途准入</w:t>
      </w:r>
    </w:p>
    <w:p>
      <w:pPr>
        <w:spacing w:before="65"/>
        <w:ind w:firstLine="640"/>
      </w:pPr>
      <w:r>
        <w:rPr>
          <w:rFonts w:hint="eastAsia"/>
        </w:rPr>
        <w:t>农田保护区应重点用于粮食生产，按照《自然资源部 农业农村部关于加强和改进永久基本农田保护工作的通知》第（六）款的规定严格规范永久基本农田上的农业生产活动。</w:t>
      </w:r>
    </w:p>
    <w:p>
      <w:pPr>
        <w:spacing w:before="65"/>
        <w:ind w:firstLine="640"/>
      </w:pPr>
      <w:r>
        <w:rPr>
          <w:rFonts w:hint="eastAsia"/>
        </w:rPr>
        <w:t>农田保护区内鼓励依据国土空间规划、土地整治规划等相关规划开展高标准农田建设、永久基本农田集中连片整治、即可恢复属性地类耕地功能恢复等整治活动，提高永久基本农田质量，引导区内废弃建设用地、其他农用地整治为耕地，区内符合条件的一般耕地应优先划入永久基本农田储备区。</w:t>
      </w:r>
    </w:p>
    <w:p>
      <w:pPr>
        <w:spacing w:before="65"/>
        <w:ind w:firstLine="640"/>
      </w:pPr>
      <w:r>
        <w:rPr>
          <w:rFonts w:hint="eastAsia"/>
        </w:rPr>
        <w:t>农田保护区内限制准入农业设施建设用地，农业设施建设用地不再使用的，必须恢复原用途。</w:t>
      </w:r>
    </w:p>
    <w:p>
      <w:pPr>
        <w:spacing w:before="65"/>
        <w:ind w:firstLine="640"/>
      </w:pPr>
      <w:r>
        <w:rPr>
          <w:rFonts w:hint="eastAsia"/>
        </w:rPr>
        <w:t>农田保护区限制转变为林地、湿地、水域等用途，按照《自然资源部 农业农村部关于加强和改进永久基本农田保护工作的通知》第（九）款的规定协调安排生态建设项目。</w:t>
      </w:r>
    </w:p>
    <w:p>
      <w:pPr>
        <w:spacing w:before="65"/>
        <w:ind w:firstLine="640"/>
      </w:pPr>
      <w:r>
        <w:rPr>
          <w:rFonts w:hint="eastAsia"/>
        </w:rPr>
        <w:t>农田保护区内的永久基本农田实行正面清单准入，在符合国土空间规划和其他相关规划的前提下，允许占用永久基本农田的重大项目、临时用地和矿业权按照《自然资源部关于做好占用永久基本农田重大建设项目用地预审的通知》第一款以及《自然资源部 农业农村部关于加强和改进永久基本农田保护工作的通知》第（七）款、第（八）款执行。</w:t>
      </w:r>
    </w:p>
    <w:p>
      <w:pPr>
        <w:spacing w:before="65"/>
        <w:ind w:firstLine="640"/>
      </w:pPr>
      <w:r>
        <w:rPr>
          <w:rFonts w:hint="eastAsia"/>
          <w:lang w:bidi="ar"/>
        </w:rPr>
        <w:t>（2）用途退出</w:t>
      </w:r>
    </w:p>
    <w:p>
      <w:pPr>
        <w:spacing w:before="65"/>
        <w:ind w:firstLine="640"/>
      </w:pPr>
      <w:r>
        <w:rPr>
          <w:rFonts w:hint="eastAsia"/>
          <w:lang w:bidi="ar"/>
        </w:rPr>
        <w:t>不符合农田保护区准入规则、违法违规占用永久基本农田的用途，应按照国土空间规划、土地整治规划等相关规划有序退出，并限期恢复种植条件，规划期间确实不能恢复种植条件的，经多部门联合论证，允许保留现状用途，但不得扩大面积，并补划相同数量、相当质量的永久基本农田。</w:t>
      </w:r>
    </w:p>
    <w:p>
      <w:pPr>
        <w:pStyle w:val="4"/>
        <w:spacing w:before="195" w:after="195"/>
      </w:pPr>
      <w:r>
        <w:rPr>
          <w:rFonts w:hint="eastAsia"/>
        </w:rPr>
        <w:t>城镇发展区</w:t>
      </w:r>
    </w:p>
    <w:p>
      <w:pPr>
        <w:ind w:firstLine="640"/>
      </w:pPr>
      <w:r>
        <w:rPr>
          <w:rFonts w:hint="eastAsia"/>
        </w:rPr>
        <w:t>1</w:t>
      </w:r>
      <w:r>
        <w:t>.城镇发展区划定</w:t>
      </w:r>
    </w:p>
    <w:p>
      <w:pPr>
        <w:spacing w:before="65"/>
        <w:ind w:firstLine="640"/>
      </w:pPr>
      <w:bookmarkStart w:id="68" w:name="_Hlk152319991"/>
      <w:r>
        <w:rPr>
          <w:rFonts w:hint="eastAsia"/>
        </w:rPr>
        <w:t>全乡划定城镇发展区面积</w:t>
      </w:r>
      <w:r>
        <w:t>36.58公顷，全部</w:t>
      </w:r>
      <w:r>
        <w:rPr>
          <w:rFonts w:hint="eastAsia"/>
        </w:rPr>
        <w:t>位于中心城区内城镇集中建设区</w:t>
      </w:r>
      <w:r>
        <w:t>，占全域面积的0.38%</w:t>
      </w:r>
      <w:r>
        <w:rPr>
          <w:rFonts w:hint="eastAsia"/>
        </w:rPr>
        <w:t>。城镇发展区主要用于城镇建设，是开展城镇开发建设行为的核心区域。</w:t>
      </w:r>
    </w:p>
    <w:bookmarkEnd w:id="68"/>
    <w:p>
      <w:pPr>
        <w:pStyle w:val="4"/>
      </w:pPr>
      <w:r>
        <w:rPr>
          <w:rFonts w:hint="eastAsia"/>
        </w:rPr>
        <w:t>乡村发展区</w:t>
      </w:r>
    </w:p>
    <w:p>
      <w:pPr>
        <w:spacing w:before="65"/>
        <w:ind w:firstLine="640"/>
      </w:pPr>
      <w:bookmarkStart w:id="69" w:name="_Hlk152837370"/>
      <w:r>
        <w:rPr>
          <w:rFonts w:hint="eastAsia"/>
          <w:lang w:bidi="ar"/>
        </w:rPr>
        <w:t>全乡划定乡村发展区面积</w:t>
      </w:r>
      <w:r>
        <w:rPr>
          <w:lang w:bidi="ar"/>
        </w:rPr>
        <w:t>3486.83公顷，占全域面积的36.07%</w:t>
      </w:r>
      <w:r>
        <w:rPr>
          <w:rFonts w:hint="eastAsia"/>
          <w:lang w:bidi="ar"/>
        </w:rPr>
        <w:t>。乡村发展区包含村庄建设区、一般农业区等二级规划分区。</w:t>
      </w:r>
    </w:p>
    <w:bookmarkEnd w:id="69"/>
    <w:p>
      <w:pPr>
        <w:ind w:firstLine="640"/>
      </w:pPr>
      <w:bookmarkStart w:id="70" w:name="_Hlk200561984"/>
      <w:r>
        <w:rPr>
          <w:rFonts w:hint="eastAsia"/>
        </w:rPr>
        <w:t>1</w:t>
      </w:r>
      <w:r>
        <w:t>.</w:t>
      </w:r>
      <w:r>
        <w:rPr>
          <w:rFonts w:hint="eastAsia"/>
        </w:rPr>
        <w:t>村庄建设区</w:t>
      </w:r>
    </w:p>
    <w:p>
      <w:pPr>
        <w:spacing w:before="65"/>
        <w:ind w:firstLine="640"/>
      </w:pPr>
      <w:r>
        <w:rPr>
          <w:rFonts w:hint="eastAsia"/>
        </w:rPr>
        <w:t>全乡划定村庄建设区面积</w:t>
      </w:r>
      <w:r>
        <w:t>1043.12公顷，占全域</w:t>
      </w:r>
      <w:r>
        <w:rPr>
          <w:rFonts w:hint="eastAsia"/>
        </w:rPr>
        <w:t>乡村发展区</w:t>
      </w:r>
      <w:r>
        <w:t>面积的10.79%。</w:t>
      </w:r>
    </w:p>
    <w:bookmarkEnd w:id="70"/>
    <w:p>
      <w:pPr>
        <w:spacing w:before="65"/>
        <w:ind w:firstLine="640"/>
      </w:pPr>
      <w:r>
        <w:rPr>
          <w:lang w:bidi="ar"/>
        </w:rPr>
        <w:t>（</w:t>
      </w:r>
      <w:r>
        <w:rPr>
          <w:rFonts w:hint="eastAsia"/>
          <w:lang w:bidi="ar"/>
        </w:rPr>
        <w:t>1）用途准入</w:t>
      </w:r>
    </w:p>
    <w:p>
      <w:pPr>
        <w:spacing w:before="65"/>
        <w:ind w:firstLine="640"/>
      </w:pPr>
      <w:r>
        <w:rPr>
          <w:rFonts w:hint="eastAsia"/>
          <w:lang w:bidi="ar"/>
        </w:rPr>
        <w:t>村庄建设区的准入应符合国土空间规划和其他相关规划。在符合国土空间规划和其他相关规划的前提下，村庄建设区准入宅基地、农村公共服务设施、交通市政基础设施、农产品加工仓储、农家乐、民宿、创意办公、休闲农业、乡村旅游配套设施等农村生产、生活相关的用途。</w:t>
      </w:r>
    </w:p>
    <w:p>
      <w:pPr>
        <w:spacing w:before="65"/>
        <w:ind w:firstLine="640"/>
      </w:pPr>
      <w:r>
        <w:rPr>
          <w:rFonts w:hint="eastAsia"/>
          <w:lang w:bidi="ar"/>
        </w:rPr>
        <w:t>已批准村庄规划覆盖的区域，村庄建设区的准入应符合村庄规划的要求，优先保障农村宅基地和公共服务设施用地的建设需求，宅基地建设应依法落实“一户一宅”要求，遵守地方宅基地建设标准；公共服务设施应严格按照国土空间规划明确的公共服务设施建设标准和布局要求进行建设。</w:t>
      </w:r>
    </w:p>
    <w:p>
      <w:pPr>
        <w:spacing w:before="65"/>
        <w:ind w:firstLine="640"/>
      </w:pPr>
      <w:r>
        <w:rPr>
          <w:lang w:bidi="ar"/>
        </w:rPr>
        <w:t>（</w:t>
      </w:r>
      <w:r>
        <w:rPr>
          <w:rFonts w:hint="eastAsia"/>
          <w:lang w:bidi="ar"/>
        </w:rPr>
        <w:t>2）用途退出</w:t>
      </w:r>
    </w:p>
    <w:p>
      <w:pPr>
        <w:spacing w:before="65"/>
        <w:ind w:firstLine="640"/>
      </w:pPr>
      <w:r>
        <w:rPr>
          <w:rFonts w:hint="eastAsia"/>
          <w:lang w:bidi="ar"/>
        </w:rPr>
        <w:t>对村民生产、生活有负面影响的生产、开发活动应当通过国土空间规划的编制和实施逐步退出。</w:t>
      </w:r>
    </w:p>
    <w:p>
      <w:pPr>
        <w:ind w:firstLine="640"/>
      </w:pPr>
      <w:bookmarkStart w:id="71" w:name="_Hlk200561993"/>
      <w:r>
        <w:rPr>
          <w:rFonts w:hint="eastAsia"/>
        </w:rPr>
        <w:t>2</w:t>
      </w:r>
      <w:r>
        <w:t>.</w:t>
      </w:r>
      <w:r>
        <w:rPr>
          <w:rFonts w:hint="eastAsia"/>
        </w:rPr>
        <w:t>一般农业区</w:t>
      </w:r>
    </w:p>
    <w:p>
      <w:pPr>
        <w:spacing w:before="65"/>
        <w:ind w:firstLine="640"/>
      </w:pPr>
      <w:r>
        <w:rPr>
          <w:rFonts w:hint="eastAsia"/>
          <w:lang w:bidi="ar"/>
        </w:rPr>
        <w:t>全乡划定一般农业区面积</w:t>
      </w:r>
      <w:r>
        <w:rPr>
          <w:lang w:bidi="ar"/>
        </w:rPr>
        <w:t>2443.71公顷，占全域乡村发展区面积的25.28 %。</w:t>
      </w:r>
    </w:p>
    <w:bookmarkEnd w:id="71"/>
    <w:p>
      <w:pPr>
        <w:spacing w:before="65"/>
        <w:ind w:firstLine="640"/>
      </w:pPr>
      <w:r>
        <w:rPr>
          <w:lang w:bidi="ar"/>
        </w:rPr>
        <w:t>（</w:t>
      </w:r>
      <w:r>
        <w:rPr>
          <w:rFonts w:hint="eastAsia"/>
          <w:lang w:bidi="ar"/>
        </w:rPr>
        <w:t>1）用途准入</w:t>
      </w:r>
    </w:p>
    <w:p>
      <w:pPr>
        <w:spacing w:before="65"/>
        <w:ind w:firstLine="640"/>
        <w:rPr>
          <w:lang w:bidi="ar"/>
        </w:rPr>
      </w:pPr>
      <w:r>
        <w:rPr>
          <w:rFonts w:hint="eastAsia"/>
          <w:lang w:bidi="ar"/>
        </w:rPr>
        <w:t>一般农业区中的耕地按照《土地管理法》、《土地管理法实施条例》、《关于坚决制止耕地“非农化”防止耕地“非粮化”稳定发展粮食生产的意见》等法律法规、文件的要求进行管控。</w:t>
      </w:r>
    </w:p>
    <w:p>
      <w:pPr>
        <w:spacing w:before="65"/>
        <w:ind w:firstLine="640"/>
        <w:rPr>
          <w:lang w:bidi="ar"/>
        </w:rPr>
      </w:pPr>
      <w:r>
        <w:rPr>
          <w:rFonts w:hint="eastAsia"/>
          <w:lang w:bidi="ar"/>
        </w:rPr>
        <w:t>一般农业区内的耕地优先用于粮食和棉、油、糖、蔬菜等农产品生产。一般农业区内鼓励依据国土空间规划、全域土地综合整治规划等相关规划开展土地整治，提升耕地质量，促进区内建设用地、其他农用地整治为耕地。</w:t>
      </w:r>
    </w:p>
    <w:p>
      <w:pPr>
        <w:spacing w:before="65"/>
        <w:ind w:firstLine="640"/>
        <w:rPr>
          <w:lang w:bidi="ar"/>
        </w:rPr>
      </w:pPr>
      <w:r>
        <w:rPr>
          <w:rFonts w:hint="eastAsia"/>
          <w:lang w:bidi="ar"/>
        </w:rPr>
        <w:t>在符合国土空间规划和其他相关规划的前提下，一般农业区允许农业设施建设用地准入，使用后必须恢复原用途。严格控制农业设施建设用地转化为非农建设用地。</w:t>
      </w:r>
    </w:p>
    <w:p>
      <w:pPr>
        <w:spacing w:before="65"/>
        <w:ind w:firstLine="640"/>
      </w:pPr>
      <w:r>
        <w:rPr>
          <w:rFonts w:hint="eastAsia"/>
          <w:lang w:bidi="ar"/>
        </w:rPr>
        <w:t>一般农业区中的永久基本农田储备耕地在补划为永久基本农田前，按照一般耕地管理和使用，并及时进行补充更新。重大建设项目或整改补划永久基本农田的，可直接在永久基本农田储备耕地中进行补划。</w:t>
      </w:r>
    </w:p>
    <w:p>
      <w:pPr>
        <w:spacing w:before="65"/>
        <w:ind w:firstLine="640"/>
      </w:pPr>
      <w:r>
        <w:rPr>
          <w:lang w:bidi="ar"/>
        </w:rPr>
        <w:t>（</w:t>
      </w:r>
      <w:r>
        <w:rPr>
          <w:rFonts w:hint="eastAsia"/>
          <w:lang w:bidi="ar"/>
        </w:rPr>
        <w:t>2）用途退出</w:t>
      </w:r>
    </w:p>
    <w:p>
      <w:pPr>
        <w:spacing w:before="65"/>
        <w:ind w:firstLine="640"/>
      </w:pPr>
      <w:r>
        <w:rPr>
          <w:rFonts w:hint="eastAsia"/>
          <w:lang w:bidi="ar"/>
        </w:rPr>
        <w:t>下列用途应通过国土空间规划的编制和实施有序退出，并限期恢复种植条件，规划期间确实不能恢复种植条件的，允许保留现状用途，但不得扩大面积。包括：一般农业区内破坏、污染耕地的开发生产活动；违法违规占用耕地的用途；零星的建设用地等用途。</w:t>
      </w:r>
    </w:p>
    <w:p>
      <w:pPr>
        <w:spacing w:before="65"/>
        <w:ind w:firstLine="640"/>
        <w:rPr>
          <w:lang w:bidi="ar"/>
        </w:rPr>
      </w:pPr>
      <w:r>
        <w:rPr>
          <w:lang w:bidi="ar"/>
        </w:rPr>
        <w:br w:type="page"/>
      </w:r>
    </w:p>
    <w:p>
      <w:pPr>
        <w:pStyle w:val="2"/>
        <w:spacing w:before="489" w:after="489"/>
        <w:rPr>
          <w:lang w:bidi="ar"/>
        </w:rPr>
      </w:pPr>
      <w:bookmarkStart w:id="72" w:name="_Toc212798327"/>
      <w:r>
        <w:rPr>
          <w:lang w:bidi="ar"/>
        </w:rPr>
        <w:t>国土空间功能结构调整</w:t>
      </w:r>
      <w:bookmarkEnd w:id="72"/>
    </w:p>
    <w:p>
      <w:pPr>
        <w:pStyle w:val="3"/>
      </w:pPr>
      <w:bookmarkStart w:id="73" w:name="_Toc208238270"/>
      <w:r>
        <w:rPr>
          <w:rFonts w:hint="eastAsia"/>
        </w:rPr>
        <w:t>国土空间功能结构调整</w:t>
      </w:r>
      <w:bookmarkEnd w:id="73"/>
    </w:p>
    <w:bookmarkEnd w:id="47"/>
    <w:p>
      <w:pPr>
        <w:pStyle w:val="4"/>
        <w:spacing w:before="195" w:after="195"/>
      </w:pPr>
      <w:r>
        <w:rPr>
          <w:rFonts w:hint="eastAsia"/>
        </w:rPr>
        <w:t>优化国土空间功能结构调整</w:t>
      </w:r>
    </w:p>
    <w:p>
      <w:pPr>
        <w:widowControl w:val="0"/>
        <w:spacing w:before="48" w:after="163" w:afterLines="50"/>
        <w:ind w:firstLine="640"/>
        <w:rPr>
          <w:lang w:bidi="ar"/>
        </w:rPr>
      </w:pPr>
      <w:r>
        <w:rPr>
          <w:rFonts w:hint="eastAsia" w:ascii="Times New Roman" w:cs="宋体"/>
          <w:lang w:bidi="ar"/>
        </w:rPr>
        <w:t>规划</w:t>
      </w:r>
      <w:r>
        <w:rPr>
          <w:rFonts w:ascii="Times New Roman" w:cs="宋体"/>
          <w:lang w:bidi="ar"/>
        </w:rPr>
        <w:t>期内</w:t>
      </w:r>
      <w:r>
        <w:rPr>
          <w:rFonts w:hint="eastAsia" w:ascii="Times New Roman" w:cs="宋体"/>
          <w:lang w:bidi="ar"/>
        </w:rPr>
        <w:t>，耕地面积不低于</w:t>
      </w:r>
      <w:r>
        <w:t>5614.88</w:t>
      </w:r>
      <w:r>
        <w:rPr>
          <w:rFonts w:hint="eastAsia" w:ascii="Times New Roman" w:cs="宋体"/>
          <w:lang w:bidi="ar"/>
        </w:rPr>
        <w:t>公顷（耕地保有量）；</w:t>
      </w:r>
      <w:r>
        <w:rPr>
          <w:rFonts w:ascii="Times New Roman" w:cs="宋体"/>
          <w:lang w:bidi="ar"/>
        </w:rPr>
        <w:t>规划至2035年</w:t>
      </w:r>
      <w:r>
        <w:rPr>
          <w:rFonts w:hint="eastAsia" w:ascii="Times New Roman" w:cs="宋体"/>
          <w:lang w:bidi="ar"/>
        </w:rPr>
        <w:t>园地面积稳定在</w:t>
      </w:r>
      <w:r>
        <w:t>573.20</w:t>
      </w:r>
      <w:r>
        <w:rPr>
          <w:rFonts w:hint="eastAsia" w:ascii="Times New Roman" w:cs="宋体"/>
          <w:lang w:bidi="ar"/>
        </w:rPr>
        <w:t>公顷，林地面积保持稳定；草地面积适度减少；湿地保持稳定不低于</w:t>
      </w:r>
      <w:r>
        <w:t>80.92</w:t>
      </w:r>
      <w:r>
        <w:rPr>
          <w:rFonts w:hint="eastAsia" w:ascii="Times New Roman" w:cs="宋体"/>
          <w:lang w:bidi="ar"/>
        </w:rPr>
        <w:t>公顷（生态保护红线、自然保护地、河湖蓝线内的湿地地类面积）；城镇用地面积小于等于</w:t>
      </w:r>
      <w:r>
        <w:t>36.58</w:t>
      </w:r>
      <w:r>
        <w:rPr>
          <w:rFonts w:hint="eastAsia" w:ascii="Times New Roman" w:cs="宋体"/>
          <w:lang w:bidi="ar"/>
        </w:rPr>
        <w:t>公顷；</w:t>
      </w:r>
      <w:r>
        <w:rPr>
          <w:rFonts w:hint="eastAsia"/>
        </w:rPr>
        <w:t>村庄用地规模不得超过城镇开发边界外村庄用地总规模</w:t>
      </w:r>
      <w:r>
        <w:t>1043.12公顷</w:t>
      </w:r>
      <w:r>
        <w:rPr>
          <w:rFonts w:hint="eastAsia" w:ascii="Times New Roman" w:cs="宋体"/>
          <w:lang w:bidi="ar"/>
        </w:rPr>
        <w:t>；区域基础设施用地面积持续增加；其他建设用地面积保持稳定；陆地水域</w:t>
      </w:r>
      <w:r>
        <w:rPr>
          <w:rFonts w:hint="eastAsia"/>
          <w:lang w:bidi="ar"/>
        </w:rPr>
        <w:t>保持稳定</w:t>
      </w:r>
      <w:r>
        <w:rPr>
          <w:rFonts w:hint="eastAsia" w:ascii="Times New Roman" w:cs="宋体"/>
          <w:lang w:bidi="ar"/>
        </w:rPr>
        <w:t>。</w:t>
      </w:r>
    </w:p>
    <w:p>
      <w:pPr>
        <w:pStyle w:val="5"/>
        <w:ind w:firstLine="640"/>
      </w:pPr>
      <w:bookmarkStart w:id="74" w:name="_Hlk206605833"/>
      <w:r>
        <w:rPr>
          <w:rFonts w:hint="eastAsia"/>
        </w:rPr>
        <w:t>优化农用地结构</w:t>
      </w:r>
    </w:p>
    <w:bookmarkEnd w:id="74"/>
    <w:p>
      <w:pPr>
        <w:widowControl w:val="0"/>
        <w:spacing w:before="48" w:after="163" w:afterLines="50"/>
        <w:ind w:firstLine="640"/>
        <w:rPr>
          <w:lang w:bidi="ar"/>
        </w:rPr>
      </w:pPr>
      <w:r>
        <w:rPr>
          <w:rFonts w:hint="eastAsia"/>
          <w:lang w:bidi="ar"/>
        </w:rPr>
        <w:t>耕地：规划期内全乡耕地面积不低于在“三区三线”划定成果中确定的耕地保护目标</w:t>
      </w:r>
      <w:r>
        <w:t>5614.88</w:t>
      </w:r>
      <w:r>
        <w:rPr>
          <w:rFonts w:hint="eastAsia"/>
          <w:lang w:bidi="ar"/>
        </w:rPr>
        <w:t>公顷。</w:t>
      </w:r>
    </w:p>
    <w:p>
      <w:pPr>
        <w:widowControl w:val="0"/>
        <w:spacing w:before="48" w:after="163" w:afterLines="50"/>
        <w:ind w:firstLine="640"/>
        <w:rPr>
          <w:lang w:bidi="ar"/>
        </w:rPr>
      </w:pPr>
      <w:r>
        <w:rPr>
          <w:rFonts w:hint="eastAsia"/>
          <w:lang w:bidi="ar"/>
        </w:rPr>
        <w:t>园地：规划至2035年，园地面积保持稳定，争取控制在</w:t>
      </w:r>
      <w:r>
        <w:t>573.20</w:t>
      </w:r>
      <w:r>
        <w:rPr>
          <w:rFonts w:hint="eastAsia"/>
          <w:lang w:bidi="ar"/>
        </w:rPr>
        <w:t>公顷以下。</w:t>
      </w:r>
    </w:p>
    <w:p>
      <w:pPr>
        <w:widowControl w:val="0"/>
        <w:spacing w:before="48" w:after="163" w:afterLines="50"/>
        <w:ind w:firstLine="640"/>
        <w:rPr>
          <w:lang w:bidi="ar"/>
        </w:rPr>
      </w:pPr>
      <w:r>
        <w:rPr>
          <w:rFonts w:hint="eastAsia"/>
          <w:lang w:bidi="ar"/>
        </w:rPr>
        <w:t>林地：规划期内，保持稳定。</w:t>
      </w:r>
    </w:p>
    <w:p>
      <w:pPr>
        <w:widowControl w:val="0"/>
        <w:spacing w:before="48" w:after="163" w:afterLines="50"/>
        <w:ind w:firstLine="640"/>
        <w:rPr>
          <w:lang w:bidi="ar"/>
        </w:rPr>
      </w:pPr>
      <w:r>
        <w:rPr>
          <w:rFonts w:hint="eastAsia"/>
          <w:lang w:bidi="ar"/>
        </w:rPr>
        <w:t>草地：</w:t>
      </w:r>
      <w:bookmarkStart w:id="75" w:name="_Hlk152851885"/>
      <w:r>
        <w:rPr>
          <w:rFonts w:hint="eastAsia"/>
          <w:lang w:bidi="ar"/>
        </w:rPr>
        <w:t>规划至2035年，草地面积</w:t>
      </w:r>
      <w:r>
        <w:rPr>
          <w:rFonts w:hint="eastAsia" w:ascii="Times New Roman" w:cs="宋体"/>
          <w:lang w:bidi="ar"/>
        </w:rPr>
        <w:t>适度减少</w:t>
      </w:r>
      <w:r>
        <w:rPr>
          <w:rFonts w:hint="eastAsia"/>
          <w:lang w:bidi="ar"/>
        </w:rPr>
        <w:t>。</w:t>
      </w:r>
    </w:p>
    <w:bookmarkEnd w:id="75"/>
    <w:p>
      <w:pPr>
        <w:widowControl w:val="0"/>
        <w:spacing w:before="48" w:after="163" w:afterLines="50"/>
        <w:ind w:firstLine="640"/>
        <w:rPr>
          <w:lang w:bidi="ar"/>
        </w:rPr>
      </w:pPr>
      <w:r>
        <w:rPr>
          <w:rFonts w:hint="eastAsia"/>
          <w:lang w:bidi="ar"/>
        </w:rPr>
        <w:t>湿地：规划至</w:t>
      </w:r>
      <w:r>
        <w:rPr>
          <w:lang w:bidi="ar"/>
        </w:rPr>
        <w:t>2035年，</w:t>
      </w:r>
      <w:r>
        <w:rPr>
          <w:rFonts w:hint="eastAsia"/>
          <w:lang w:bidi="ar"/>
        </w:rPr>
        <w:t>湿地</w:t>
      </w:r>
      <w:r>
        <w:rPr>
          <w:lang w:bidi="ar"/>
        </w:rPr>
        <w:t>面积</w:t>
      </w:r>
      <w:r>
        <w:rPr>
          <w:rFonts w:hint="eastAsia"/>
          <w:lang w:bidi="ar"/>
        </w:rPr>
        <w:t>保持稳定，</w:t>
      </w:r>
      <w:r>
        <w:rPr>
          <w:lang w:bidi="ar"/>
        </w:rPr>
        <w:t>不低于</w:t>
      </w:r>
      <w:r>
        <w:rPr>
          <w:rFonts w:hint="eastAsia"/>
          <w:lang w:bidi="ar"/>
        </w:rPr>
        <w:t>现状湿地面积</w:t>
      </w:r>
      <w:r>
        <w:t>80.92</w:t>
      </w:r>
      <w:r>
        <w:rPr>
          <w:rFonts w:hint="eastAsia"/>
          <w:lang w:bidi="ar"/>
        </w:rPr>
        <w:t>公顷。</w:t>
      </w:r>
    </w:p>
    <w:p>
      <w:pPr>
        <w:widowControl w:val="0"/>
        <w:spacing w:before="48" w:after="163" w:afterLines="50"/>
        <w:ind w:firstLine="640"/>
        <w:rPr>
          <w:lang w:bidi="ar"/>
        </w:rPr>
      </w:pPr>
      <w:r>
        <w:rPr>
          <w:rFonts w:hint="eastAsia"/>
          <w:lang w:bidi="ar"/>
        </w:rPr>
        <w:t>农业设施建设用地：根据《河南省人民政府办公厅关于印发河南省因地制宜发展设施种植业促进农民增收三年行动方案（</w:t>
      </w:r>
      <w:r>
        <w:rPr>
          <w:lang w:bidi="ar"/>
        </w:rPr>
        <w:t>2025—2027年）的通知》，结合每个行政村的实际需求，分批分步安排100亩左右相对集中的一般耕地，保障设施种植业稳步发展。因此农业设施建设用地适度增加</w:t>
      </w:r>
      <w:r>
        <w:rPr>
          <w:rFonts w:hint="eastAsia"/>
          <w:lang w:bidi="ar"/>
        </w:rPr>
        <w:t>。</w:t>
      </w:r>
    </w:p>
    <w:p>
      <w:pPr>
        <w:pStyle w:val="5"/>
        <w:ind w:firstLine="640"/>
      </w:pPr>
      <w:bookmarkStart w:id="76" w:name="_Hlk206605851"/>
      <w:r>
        <w:rPr>
          <w:rFonts w:hint="eastAsia"/>
        </w:rPr>
        <w:t>优化建设用地结构</w:t>
      </w:r>
      <w:bookmarkEnd w:id="76"/>
    </w:p>
    <w:p>
      <w:pPr>
        <w:spacing w:before="48"/>
        <w:ind w:firstLine="640"/>
        <w:rPr>
          <w:lang w:bidi="ar"/>
        </w:rPr>
      </w:pPr>
      <w:r>
        <w:rPr>
          <w:rFonts w:hint="eastAsia"/>
          <w:lang w:bidi="ar"/>
        </w:rPr>
        <w:t>城镇用地：</w:t>
      </w:r>
      <w:r>
        <w:rPr>
          <w:lang w:bidi="ar"/>
        </w:rPr>
        <w:t>规划至2035年城镇用地规模不得超过</w:t>
      </w:r>
      <w:r>
        <w:t>36.58</w:t>
      </w:r>
      <w:r>
        <w:rPr>
          <w:lang w:bidi="ar"/>
        </w:rPr>
        <w:t>公顷</w:t>
      </w:r>
      <w:r>
        <w:rPr>
          <w:rFonts w:hint="eastAsia"/>
          <w:lang w:bidi="ar"/>
        </w:rPr>
        <w:t>。</w:t>
      </w:r>
    </w:p>
    <w:p>
      <w:pPr>
        <w:spacing w:before="48"/>
        <w:ind w:firstLine="640"/>
      </w:pPr>
      <w:r>
        <w:rPr>
          <w:rFonts w:hint="eastAsia"/>
          <w:lang w:bidi="ar"/>
        </w:rPr>
        <w:t>村庄用地：规划至2</w:t>
      </w:r>
      <w:r>
        <w:rPr>
          <w:lang w:bidi="ar"/>
        </w:rPr>
        <w:t>035</w:t>
      </w:r>
      <w:r>
        <w:rPr>
          <w:rFonts w:hint="eastAsia"/>
          <w:lang w:bidi="ar"/>
        </w:rPr>
        <w:t>年村庄用地</w:t>
      </w:r>
      <w:r>
        <w:rPr>
          <w:lang w:bidi="ar"/>
        </w:rPr>
        <w:t>规模不得超过城镇开发边界外村庄用地总规模</w:t>
      </w:r>
      <w:r>
        <w:t>1043.12</w:t>
      </w:r>
      <w:r>
        <w:rPr>
          <w:lang w:bidi="ar"/>
        </w:rPr>
        <w:t>公顷</w:t>
      </w:r>
      <w:r>
        <w:rPr>
          <w:rFonts w:hint="eastAsia"/>
          <w:lang w:bidi="ar"/>
        </w:rPr>
        <w:t>。</w:t>
      </w:r>
    </w:p>
    <w:p>
      <w:pPr>
        <w:spacing w:before="48"/>
        <w:ind w:firstLine="640"/>
      </w:pPr>
      <w:bookmarkStart w:id="77" w:name="_Hlk206605887"/>
      <w:r>
        <w:rPr>
          <w:rFonts w:hint="eastAsia"/>
          <w:lang w:bidi="ar"/>
        </w:rPr>
        <w:t>区域基础设施用地：</w:t>
      </w:r>
      <w:bookmarkEnd w:id="77"/>
      <w:r>
        <w:rPr>
          <w:rFonts w:hint="eastAsia"/>
          <w:lang w:bidi="ar"/>
        </w:rPr>
        <w:t>规划期内，严格落实国家、省、市级重点项目用地需求，规划期内区域基础设施用地根据实际需求增加。</w:t>
      </w:r>
    </w:p>
    <w:p>
      <w:pPr>
        <w:ind w:firstLine="640"/>
      </w:pPr>
      <w:bookmarkStart w:id="78" w:name="_Hlk206605897"/>
      <w:r>
        <w:t>其他建设用地</w:t>
      </w:r>
      <w:r>
        <w:rPr>
          <w:rFonts w:hint="eastAsia"/>
        </w:rPr>
        <w:t>：</w:t>
      </w:r>
      <w:r>
        <w:rPr>
          <w:rFonts w:hint="eastAsia"/>
          <w:lang w:bidi="ar"/>
        </w:rPr>
        <w:t>落实部门</w:t>
      </w:r>
      <w:r>
        <w:rPr>
          <w:lang w:bidi="ar"/>
        </w:rPr>
        <w:t>相关</w:t>
      </w:r>
      <w:r>
        <w:rPr>
          <w:rFonts w:hint="eastAsia"/>
          <w:lang w:bidi="ar"/>
        </w:rPr>
        <w:t>规划，矿产、旅游、民生等用地需求，规划期内其他建设用地适度增加。</w:t>
      </w:r>
    </w:p>
    <w:bookmarkEnd w:id="78"/>
    <w:p>
      <w:pPr>
        <w:pStyle w:val="5"/>
        <w:ind w:firstLine="640"/>
      </w:pPr>
      <w:bookmarkStart w:id="79" w:name="_Hlk206605870"/>
      <w:r>
        <w:rPr>
          <w:rFonts w:hint="eastAsia"/>
        </w:rPr>
        <w:t>合理利用其他土地</w:t>
      </w:r>
      <w:bookmarkEnd w:id="79"/>
    </w:p>
    <w:p>
      <w:pPr>
        <w:spacing w:before="48"/>
        <w:ind w:firstLine="640"/>
        <w:rPr>
          <w:lang w:bidi="ar"/>
        </w:rPr>
      </w:pPr>
      <w:r>
        <w:rPr>
          <w:rFonts w:hint="eastAsia"/>
          <w:lang w:bidi="ar"/>
        </w:rPr>
        <w:t>结按照“宜建则建、宜耕则耕、宜林则林、宜草则草、宜湿则湿”的原则，合理利用其他土地，规划期内陆地水域面积</w:t>
      </w:r>
      <w:r>
        <w:rPr>
          <w:lang w:bidi="ar"/>
        </w:rPr>
        <w:t>适度</w:t>
      </w:r>
      <w:r>
        <w:rPr>
          <w:rFonts w:hint="eastAsia"/>
          <w:lang w:bidi="ar"/>
        </w:rPr>
        <w:t>增加。</w:t>
      </w:r>
    </w:p>
    <w:p>
      <w:pPr>
        <w:spacing w:before="48"/>
        <w:ind w:firstLine="640"/>
        <w:rPr>
          <w:lang w:bidi="ar"/>
        </w:rPr>
      </w:pPr>
      <w:r>
        <w:rPr>
          <w:rFonts w:hint="eastAsia"/>
          <w:lang w:bidi="ar"/>
        </w:rPr>
        <w:t>严格河湖水域岸线管理保护，积极开展湍河、黄水河等河流以及农村水系沟渠连通治理工程，提高河道防洪能力，规划期末陆地水域面积保持稳定。</w:t>
      </w:r>
    </w:p>
    <w:p>
      <w:pPr>
        <w:pStyle w:val="3"/>
      </w:pPr>
      <w:bookmarkStart w:id="80" w:name="_Toc208238271"/>
      <w:r>
        <w:rPr>
          <w:rFonts w:hint="eastAsia"/>
        </w:rPr>
        <w:t>留白用地</w:t>
      </w:r>
      <w:bookmarkEnd w:id="80"/>
    </w:p>
    <w:p>
      <w:pPr>
        <w:pStyle w:val="4"/>
        <w:spacing w:before="195" w:after="195"/>
      </w:pPr>
      <w:r>
        <w:rPr>
          <w:rFonts w:hint="eastAsia"/>
        </w:rPr>
        <w:t>留白用地</w:t>
      </w:r>
    </w:p>
    <w:p>
      <w:pPr>
        <w:spacing w:before="65"/>
        <w:ind w:firstLine="640"/>
      </w:pPr>
      <w:r>
        <w:rPr>
          <w:rFonts w:hint="eastAsia"/>
        </w:rPr>
        <w:t>村庄规划阶段可按照现状村庄建设用地的</w:t>
      </w:r>
      <w:r>
        <w:t>5%作为规划留白，用于暂时无法确定用途或位置的乡乡域内农村公益设施、乡村文旅设施、农村一二三产融合发展用地等。规划留白不得占用永久基本农田、生态保护红线。</w:t>
      </w:r>
    </w:p>
    <w:p>
      <w:pPr>
        <w:spacing w:before="65"/>
        <w:ind w:firstLine="640"/>
      </w:pPr>
      <w:r>
        <w:br w:type="page"/>
      </w:r>
    </w:p>
    <w:p>
      <w:pPr>
        <w:spacing w:before="65"/>
        <w:ind w:firstLine="640"/>
      </w:pPr>
    </w:p>
    <w:p>
      <w:pPr>
        <w:pStyle w:val="2"/>
        <w:spacing w:before="489" w:after="489"/>
      </w:pPr>
      <w:bookmarkStart w:id="81" w:name="_Toc212798328"/>
      <w:r>
        <w:rPr>
          <w:rFonts w:hint="eastAsia"/>
        </w:rPr>
        <w:t>自然资源保护利用</w:t>
      </w:r>
      <w:bookmarkEnd w:id="81"/>
    </w:p>
    <w:p>
      <w:pPr>
        <w:pStyle w:val="3"/>
      </w:pPr>
      <w:bookmarkStart w:id="82" w:name="_Toc208238273"/>
      <w:r>
        <w:rPr>
          <w:rFonts w:hint="eastAsia"/>
        </w:rPr>
        <w:t>耕地资源保护与利用</w:t>
      </w:r>
      <w:bookmarkEnd w:id="82"/>
    </w:p>
    <w:p>
      <w:pPr>
        <w:pStyle w:val="4"/>
        <w:spacing w:before="195" w:after="195"/>
      </w:pPr>
      <w:r>
        <w:rPr>
          <w:rFonts w:hint="eastAsia"/>
        </w:rPr>
        <w:t>严格落实耕地保护责任</w:t>
      </w:r>
    </w:p>
    <w:p>
      <w:pPr>
        <w:spacing w:before="65"/>
        <w:ind w:firstLine="640"/>
        <w:rPr>
          <w:lang w:bidi="ar"/>
        </w:rPr>
      </w:pPr>
      <w:r>
        <w:rPr>
          <w:rFonts w:hint="eastAsia"/>
          <w:lang w:bidi="ar"/>
        </w:rPr>
        <w:t>落实“合理利用土地、切实保护耕地”的基本国策，落实耕地保护目标，严守耕地保护红线，保证面积不减少、质量有提升、生态有改善。</w:t>
      </w:r>
      <w:r>
        <w:rPr>
          <w:rFonts w:hint="eastAsia"/>
          <w:u w:val="single"/>
          <w:lang w:bidi="ar"/>
        </w:rPr>
        <w:t>规划至2035年，全乡耕地保有量不低于</w:t>
      </w:r>
      <w:r>
        <w:rPr>
          <w:u w:val="single"/>
          <w:lang w:bidi="ar"/>
        </w:rPr>
        <w:t>5614.88</w:t>
      </w:r>
      <w:r>
        <w:rPr>
          <w:rFonts w:hint="eastAsia"/>
          <w:u w:val="single"/>
          <w:lang w:bidi="ar"/>
        </w:rPr>
        <w:t>公顷</w:t>
      </w:r>
      <w:r>
        <w:rPr>
          <w:u w:val="single"/>
          <w:lang w:bidi="ar"/>
        </w:rPr>
        <w:t>，</w:t>
      </w:r>
      <w:r>
        <w:rPr>
          <w:rFonts w:hint="eastAsia"/>
          <w:u w:val="single"/>
          <w:lang w:bidi="ar"/>
        </w:rPr>
        <w:t>根据上位规划，永久基本农田保护面积不低于</w:t>
      </w:r>
      <w:r>
        <w:rPr>
          <w:u w:val="single"/>
          <w:lang w:bidi="ar"/>
        </w:rPr>
        <w:t>5375.35公顷，根据永久基本农田核实处置成果，实际落实永久基本农田保护红线面积5355.34公顷。</w:t>
      </w:r>
      <w:r>
        <w:rPr>
          <w:rFonts w:hint="eastAsia"/>
          <w:lang w:bidi="ar"/>
        </w:rPr>
        <w:t>严格落实</w:t>
      </w:r>
      <w:r>
        <w:rPr>
          <w:lang w:bidi="ar"/>
        </w:rPr>
        <w:t>划定</w:t>
      </w:r>
      <w:r>
        <w:rPr>
          <w:rFonts w:hint="eastAsia"/>
          <w:lang w:bidi="ar"/>
        </w:rPr>
        <w:t>的耕地保护图斑，</w:t>
      </w:r>
      <w:r>
        <w:t>足额带位置</w:t>
      </w:r>
      <w:r>
        <w:rPr>
          <w:rFonts w:hint="eastAsia"/>
        </w:rPr>
        <w:t>落实</w:t>
      </w:r>
      <w:r>
        <w:t>到</w:t>
      </w:r>
      <w:r>
        <w:rPr>
          <w:rFonts w:hint="eastAsia"/>
        </w:rPr>
        <w:t>村庄</w:t>
      </w:r>
      <w:r>
        <w:t>、到地块，上图入库、建档立卡，守住耕地保护和粮食安全底线。</w:t>
      </w:r>
      <w:r>
        <w:rPr>
          <w:rFonts w:hint="eastAsia"/>
          <w:lang w:bidi="ar"/>
        </w:rPr>
        <w:t>落实“长牙齿”的耕地保护措施，</w:t>
      </w:r>
      <w:r>
        <w:rPr>
          <w:lang w:bidi="ar"/>
        </w:rPr>
        <w:t>落实</w:t>
      </w:r>
      <w:r>
        <w:rPr>
          <w:rFonts w:hint="eastAsia"/>
          <w:lang w:bidi="ar"/>
        </w:rPr>
        <w:t>耕地保护责任目标考核机制，</w:t>
      </w:r>
      <w:r>
        <w:rPr>
          <w:lang w:bidi="ar"/>
        </w:rPr>
        <w:t>落实</w:t>
      </w:r>
      <w:r>
        <w:rPr>
          <w:rFonts w:hint="eastAsia"/>
          <w:lang w:bidi="ar"/>
        </w:rPr>
        <w:t>耕地保护党政同责、终生追责。</w:t>
      </w:r>
      <w:r>
        <w:rPr>
          <w:lang w:bidi="ar"/>
        </w:rPr>
        <w:t>严格落实</w:t>
      </w:r>
      <w:r>
        <w:rPr>
          <w:rFonts w:hint="eastAsia"/>
          <w:lang w:bidi="ar"/>
        </w:rPr>
        <w:t>推进“非农化”问题排查整治，严格控制耕地转为林地、草地、园地等其他农用地。</w:t>
      </w:r>
    </w:p>
    <w:p>
      <w:pPr>
        <w:pStyle w:val="4"/>
        <w:spacing w:before="195" w:after="195"/>
      </w:pPr>
      <w:r>
        <w:t>严格落实耕地种植用途管控</w:t>
      </w:r>
    </w:p>
    <w:p>
      <w:pPr>
        <w:spacing w:before="65"/>
        <w:ind w:firstLine="640"/>
        <w:rPr>
          <w:lang w:bidi="ar"/>
        </w:rPr>
      </w:pPr>
      <w:r>
        <w:rPr>
          <w:lang w:bidi="ar"/>
        </w:rPr>
        <w:t>落实耕地种植制度，耕地主要用于粮食和棉、油、糖、蔬菜等农产品生产以及饲草饲料生产，永久基本农田重点用于粮食生产，高标准农田原则上全部用于粮食生产。严守永久基本农田保护红线，</w:t>
      </w:r>
      <w:r>
        <w:rPr>
          <w:rFonts w:hint="eastAsia"/>
          <w:lang w:bidi="ar"/>
        </w:rPr>
        <w:t>严禁擅自占用和改变用途。全面落实田长制，建立多层级网格化管理的耕地保护监督机制，加强耕地执法监督</w:t>
      </w:r>
      <w:r>
        <w:rPr>
          <w:lang w:bidi="ar"/>
        </w:rPr>
        <w:t>,坚决遏制耕地“非农化”、防止“非粮化”。</w:t>
      </w:r>
    </w:p>
    <w:p>
      <w:pPr>
        <w:pStyle w:val="4"/>
        <w:spacing w:before="195" w:after="195"/>
      </w:pPr>
      <w:r>
        <w:rPr>
          <w:rFonts w:hint="eastAsia"/>
        </w:rPr>
        <w:t>严格落实占补平衡</w:t>
      </w:r>
    </w:p>
    <w:p>
      <w:pPr>
        <w:spacing w:before="48"/>
        <w:ind w:firstLine="640"/>
        <w:rPr>
          <w:lang w:bidi="ar"/>
        </w:rPr>
      </w:pPr>
      <w:r>
        <w:rPr>
          <w:rFonts w:hint="eastAsia"/>
          <w:lang w:bidi="ar"/>
        </w:rPr>
        <w:t>严格实行“以补定占”，在实现耕地总量动态平衡前提下，将乡域内稳定利用耕地净增加量作为下年度非农建设允许占用耕地规模上限控制，对违法建设占用耕地相应冻结补充耕地指标。将非农建设、造林种树、种果种茶等各类占用耕地行为统一纳入耕地占补平衡管理；补充耕地坚持以恢复优质耕地为主、新开垦耕地为辅的原则，在符合国土空间规划和生态环境保护要求的前提下，优先将适宜恢复为优质耕地的园地、林地、草地等其他农用地以及低效闲置建设用地统筹作为补充耕地来源。各类实施主体将非耕地垦造、恢复为耕地的，符合规定的可作为补充耕地。。</w:t>
      </w:r>
    </w:p>
    <w:p>
      <w:pPr>
        <w:spacing w:before="48"/>
        <w:ind w:firstLine="640"/>
        <w:rPr>
          <w:rFonts w:ascii="Times New Roman" w:hAnsi="Times New Roman"/>
          <w:lang w:bidi="ar"/>
        </w:rPr>
      </w:pPr>
      <w:r>
        <w:rPr>
          <w:rFonts w:hint="eastAsia"/>
          <w:lang w:bidi="ar"/>
        </w:rPr>
        <w:t>拓宽补充耕地来源，规划期内积极稳妥有序开展农村建设用地整治，重点推进乡域内“空心村”、闲置宅基地整治</w:t>
      </w:r>
      <w:r>
        <w:rPr>
          <w:rFonts w:ascii="Times New Roman" w:hAnsi="Times New Roman"/>
          <w:lang w:bidi="ar"/>
        </w:rPr>
        <w:t>，</w:t>
      </w:r>
      <w:bookmarkStart w:id="83" w:name="_Hlk207375863"/>
      <w:r>
        <w:rPr>
          <w:rFonts w:hint="eastAsia" w:ascii="Times New Roman" w:hAnsi="Times New Roman"/>
          <w:lang w:bidi="ar"/>
        </w:rPr>
        <w:t>规划期内安排农村建设用地整治补充耕地</w:t>
      </w:r>
      <w:r>
        <w:rPr>
          <w:rFonts w:ascii="Times New Roman" w:hAnsi="Times New Roman"/>
          <w:lang w:bidi="ar"/>
        </w:rPr>
        <w:t>93.64公顷，安排后备资源补充耕地任务18.31公顷</w:t>
      </w:r>
      <w:bookmarkEnd w:id="83"/>
      <w:r>
        <w:rPr>
          <w:rFonts w:ascii="Times New Roman" w:hAnsi="Times New Roman"/>
          <w:lang w:bidi="ar"/>
        </w:rPr>
        <w:t>。</w:t>
      </w:r>
    </w:p>
    <w:p>
      <w:pPr>
        <w:pStyle w:val="4"/>
        <w:spacing w:before="195" w:after="195"/>
      </w:pPr>
      <w:bookmarkStart w:id="84" w:name="_Hlk142899495"/>
      <w:bookmarkStart w:id="85" w:name="_Hlk142899869"/>
      <w:r>
        <w:t>加强耕地质量建</w:t>
      </w:r>
      <w:r>
        <w:rPr>
          <w:rFonts w:hint="eastAsia"/>
        </w:rPr>
        <w:t>设</w:t>
      </w:r>
    </w:p>
    <w:bookmarkEnd w:id="84"/>
    <w:p>
      <w:pPr>
        <w:spacing w:before="65"/>
        <w:ind w:firstLine="640"/>
        <w:rPr>
          <w:lang w:bidi="ar"/>
        </w:rPr>
      </w:pPr>
      <w:r>
        <w:rPr>
          <w:rFonts w:hint="eastAsia"/>
          <w:lang w:bidi="ar"/>
        </w:rPr>
        <w:t>积极开展土地整治项目，推进耕地质量保护与提升，落实“藏粮于地、藏粮于技”战略，加快农业生产配套田网、渠网、路网、电网等建设，提高农田抗灾减灾能力、农田排灌能力和农机作业能力，大力推进高标准农田建设，通过实施土地平整、土壤改良、地力培肥等措施，逐步把永久基本农田全部建成高标准农田。规划期内，确保集中连片的永久基本农田全部建成为高标准农田。</w:t>
      </w:r>
    </w:p>
    <w:p>
      <w:pPr>
        <w:pStyle w:val="4"/>
        <w:spacing w:before="195" w:after="195"/>
      </w:pPr>
      <w:r>
        <w:t>强化耕地生态</w:t>
      </w:r>
      <w:r>
        <w:rPr>
          <w:rFonts w:hint="eastAsia"/>
        </w:rPr>
        <w:t>保护</w:t>
      </w:r>
    </w:p>
    <w:p>
      <w:pPr>
        <w:spacing w:before="65"/>
        <w:ind w:firstLine="640"/>
        <w:rPr>
          <w:lang w:bidi="ar"/>
        </w:rPr>
      </w:pPr>
      <w:r>
        <w:rPr>
          <w:rFonts w:hint="eastAsia"/>
          <w:lang w:bidi="ar"/>
        </w:rPr>
        <w:t>合理利用水土资源，持续改善耕地生态环境，实现耕地数量、质量、生态的协调统一。大力发展绿色农业，持续推进测土配方施肥，实现化肥农药减量增效，促进农村地区畜禽粪污、地膜和农作物秸秆资源化利用，防治土壤退化。</w:t>
      </w:r>
    </w:p>
    <w:p>
      <w:pPr>
        <w:spacing w:before="65"/>
        <w:ind w:firstLine="640"/>
        <w:rPr>
          <w:lang w:bidi="ar"/>
        </w:rPr>
      </w:pPr>
      <w:r>
        <w:rPr>
          <w:rFonts w:hint="eastAsia"/>
          <w:lang w:bidi="ar"/>
        </w:rPr>
        <w:t>加大农业节水力度，扩大低耗水、高耐旱作物种植比例，开展大中型灌区高效节水灌溉配套建设，提高灌溉水利用效率。加强农田水利基础设施建设，提高耕地防灾减灾能力，及时整治复垦灾毁耕地，保障农业生产秩序。强化耕地与周边生态系统协同保护，修复完善农田防护林网和耕地生态功能，恢复田间生物群落和生态链，建设健康稳定田园生态系统。</w:t>
      </w:r>
    </w:p>
    <w:bookmarkEnd w:id="85"/>
    <w:p>
      <w:pPr>
        <w:pStyle w:val="3"/>
      </w:pPr>
      <w:bookmarkStart w:id="86" w:name="_Toc208238274"/>
      <w:r>
        <w:rPr>
          <w:rFonts w:hint="eastAsia"/>
        </w:rPr>
        <w:t>森林资源保护与利用</w:t>
      </w:r>
      <w:bookmarkEnd w:id="86"/>
    </w:p>
    <w:p>
      <w:pPr>
        <w:pStyle w:val="4"/>
        <w:spacing w:before="195" w:after="195"/>
      </w:pPr>
      <w:r>
        <w:rPr>
          <w:rFonts w:hint="eastAsia"/>
        </w:rPr>
        <w:t>落实</w:t>
      </w:r>
      <w:r>
        <w:t>森林资源</w:t>
      </w:r>
      <w:r>
        <w:rPr>
          <w:rFonts w:hint="eastAsia"/>
        </w:rPr>
        <w:t>保护任务</w:t>
      </w:r>
    </w:p>
    <w:p>
      <w:pPr>
        <w:spacing w:before="65"/>
        <w:ind w:firstLine="640"/>
      </w:pPr>
      <w:r>
        <w:rPr>
          <w:rFonts w:hint="eastAsia"/>
        </w:rPr>
        <w:t>加强乡域森林资源的保护，全面建立实施林长制，压实森林管理与保护责任，稳定林地保有量，提高森林覆盖率。重点完善西部山地丘陵区，南商高铁（规划）、浩吉铁路、宁西铁路、沪陕高速、内邓高速、嵩内高速（规划）、国道</w:t>
      </w:r>
      <w:r>
        <w:t>241、国道312等</w:t>
      </w:r>
      <w:r>
        <w:rPr>
          <w:rFonts w:hint="eastAsia"/>
        </w:rPr>
        <w:t>沿线生态防护林带，湍河、黄水河、长城河等河道和道路两侧防护林带及农田林网等重要的森林源地建设，促使赵店乡生态系统质量和稳定性进一步提升。</w:t>
      </w:r>
    </w:p>
    <w:p>
      <w:pPr>
        <w:spacing w:before="65"/>
        <w:ind w:firstLine="640"/>
      </w:pPr>
      <w:r>
        <w:rPr>
          <w:rFonts w:hint="eastAsia"/>
        </w:rPr>
        <w:t>优化林业生产布局，针对乡域长岭村、红堰村、莲花村等重点区域，精准落实绿化空间、科学开展国土绿化。至</w:t>
      </w:r>
      <w:r>
        <w:t>2035年，落实造林绿化空间3.91公顷。</w:t>
      </w:r>
    </w:p>
    <w:p>
      <w:pPr>
        <w:pStyle w:val="4"/>
        <w:spacing w:before="195" w:after="195"/>
      </w:pPr>
      <w:r>
        <w:rPr>
          <w:rFonts w:hint="eastAsia"/>
        </w:rPr>
        <w:t>落实完善</w:t>
      </w:r>
      <w:r>
        <w:t>林地分类保护</w:t>
      </w:r>
      <w:r>
        <w:rPr>
          <w:rFonts w:hint="eastAsia"/>
        </w:rPr>
        <w:t>机制</w:t>
      </w:r>
    </w:p>
    <w:p>
      <w:pPr>
        <w:spacing w:before="65"/>
        <w:ind w:firstLine="640"/>
      </w:pPr>
      <w:r>
        <w:rPr>
          <w:rFonts w:hint="eastAsia"/>
        </w:rPr>
        <w:t>全乡天然林面积</w:t>
      </w:r>
      <w:r>
        <w:t>87.85公顷，占乡域面积的0.91%，主要分布于</w:t>
      </w:r>
      <w:r>
        <w:rPr>
          <w:rFonts w:hint="eastAsia"/>
        </w:rPr>
        <w:t>长岭村等西部山地丘陵区域</w:t>
      </w:r>
      <w:r>
        <w:t>；全乡生态公益林面积31.76公顷，占乡域面积的0.33%，</w:t>
      </w:r>
      <w:r>
        <w:rPr>
          <w:rFonts w:hint="eastAsia"/>
        </w:rPr>
        <w:t>广泛</w:t>
      </w:r>
      <w:r>
        <w:t>分布于</w:t>
      </w:r>
      <w:r>
        <w:rPr>
          <w:rFonts w:hint="eastAsia"/>
        </w:rPr>
        <w:t>袁寨村、花凹村等湍河两岸区域。</w:t>
      </w:r>
    </w:p>
    <w:p>
      <w:pPr>
        <w:spacing w:before="65"/>
        <w:ind w:firstLine="640"/>
      </w:pPr>
      <w:r>
        <w:rPr>
          <w:rFonts w:hint="eastAsia"/>
        </w:rPr>
        <w:t>科学合理进行森林经营，严格遵守限额采伐和凭证采伐的管理制度，全面停止天然林商业性采伐，不得将天然林改造为人工林，不得擅自将公益林改为商品林。巩固提升生态系统碳汇能力，加强重大林业有害生物防治，保护古树名木及其自然环境。</w:t>
      </w:r>
    </w:p>
    <w:p>
      <w:pPr>
        <w:spacing w:before="65"/>
        <w:ind w:firstLine="640"/>
      </w:pPr>
      <w:r>
        <w:rPr>
          <w:rFonts w:hint="eastAsia"/>
        </w:rPr>
        <w:t>依托赵店乡丰富的森林资源，重点</w:t>
      </w:r>
      <w:r>
        <w:t>在乡域</w:t>
      </w:r>
      <w:r>
        <w:rPr>
          <w:rFonts w:hint="eastAsia"/>
        </w:rPr>
        <w:t>湍河两岸和西部推进特色经济林、林下经济、森林旅游等产业化集群建设。以赵店乡</w:t>
      </w:r>
      <w:r>
        <w:t>林果</w:t>
      </w:r>
      <w:r>
        <w:rPr>
          <w:rFonts w:hint="eastAsia"/>
        </w:rPr>
        <w:t>、中草药特色产业为</w:t>
      </w:r>
      <w:r>
        <w:t>依托</w:t>
      </w:r>
      <w:r>
        <w:rPr>
          <w:rFonts w:hint="eastAsia"/>
        </w:rPr>
        <w:t>，推动传统产业优化升级，高标准打造森林生产基地。努力推进布局区域化、经营规模化、生产标准化、发展产业化，整合优势资源，以基地建设为载体，围绕“绿色、有机”特色，发展中药材、食用菌、禽类养殖等林下经济。构建以“长岭村”和“袁寨村”为主体的森林旅游体系，重点打造深林</w:t>
      </w:r>
      <w:r>
        <w:t>观光</w:t>
      </w:r>
      <w:r>
        <w:rPr>
          <w:rFonts w:hint="eastAsia"/>
        </w:rPr>
        <w:t>旅游体验，建设和完善接待、餐饮、消防、环卫等设施，提高服务保障能力，加快森林旅游产业发展。推进林业一二三产业融合发展，加快林业产业绿色化、优质化、特色化、品牌化建设</w:t>
      </w:r>
      <w:r>
        <w:t>。</w:t>
      </w:r>
    </w:p>
    <w:p>
      <w:pPr>
        <w:pStyle w:val="3"/>
        <w:spacing w:before="326" w:beforeLines="100" w:after="326" w:afterLines="100"/>
      </w:pPr>
      <w:bookmarkStart w:id="87" w:name="_Toc186276996"/>
      <w:bookmarkStart w:id="88" w:name="_Toc208238275"/>
      <w:r>
        <w:rPr>
          <w:rFonts w:hint="eastAsia"/>
        </w:rPr>
        <w:t>湿地资源保护与利用</w:t>
      </w:r>
      <w:bookmarkEnd w:id="87"/>
      <w:bookmarkEnd w:id="88"/>
    </w:p>
    <w:p>
      <w:pPr>
        <w:pStyle w:val="4"/>
        <w:spacing w:before="195" w:after="195"/>
      </w:pPr>
      <w:r>
        <w:rPr>
          <w:rFonts w:hint="eastAsia"/>
        </w:rPr>
        <w:t>落实湿地资源保护责任</w:t>
      </w:r>
    </w:p>
    <w:p>
      <w:pPr>
        <w:spacing w:before="48"/>
        <w:ind w:firstLine="640"/>
      </w:pPr>
      <w:r>
        <w:t>加强</w:t>
      </w:r>
      <w:r>
        <w:rPr>
          <w:rFonts w:hint="eastAsia"/>
        </w:rPr>
        <w:t>乡域</w:t>
      </w:r>
      <w:r>
        <w:t>湿地资源保护</w:t>
      </w:r>
      <w:r>
        <w:rPr>
          <w:rFonts w:hint="eastAsia"/>
        </w:rPr>
        <w:t>，严格保障湿地生态空间，落实</w:t>
      </w:r>
      <w:r>
        <w:t>湿地资源</w:t>
      </w:r>
      <w:r>
        <w:rPr>
          <w:rFonts w:hint="eastAsia"/>
        </w:rPr>
        <w:t>保护</w:t>
      </w:r>
      <w:r>
        <w:t>责任。</w:t>
      </w:r>
      <w:r>
        <w:rPr>
          <w:rFonts w:hint="eastAsia"/>
        </w:rPr>
        <w:t>全乡</w:t>
      </w:r>
      <w:r>
        <w:t>湿地面积80.92</w:t>
      </w:r>
      <w:r>
        <w:rPr>
          <w:rFonts w:hint="eastAsia"/>
        </w:rPr>
        <w:t>公顷，</w:t>
      </w:r>
      <w:r>
        <w:t>主要</w:t>
      </w:r>
      <w:r>
        <w:rPr>
          <w:rFonts w:hint="eastAsia"/>
        </w:rPr>
        <w:t>分布于</w:t>
      </w:r>
      <w:bookmarkStart w:id="89" w:name="_Hlk207356649"/>
      <w:r>
        <w:rPr>
          <w:rFonts w:hint="eastAsia" w:cs="宋体"/>
        </w:rPr>
        <w:t>湍河、长城河、黄水河</w:t>
      </w:r>
      <w:r>
        <w:rPr>
          <w:rFonts w:cs="宋体"/>
        </w:rPr>
        <w:t>周边</w:t>
      </w:r>
      <w:bookmarkEnd w:id="89"/>
      <w:r>
        <w:rPr>
          <w:rFonts w:cs="宋体"/>
        </w:rPr>
        <w:t>。</w:t>
      </w:r>
    </w:p>
    <w:p>
      <w:pPr>
        <w:pStyle w:val="4"/>
        <w:spacing w:before="195" w:after="195"/>
      </w:pPr>
      <w:r>
        <w:rPr>
          <w:rFonts w:hint="eastAsia"/>
        </w:rPr>
        <w:t>加强湿地保护</w:t>
      </w:r>
      <w:r>
        <w:t>管理</w:t>
      </w:r>
    </w:p>
    <w:p>
      <w:pPr>
        <w:spacing w:before="48"/>
        <w:ind w:firstLine="640"/>
        <w:rPr>
          <w:rFonts w:cs="宋体"/>
        </w:rPr>
      </w:pPr>
      <w:r>
        <w:rPr>
          <w:rFonts w:hint="eastAsia" w:cs="宋体"/>
        </w:rPr>
        <w:t>加强</w:t>
      </w:r>
      <w:r>
        <w:rPr>
          <w:rFonts w:cs="宋体"/>
        </w:rPr>
        <w:t>湿地管理、</w:t>
      </w:r>
      <w:r>
        <w:rPr>
          <w:rFonts w:hint="eastAsia" w:cs="宋体"/>
        </w:rPr>
        <w:t>监测和</w:t>
      </w:r>
      <w:r>
        <w:rPr>
          <w:rFonts w:cs="宋体"/>
        </w:rPr>
        <w:t>科普宣教</w:t>
      </w:r>
      <w:r>
        <w:rPr>
          <w:rFonts w:hint="eastAsia" w:cs="宋体"/>
        </w:rPr>
        <w:t>，着力</w:t>
      </w:r>
      <w:r>
        <w:rPr>
          <w:rFonts w:cs="宋体"/>
        </w:rPr>
        <w:t>保护与恢复，提升湿地生态系统多样性、稳定性、持续性，层层落实湿地管理保护责任。严格控制</w:t>
      </w:r>
      <w:r>
        <w:rPr>
          <w:rFonts w:hint="eastAsia" w:cs="宋体"/>
        </w:rPr>
        <w:t>湍河、长城河、黄水河、代军河、</w:t>
      </w:r>
      <w:r>
        <w:rPr>
          <w:rFonts w:hint="eastAsia"/>
        </w:rPr>
        <w:t>螺蛳河</w:t>
      </w:r>
      <w:r>
        <w:rPr>
          <w:rFonts w:hint="eastAsia" w:cs="宋体"/>
        </w:rPr>
        <w:t>周边</w:t>
      </w:r>
      <w:r>
        <w:rPr>
          <w:rFonts w:cs="宋体"/>
        </w:rPr>
        <w:t>等河湖湿地</w:t>
      </w:r>
      <w:r>
        <w:rPr>
          <w:rFonts w:hint="eastAsia" w:cs="宋体"/>
        </w:rPr>
        <w:t>周边</w:t>
      </w:r>
      <w:r>
        <w:rPr>
          <w:rFonts w:cs="宋体"/>
        </w:rPr>
        <w:t>农业面源</w:t>
      </w:r>
      <w:r>
        <w:rPr>
          <w:rFonts w:hint="eastAsia" w:cs="宋体"/>
        </w:rPr>
        <w:t>污染</w:t>
      </w:r>
      <w:r>
        <w:rPr>
          <w:rFonts w:cs="宋体"/>
        </w:rPr>
        <w:t>、工业污染和城镇生活生产污染，定期对湿地周边区域的废弃物进行清理和集中处理，合理有序开展湿地资源生态化利用，全面保护湿地资源和实现可持续发展。</w:t>
      </w:r>
    </w:p>
    <w:p>
      <w:pPr>
        <w:pStyle w:val="3"/>
        <w:spacing w:before="326" w:beforeLines="100" w:after="326" w:afterLines="100"/>
      </w:pPr>
      <w:bookmarkStart w:id="90" w:name="_Toc208238276"/>
      <w:r>
        <w:rPr>
          <w:rFonts w:hint="eastAsia"/>
        </w:rPr>
        <w:t>自然保护地保护</w:t>
      </w:r>
      <w:bookmarkEnd w:id="90"/>
    </w:p>
    <w:p>
      <w:pPr>
        <w:pStyle w:val="4"/>
        <w:spacing w:before="195" w:after="195"/>
      </w:pPr>
      <w:r>
        <w:rPr>
          <w:rFonts w:hint="eastAsia"/>
        </w:rPr>
        <w:t>落实自然保护地保护责任</w:t>
      </w:r>
    </w:p>
    <w:p>
      <w:pPr>
        <w:spacing w:before="48"/>
        <w:ind w:firstLine="640"/>
      </w:pPr>
      <w:r>
        <w:rPr>
          <w:rFonts w:hint="eastAsia"/>
        </w:rPr>
        <w:t>落实分类科学、布局合理、保护有力、管理有效的以国家公园为主体的自然保护地体系，确保重要自然生态系统、自然遗迹、自然景观和生物多样性及其演化过程得到系统性保护，提升生态产品供给能力。充分发挥自然保护地在生态文明建设中的重大作用，推进自然保护地体系构建工作。</w:t>
      </w:r>
    </w:p>
    <w:p>
      <w:pPr>
        <w:spacing w:before="48"/>
        <w:ind w:firstLine="640"/>
      </w:pPr>
      <w:r>
        <w:rPr>
          <w:rFonts w:hint="eastAsia"/>
        </w:rPr>
        <w:t>落实上位规划，赵店乡自然保护地共两处，总面积</w:t>
      </w:r>
      <w:r>
        <w:t>3539.13公顷。其中，</w:t>
      </w:r>
      <w:r>
        <w:rPr>
          <w:rFonts w:hint="eastAsia"/>
        </w:rPr>
        <w:t>河南南阳恐龙蛋化石群国家级自然保护区</w:t>
      </w:r>
      <w:r>
        <w:t>面积2280.27公顷，分布于</w:t>
      </w:r>
      <w:r>
        <w:rPr>
          <w:rFonts w:hint="eastAsia"/>
        </w:rPr>
        <w:t>黄营</w:t>
      </w:r>
      <w:r>
        <w:t>村、</w:t>
      </w:r>
      <w:r>
        <w:rPr>
          <w:rFonts w:hint="eastAsia"/>
        </w:rPr>
        <w:t>楼房村、大峪村、莲花村、杜沟村、聂庄村</w:t>
      </w:r>
      <w:r>
        <w:t>；</w:t>
      </w:r>
      <w:r>
        <w:rPr>
          <w:rFonts w:hint="eastAsia"/>
        </w:rPr>
        <w:t>河南内乡湍河湿地省级自然保护区</w:t>
      </w:r>
      <w:r>
        <w:t>面积1258.87公顷，，分布于</w:t>
      </w:r>
      <w:r>
        <w:rPr>
          <w:rFonts w:hint="eastAsia"/>
        </w:rPr>
        <w:t>花凹村、聂岗村、袁寨村、红堰村、岗堤村</w:t>
      </w:r>
      <w:r>
        <w:t>。</w:t>
      </w:r>
    </w:p>
    <w:p>
      <w:pPr>
        <w:pStyle w:val="4"/>
      </w:pPr>
      <w:r>
        <w:t>加强自然保护地管控</w:t>
      </w:r>
    </w:p>
    <w:p>
      <w:pPr>
        <w:spacing w:before="48"/>
        <w:ind w:firstLine="640"/>
      </w:pPr>
      <w:r>
        <w:rPr>
          <w:rFonts w:hint="eastAsia"/>
        </w:rPr>
        <w:t>以加强自然生态系统原真性、完整性、系统性保护为原则，有序化解自然保护地各类矛盾冲突，大力推进山水林田湖草沙一体化保护和系统治理，强化水源涵养和生物多样性保护，维护自然生态系统健康稳定。以自然恢复为主，分区分类开展受损自然生态系统修复。基于各类自然保护地功能分区，制定建设项目负面清单与人为活动的限制要求，对自然保护地核心保护区和一般控制区实行差别化管控。</w:t>
      </w:r>
    </w:p>
    <w:p>
      <w:pPr>
        <w:spacing w:before="48"/>
        <w:ind w:firstLine="640"/>
      </w:pPr>
      <w:r>
        <w:rPr>
          <w:rFonts w:hint="eastAsia"/>
        </w:rPr>
        <w:t>位于河南南阳恐龙蛋化石群国家级自然保护区等自然保护区内的人类活动，在自然保护地整合优化方案批复前，须严格执行《自然保护区条例》规定，符合自然保护区管理的相关要求。</w:t>
      </w:r>
    </w:p>
    <w:p>
      <w:pPr>
        <w:pStyle w:val="3"/>
      </w:pPr>
      <w:bookmarkStart w:id="91" w:name="_Toc208238277"/>
      <w:r>
        <w:t>建设用地节约集约利用</w:t>
      </w:r>
      <w:bookmarkEnd w:id="91"/>
    </w:p>
    <w:p>
      <w:pPr>
        <w:pStyle w:val="4"/>
      </w:pPr>
      <w:r>
        <w:t>实行总量控制，保障建设用地需求</w:t>
      </w:r>
    </w:p>
    <w:p>
      <w:pPr>
        <w:ind w:firstLine="640"/>
      </w:pPr>
      <w:r>
        <w:t>全面落实新增建设用地与存量挖潜相结合的用地保障机制，提高土地节约集约利用水平。按照“优配增量、挖潜存量、提升质量”的总体要求，提高土地节约集约利用水平。整合零散、低效的产业用地，鼓励混合开发，优化工业、仓储等用地布局。</w:t>
      </w:r>
    </w:p>
    <w:p>
      <w:pPr>
        <w:pStyle w:val="4"/>
      </w:pPr>
      <w:r>
        <w:t>优配增量，精准新增建设用地</w:t>
      </w:r>
    </w:p>
    <w:p>
      <w:pPr>
        <w:ind w:firstLine="640"/>
      </w:pPr>
      <w:r>
        <w:rPr>
          <w:rFonts w:hint="eastAsia"/>
        </w:rPr>
        <w:t>赵店乡城镇建设用地</w:t>
      </w:r>
      <w:r>
        <w:t>36.58公顷</w:t>
      </w:r>
      <w:r>
        <w:rPr>
          <w:rFonts w:hint="eastAsia"/>
        </w:rPr>
        <w:t>，全部</w:t>
      </w:r>
      <w:r>
        <w:t>位于</w:t>
      </w:r>
      <w:r>
        <w:rPr>
          <w:rFonts w:hint="eastAsia"/>
        </w:rPr>
        <w:t>内乡县中心城区</w:t>
      </w:r>
      <w:r>
        <w:t>，主要用于</w:t>
      </w:r>
      <w:r>
        <w:rPr>
          <w:rFonts w:hint="eastAsia"/>
        </w:rPr>
        <w:t>居住用</w:t>
      </w:r>
      <w:r>
        <w:t>地、</w:t>
      </w:r>
      <w:r>
        <w:rPr>
          <w:rFonts w:hint="eastAsia"/>
        </w:rPr>
        <w:t>交通设施</w:t>
      </w:r>
      <w:r>
        <w:t>等用地。</w:t>
      </w:r>
    </w:p>
    <w:p>
      <w:pPr>
        <w:ind w:firstLine="640"/>
      </w:pPr>
      <w:r>
        <w:rPr>
          <w:rFonts w:hint="eastAsia"/>
        </w:rPr>
        <w:t>在村庄建设边界划定中，赵店乡调入的村庄建设边界指标主要用于满足乡村振兴的产业用地需求和合理的宅基地需求，在乡域调入的</w:t>
      </w:r>
      <w:r>
        <w:t>24.75公顷村庄建设边界指标中，产业用地面积为1.03公顷，宅基地面积为22.29公顷，基础设施、公共服务设施和未明确用途的用地面积为1.44公顷</w:t>
      </w:r>
      <w:r>
        <w:rPr>
          <w:rFonts w:hint="eastAsia"/>
        </w:rPr>
        <w:t>。</w:t>
      </w:r>
      <w:r>
        <w:t>在空间位置分布上，</w:t>
      </w:r>
      <w:r>
        <w:rPr>
          <w:rFonts w:hint="eastAsia"/>
        </w:rPr>
        <w:t>赵店乡</w:t>
      </w:r>
      <w:r>
        <w:t>调入的村庄建设边界指标重点向</w:t>
      </w:r>
      <w:r>
        <w:rPr>
          <w:rFonts w:hint="eastAsia"/>
        </w:rPr>
        <w:t>集镇区所在赵店村及附近的郦城村、张庄村</w:t>
      </w:r>
      <w:r>
        <w:t>等区域集聚，其中集镇区范围内调入的村庄建设边界指标为15.27公顷，约占乡域调入村庄建设边界指标总量的61.70%</w:t>
      </w:r>
      <w:r>
        <w:rPr>
          <w:rFonts w:hint="eastAsia"/>
        </w:rPr>
        <w:t>。</w:t>
      </w:r>
    </w:p>
    <w:p>
      <w:pPr>
        <w:ind w:firstLine="640"/>
      </w:pPr>
      <w:r>
        <w:rPr>
          <w:rFonts w:hint="eastAsia"/>
        </w:rPr>
        <w:t>赵店乡村庄建设边界预留机动指标</w:t>
      </w:r>
      <w:r>
        <w:t>5.26公顷</w:t>
      </w:r>
      <w:r>
        <w:rPr>
          <w:rFonts w:hint="eastAsia"/>
        </w:rPr>
        <w:t>，</w:t>
      </w:r>
      <w:r>
        <w:t>暂</w:t>
      </w:r>
      <w:r>
        <w:rPr>
          <w:rFonts w:hint="eastAsia"/>
        </w:rPr>
        <w:t>不上图落位，通过台账进行管理，用于保障暂时无法确定位置的村民居住、农村公共公益设施以及零星分散的农（矿）产品初加工、乡村文旅设施、农村新产业新业态等一二三产业融合发展用地需求。在不占用永久基本农田和生态保护红线、不破坏历史风貌和影响自然环境安全的前提下使用机动指标，可暂不做规划调整，待办理农用地转用时明确规划用地性质、规模和布局，农用地转用批准后更新国土空间规划“一张图”。</w:t>
      </w:r>
    </w:p>
    <w:p>
      <w:pPr>
        <w:pStyle w:val="4"/>
        <w:spacing w:before="195" w:after="195"/>
      </w:pPr>
      <w:bookmarkStart w:id="92" w:name="_Hlk207895873"/>
      <w:r>
        <w:rPr>
          <w:rFonts w:hint="eastAsia"/>
        </w:rPr>
        <w:t>实行总量控制，保障建设</w:t>
      </w:r>
      <w:r>
        <w:t>用地需求。</w:t>
      </w:r>
    </w:p>
    <w:p>
      <w:pPr>
        <w:ind w:firstLine="640"/>
      </w:pPr>
      <w:r>
        <w:rPr>
          <w:rFonts w:hint="eastAsia" w:cs="宋体"/>
          <w:lang w:bidi="ar"/>
        </w:rPr>
        <w:t>严</w:t>
      </w:r>
      <w:r>
        <w:rPr>
          <w:rFonts w:hint="eastAsia"/>
        </w:rPr>
        <w:t>控新增城乡用地规模。规划期末，城镇建设用地规模不超过</w:t>
      </w:r>
      <w:r>
        <w:t>36.58公顷，村</w:t>
      </w:r>
      <w:bookmarkEnd w:id="92"/>
      <w:r>
        <w:t>庄建设用地不超过1043.12公顷。严格按照城镇开发边界范围开展集中建设，凡不符合国土空间规划、国家区域政策、产业政策和供地政策的建设项目，不得开展城镇建设利用活动。精准有效配置新增指标，实现“优地优用”，加大存量挖掘潜力，推进城镇建设用地混合开发和空间复合利用。规范利用，盘活村庄建设用地。有序引导、稳妥推进村庄建设用地节约集约利用，完善鼓励机制，鼓励农村闲置宅基地有偿退出和村庄低效建设用地再利用。鼓励对依法登记的村庄建设用地进行复合</w:t>
      </w:r>
      <w:r>
        <w:rPr>
          <w:rFonts w:hint="eastAsia"/>
        </w:rPr>
        <w:t>利用，发展乡村振兴产业，提高经济收益</w:t>
      </w:r>
      <w:r>
        <w:t>。</w:t>
      </w:r>
    </w:p>
    <w:p>
      <w:pPr>
        <w:ind w:firstLine="640"/>
        <w:rPr>
          <w:rFonts w:cs="宋体"/>
          <w:lang w:bidi="ar"/>
        </w:rPr>
      </w:pPr>
      <w:r>
        <w:rPr>
          <w:rFonts w:hint="eastAsia"/>
        </w:rPr>
        <w:t>保障区域基础设施用地和其他建设用地需求</w:t>
      </w:r>
      <w:r>
        <w:t>。</w:t>
      </w:r>
      <w:r>
        <w:rPr>
          <w:rFonts w:hint="eastAsia"/>
        </w:rPr>
        <w:t>强化保障交通</w:t>
      </w:r>
      <w:r>
        <w:t>、水利、</w:t>
      </w:r>
      <w:r>
        <w:rPr>
          <w:rFonts w:hint="eastAsia"/>
        </w:rPr>
        <w:t>能源等基础</w:t>
      </w:r>
      <w:r>
        <w:t>设施用地</w:t>
      </w:r>
      <w:r>
        <w:rPr>
          <w:rFonts w:hint="eastAsia"/>
        </w:rPr>
        <w:t>需求，全力</w:t>
      </w:r>
      <w:r>
        <w:t>提升自然资源要素保障能力</w:t>
      </w:r>
      <w:r>
        <w:rPr>
          <w:rFonts w:hint="eastAsia"/>
        </w:rPr>
        <w:t>；加强</w:t>
      </w:r>
      <w:r>
        <w:t>殡葬用地保障力度，</w:t>
      </w:r>
      <w:r>
        <w:rPr>
          <w:rFonts w:hint="eastAsia"/>
        </w:rPr>
        <w:t>乡域</w:t>
      </w:r>
      <w:r>
        <w:t>范围内预留不少于</w:t>
      </w:r>
      <w:r>
        <w:rPr>
          <w:rFonts w:hint="eastAsia"/>
        </w:rPr>
        <w:t>3.33公顷</w:t>
      </w:r>
      <w:r>
        <w:t>（</w:t>
      </w:r>
      <w:r>
        <w:rPr>
          <w:rFonts w:hint="eastAsia"/>
        </w:rPr>
        <w:t>50亩</w:t>
      </w:r>
      <w:r>
        <w:t>）</w:t>
      </w:r>
      <w:r>
        <w:rPr>
          <w:rFonts w:hint="eastAsia"/>
        </w:rPr>
        <w:t>的</w:t>
      </w:r>
      <w:r>
        <w:t>公益性公墓用地，鼓励与其他乡镇</w:t>
      </w:r>
      <w:r>
        <w:rPr>
          <w:rFonts w:hint="eastAsia"/>
        </w:rPr>
        <w:t>联合</w:t>
      </w:r>
      <w:r>
        <w:t>建立</w:t>
      </w:r>
      <w:r>
        <w:rPr>
          <w:rFonts w:hint="eastAsia"/>
        </w:rPr>
        <w:t>公墓</w:t>
      </w:r>
      <w:r>
        <w:rPr>
          <w:rFonts w:cs="宋体"/>
          <w:lang w:bidi="ar"/>
        </w:rPr>
        <w:t>。</w:t>
      </w:r>
    </w:p>
    <w:p>
      <w:pPr>
        <w:pStyle w:val="4"/>
        <w:rPr>
          <w:lang w:bidi="ar"/>
        </w:rPr>
      </w:pPr>
      <w:r>
        <w:rPr>
          <w:lang w:bidi="ar"/>
        </w:rPr>
        <w:t>盘活建设用地存</w:t>
      </w:r>
      <w:r>
        <w:rPr>
          <w:rFonts w:hint="eastAsia"/>
          <w:lang w:bidi="ar"/>
        </w:rPr>
        <w:t>量</w:t>
      </w:r>
      <w:r>
        <w:rPr>
          <w:lang w:bidi="ar"/>
        </w:rPr>
        <w:t>。</w:t>
      </w:r>
    </w:p>
    <w:p>
      <w:pPr>
        <w:spacing w:before="65" w:after="163" w:afterLines="50"/>
        <w:ind w:firstLine="640"/>
      </w:pPr>
      <w:r>
        <w:rPr>
          <w:rFonts w:hint="eastAsia"/>
        </w:rPr>
        <w:t>推进闲置地、废弃地等存量建设用地盘活利用，遏制村庄用地“沿路跑”和“空心化”现象，鼓励村民在旧房屋原址上新建房屋。分类施策，实施存量建设用地功能转换，对闲置宅基地和住宅进行整理，因地制宜盘活利用。闲置宅基地可建成游园、文化广场，闲置住宅可建成村史馆、图书室、活动室等村民活动场所，对有利用价值的闲置住宅倡导发展文化旅游和开展农事体验活动等。对低效城镇用地进行用地调整，满足商业服务、公共服务设施、城镇住宅等用地需求，提高存量建设用地使用效率。</w:t>
      </w:r>
    </w:p>
    <w:p>
      <w:pPr>
        <w:pStyle w:val="4"/>
        <w:rPr>
          <w:lang w:bidi="ar"/>
        </w:rPr>
      </w:pPr>
      <w:r>
        <w:rPr>
          <w:lang w:bidi="ar"/>
        </w:rPr>
        <w:t>提升建设用地节约集约利用</w:t>
      </w:r>
      <w:r>
        <w:rPr>
          <w:rFonts w:hint="eastAsia"/>
          <w:lang w:bidi="ar"/>
        </w:rPr>
        <w:t>水平</w:t>
      </w:r>
    </w:p>
    <w:p>
      <w:pPr>
        <w:spacing w:before="65" w:after="163" w:afterLines="50"/>
        <w:ind w:firstLine="640"/>
      </w:pPr>
      <w:r>
        <w:rPr>
          <w:rFonts w:hint="eastAsia"/>
        </w:rPr>
        <w:t>落实农村宅基地“一户一宅”规定，新增宅基地应优先利用原有宅基地和村内空闲地，建立健全闲置宅基地退出机制和再利用机制。对于农村新建、改建、扩建、翻建住房的，按照《〈内乡县农村宅基地管理办法</w:t>
      </w:r>
      <w:r>
        <w:t>(试行)〉〈内乡县村民自建住房管理办法(试行)〉》(内政〔2022〕7号)</w:t>
      </w:r>
      <w:r>
        <w:rPr>
          <w:rFonts w:hint="eastAsia"/>
        </w:rPr>
        <w:t>规定执行。村民自建住房原则上以不超过三层的低层住宅为主。城填郊区和人均耕地少于</w:t>
      </w:r>
      <w:r>
        <w:t>667平方米的平原地区，每户宅基地面积不得超过134平方米；人均耕地667平方米以上的平原地区，每户宅基地面积不得超过167平方米；山区、丘陵地区每户宅基地面积不得超过200平方米。按照村庄规划引导农民依法建房，优化农村居民点</w:t>
      </w:r>
      <w:r>
        <w:rPr>
          <w:rFonts w:hint="eastAsia"/>
        </w:rPr>
        <w:t>布局，提高土地利用效益。严格执行建设项目用地标准控制制度，合理提高建设用地开发强度，创新节地模式，推广节地技术。</w:t>
      </w:r>
    </w:p>
    <w:p>
      <w:pPr>
        <w:pStyle w:val="3"/>
      </w:pPr>
      <w:bookmarkStart w:id="93" w:name="_Toc208238278"/>
      <w:r>
        <w:rPr>
          <w:rFonts w:hint="eastAsia"/>
        </w:rPr>
        <w:t>水资源保护与利用</w:t>
      </w:r>
      <w:bookmarkEnd w:id="93"/>
    </w:p>
    <w:p>
      <w:pPr>
        <w:pStyle w:val="4"/>
        <w:spacing w:before="195" w:after="195"/>
      </w:pPr>
      <w:r>
        <w:rPr>
          <w:rFonts w:hint="eastAsia"/>
        </w:rPr>
        <w:t>落实水资源保护范围</w:t>
      </w:r>
    </w:p>
    <w:p>
      <w:pPr>
        <w:spacing w:before="65"/>
        <w:ind w:firstLine="640"/>
      </w:pPr>
      <w:r>
        <w:rPr>
          <w:rFonts w:hint="eastAsia"/>
        </w:rPr>
        <w:t>落实赵店乡地下井水源保护区范围</w:t>
      </w:r>
      <w:r>
        <w:t>3.13公顷，为一级保护区，位于</w:t>
      </w:r>
      <w:r>
        <w:rPr>
          <w:rFonts w:hint="eastAsia"/>
        </w:rPr>
        <w:t>赵店乡袁寨</w:t>
      </w:r>
      <w:r>
        <w:t>村</w:t>
      </w:r>
      <w:r>
        <w:rPr>
          <w:rFonts w:hint="eastAsia"/>
        </w:rPr>
        <w:t>西南</w:t>
      </w:r>
      <w:r>
        <w:t>部。</w:t>
      </w:r>
    </w:p>
    <w:p>
      <w:pPr>
        <w:pStyle w:val="4"/>
        <w:spacing w:before="195" w:after="195"/>
      </w:pPr>
      <w:r>
        <w:t>加强河湖水域岸线空间管控及水生态</w:t>
      </w:r>
      <w:r>
        <w:rPr>
          <w:rFonts w:hint="eastAsia"/>
        </w:rPr>
        <w:t>治理</w:t>
      </w:r>
    </w:p>
    <w:p>
      <w:pPr>
        <w:spacing w:before="65"/>
        <w:ind w:firstLine="640"/>
      </w:pPr>
      <w:r>
        <w:rPr>
          <w:rFonts w:hint="eastAsia"/>
        </w:rPr>
        <w:t>落实河湖水系范围，包括湍河、黄水河、螺蛳河、长城河、代军河等河流水系，管理范围面积</w:t>
      </w:r>
      <w:r>
        <w:t>235.26</w:t>
      </w:r>
      <w:r>
        <w:rPr>
          <w:rFonts w:hint="eastAsia"/>
        </w:rPr>
        <w:t>公顷</w:t>
      </w:r>
      <w:r>
        <w:t>，水库保护范围面积9.42</w:t>
      </w:r>
      <w:r>
        <w:rPr>
          <w:rFonts w:hint="eastAsia"/>
        </w:rPr>
        <w:t>公顷，坑塘水面面积</w:t>
      </w:r>
      <w:r>
        <w:t>62.21公顷，沟渠面积51.18公顷。</w:t>
      </w:r>
    </w:p>
    <w:p>
      <w:pPr>
        <w:spacing w:before="65"/>
        <w:ind w:firstLine="640"/>
      </w:pPr>
      <w:r>
        <w:rPr>
          <w:rFonts w:hint="eastAsia"/>
        </w:rPr>
        <w:t>落实湍河、黄水河等河道管理范围线，严格河湖水域岸线用途管制，强化涉河建设项目管理，规范各类涉水行为，限制或禁止各种损害生态系统水源涵养功能的经济社会活动和生产方式。做好汇水区域内水污染防治工作，减少污染物入河量，确保河流进入保护区时水质达到保护区水质要求。开展妨碍河道行洪突出问题排查整治，全面落实采砂管理责任，规范河道砂石利用管理，开展河道非法采砂专项整治。加快水生态修复，开展湍河生态修复及安全建设项目、骨干河道水环境综合治理项目等生态修复工作，全面推进河湖水域岸线生态修复，保障河流生态水量，建设沿岸生态廊道。</w:t>
      </w:r>
    </w:p>
    <w:p>
      <w:pPr>
        <w:pStyle w:val="4"/>
        <w:spacing w:before="195" w:after="195"/>
      </w:pPr>
      <w:r>
        <w:rPr>
          <w:rFonts w:hint="eastAsia"/>
        </w:rPr>
        <w:t>加强水资源节约利用</w:t>
      </w:r>
    </w:p>
    <w:p>
      <w:pPr>
        <w:spacing w:before="65"/>
        <w:ind w:firstLine="640"/>
      </w:pPr>
      <w:r>
        <w:rPr>
          <w:rFonts w:hint="eastAsia"/>
        </w:rPr>
        <w:t>优先保障城乡居民生活用水，合理安排工业和农业用水，建立多种水源联合调配机制，优先利地表水，在保证乡镇生活用水的前提下，严格控制地下水开采程度，加大再生水和雨水资源化利用。加快城镇供水管网节水改造，减低供水管网漏损率。全面开展节水型单位、居民小区创建活动，持续推广普及生活节水器具，加强学校、医院、宾馆、餐饮、洗浴等重点行业节水技术改造。</w:t>
      </w:r>
    </w:p>
    <w:p>
      <w:pPr>
        <w:spacing w:before="65"/>
        <w:ind w:firstLine="640"/>
      </w:pPr>
      <w:r>
        <w:rPr>
          <w:rFonts w:hint="eastAsia"/>
        </w:rPr>
        <w:t>坚持节水优先，推进节水型社会建设。优化调整产业结构与布局，按照清洁生产和循环经济的标准，凡是生产规模、工艺不符合国家产业政策要求的企业，应坚决予以关停。加强农业节水建设，大力发展高效节水灌溉农业。加强供水管网维护管理，大力推广普及节水器具和产品，提高水资源利用效率。重点做好生态水系工程等重点项目，创建一批节水型示范企业。加快灌溉工程的配套、挖潜与改造，推广管道输水灌溉、喷灌、微灌等高效节水灌溉技术。</w:t>
      </w:r>
    </w:p>
    <w:p>
      <w:pPr>
        <w:pStyle w:val="4"/>
        <w:spacing w:before="195" w:after="195"/>
      </w:pPr>
      <w:r>
        <w:rPr>
          <w:rFonts w:hint="eastAsia"/>
        </w:rPr>
        <w:t>加强水污染防治</w:t>
      </w:r>
    </w:p>
    <w:p>
      <w:pPr>
        <w:spacing w:before="65"/>
        <w:ind w:firstLine="640"/>
      </w:pPr>
      <w:r>
        <w:rPr>
          <w:rFonts w:hint="eastAsia"/>
        </w:rPr>
        <w:t>强化水污染治理</w:t>
      </w:r>
      <w:r>
        <w:t>。推进农村生活污水处理设施和管网建设。持续推进化肥、农药的减量化，积极开展试点地块实施化肥农药利用率测算。严控涉水工业项目，加强企业监管。</w:t>
      </w:r>
    </w:p>
    <w:p>
      <w:pPr>
        <w:spacing w:before="65"/>
        <w:ind w:firstLine="640"/>
      </w:pPr>
      <w:r>
        <w:rPr>
          <w:rFonts w:hint="eastAsia"/>
        </w:rPr>
        <w:t>保障饮用水水源水质安全。强化饮用水水源风险防控，完善饮用水水源污染事故应急预案，确保镇集中式饮用水源地取水、供水厂、用水水龙头水质达标率</w:t>
      </w:r>
      <w:r>
        <w:t>100%，集中式饮用水源地水质优良比例100%，农村饮用水达标人口覆盖率100%</w:t>
      </w:r>
      <w:r>
        <w:rPr>
          <w:rFonts w:hint="eastAsia"/>
        </w:rPr>
        <w:t>。</w:t>
      </w:r>
    </w:p>
    <w:p>
      <w:pPr>
        <w:adjustRightInd/>
        <w:snapToGrid/>
        <w:spacing w:line="240" w:lineRule="auto"/>
        <w:ind w:firstLine="0" w:firstLineChars="0"/>
        <w:jc w:val="left"/>
      </w:pPr>
      <w:r>
        <w:br w:type="page"/>
      </w:r>
    </w:p>
    <w:p>
      <w:pPr>
        <w:pStyle w:val="2"/>
        <w:spacing w:before="489" w:after="489"/>
      </w:pPr>
      <w:bookmarkStart w:id="94" w:name="_Toc212798329"/>
      <w:r>
        <w:rPr>
          <w:rFonts w:hint="eastAsia"/>
        </w:rPr>
        <w:t>产业规划</w:t>
      </w:r>
      <w:bookmarkEnd w:id="94"/>
    </w:p>
    <w:p>
      <w:pPr>
        <w:pStyle w:val="3"/>
      </w:pPr>
      <w:bookmarkStart w:id="95" w:name="_Toc208238280"/>
      <w:bookmarkStart w:id="96" w:name="_Toc185606063"/>
      <w:bookmarkStart w:id="97" w:name="_Toc200652781"/>
      <w:r>
        <w:rPr>
          <w:rFonts w:hint="eastAsia"/>
        </w:rPr>
        <w:t>产业规划</w:t>
      </w:r>
      <w:bookmarkEnd w:id="95"/>
      <w:bookmarkEnd w:id="96"/>
      <w:bookmarkEnd w:id="97"/>
    </w:p>
    <w:p>
      <w:pPr>
        <w:pStyle w:val="4"/>
        <w:spacing w:before="195" w:after="195"/>
      </w:pPr>
      <w:r>
        <w:rPr>
          <w:rFonts w:hint="eastAsia"/>
        </w:rPr>
        <w:t>产业发展策略</w:t>
      </w:r>
    </w:p>
    <w:p>
      <w:pPr>
        <w:spacing w:before="48"/>
        <w:ind w:firstLine="640"/>
      </w:pPr>
      <w:r>
        <w:rPr>
          <w:rFonts w:hint="eastAsia"/>
        </w:rPr>
        <w:t>通过梳理产业发展现状、产业发展优势，按照三产融合发展途径优化乡域产业体系，促进乡村振兴发展。</w:t>
      </w:r>
    </w:p>
    <w:p>
      <w:pPr>
        <w:spacing w:before="48"/>
        <w:ind w:firstLine="640"/>
      </w:pPr>
      <w:r>
        <w:rPr>
          <w:rFonts w:hint="eastAsia"/>
        </w:rPr>
        <w:t>（</w:t>
      </w:r>
      <w:r>
        <w:t>1）特色生态农业</w:t>
      </w:r>
    </w:p>
    <w:p>
      <w:pPr>
        <w:spacing w:before="48"/>
        <w:ind w:firstLine="640"/>
      </w:pPr>
      <w:r>
        <w:rPr>
          <w:rFonts w:hint="eastAsia"/>
        </w:rPr>
        <w:t>结合上位规划和现有发展条件及优势，赵店乡产业发展策略为：以粮食及烟叶中药材等特色农业生产为主，围绕中、西、东的特色产业格局，适度发展生态旅游。通过以一二三产融发展，推动乡域产业融合发展。</w:t>
      </w:r>
    </w:p>
    <w:p>
      <w:pPr>
        <w:spacing w:before="48"/>
        <w:ind w:firstLine="640"/>
      </w:pPr>
      <w:r>
        <w:rPr>
          <w:rFonts w:hint="eastAsia"/>
        </w:rPr>
        <w:t>农业</w:t>
      </w:r>
      <w:r>
        <w:t>+生态+旅游：以中部农业主产区种植，结合恐龙蛋遗址自然保护区</w:t>
      </w:r>
      <w:r>
        <w:rPr>
          <w:rFonts w:hint="eastAsia"/>
        </w:rPr>
        <w:t>外围</w:t>
      </w:r>
      <w:r>
        <w:t>的生态资源和集镇区的基础设施建设，融合农业空间和服务业空间，打造采摘体验、休闲观光旅游线路，体验山水田园风光。</w:t>
      </w:r>
    </w:p>
    <w:p>
      <w:pPr>
        <w:spacing w:before="48"/>
        <w:ind w:firstLine="640"/>
      </w:pPr>
      <w:r>
        <w:rPr>
          <w:rFonts w:hint="eastAsia"/>
        </w:rPr>
        <w:t>农业</w:t>
      </w:r>
      <w:r>
        <w:t>+工业+旅游：结合赵店乡</w:t>
      </w:r>
      <w:r>
        <w:rPr>
          <w:rFonts w:hint="eastAsia"/>
        </w:rPr>
        <w:t>烟叶、中药材等</w:t>
      </w:r>
      <w:r>
        <w:t>优质农产品加工，围绕乡村农产品加工主题兴建、打造</w:t>
      </w:r>
      <w:r>
        <w:rPr>
          <w:rFonts w:hint="eastAsia"/>
        </w:rPr>
        <w:t>农产品初加工</w:t>
      </w:r>
      <w:r>
        <w:t>文化体验经济，提高农产品附加值。</w:t>
      </w:r>
    </w:p>
    <w:p>
      <w:pPr>
        <w:spacing w:before="48"/>
        <w:ind w:firstLine="640"/>
      </w:pPr>
      <w:r>
        <w:rPr>
          <w:rFonts w:hint="eastAsia"/>
        </w:rPr>
        <w:t>（</w:t>
      </w:r>
      <w:r>
        <w:t>2）加工制造产业</w:t>
      </w:r>
    </w:p>
    <w:p>
      <w:pPr>
        <w:spacing w:before="48"/>
        <w:ind w:firstLine="640"/>
      </w:pPr>
      <w:r>
        <w:rPr>
          <w:rFonts w:hint="eastAsia"/>
        </w:rPr>
        <w:t>农副产品加工——发展农产品加工业，推动农产品（烟叶、金银花等）二次加工升级，延伸，提升产品附加值，打造具有赵店特色品牌的食品加工产品。</w:t>
      </w:r>
    </w:p>
    <w:p>
      <w:pPr>
        <w:spacing w:before="48"/>
        <w:ind w:firstLine="640"/>
      </w:pPr>
      <w:r>
        <w:rPr>
          <w:rFonts w:hint="eastAsia"/>
        </w:rPr>
        <w:t>工业强乡——加速产业园建设，推动工业项目落地，重点发展能源贸易、农牧防护用品、医药生产等领域。</w:t>
      </w:r>
    </w:p>
    <w:p>
      <w:pPr>
        <w:spacing w:before="48"/>
        <w:ind w:firstLine="640"/>
      </w:pPr>
      <w:r>
        <w:rPr>
          <w:rFonts w:hint="eastAsia"/>
        </w:rPr>
        <w:t>（</w:t>
      </w:r>
      <w:r>
        <w:t>3）现代商贸物流服务业</w:t>
      </w:r>
    </w:p>
    <w:p>
      <w:pPr>
        <w:spacing w:before="48"/>
        <w:ind w:firstLine="640"/>
      </w:pPr>
      <w:r>
        <w:rPr>
          <w:rFonts w:hint="eastAsia"/>
        </w:rPr>
        <w:t>依托集镇区内商贸服务设施，引进运输、仓储和转运、加工配送型第三方物流知名企业，有效衔接好高速、国道、省道等交通节点，打通物流网络，构建现代运输体系。</w:t>
      </w:r>
    </w:p>
    <w:p>
      <w:pPr>
        <w:spacing w:before="48"/>
        <w:ind w:firstLine="640"/>
      </w:pPr>
      <w:r>
        <w:rPr>
          <w:rFonts w:hint="eastAsia"/>
        </w:rPr>
        <w:t>强化物流管理，采取少耗材、可再用、高环保的绿色包装，合理设置运输路线，积极发展绿色物流。</w:t>
      </w:r>
    </w:p>
    <w:p>
      <w:pPr>
        <w:spacing w:before="48"/>
        <w:ind w:firstLine="640"/>
      </w:pPr>
      <w:r>
        <w:rPr>
          <w:rFonts w:hint="eastAsia"/>
        </w:rPr>
        <w:t>推进电子商务进农村示范和“快递村村通”</w:t>
      </w:r>
      <w:r>
        <w:t>。</w:t>
      </w:r>
    </w:p>
    <w:p>
      <w:pPr>
        <w:pStyle w:val="4"/>
        <w:spacing w:before="195" w:after="195"/>
      </w:pPr>
      <w:bookmarkStart w:id="98" w:name="_Hlk200635407"/>
      <w:r>
        <w:rPr>
          <w:rFonts w:hint="eastAsia"/>
        </w:rPr>
        <w:t>产业功能定位</w:t>
      </w:r>
    </w:p>
    <w:p>
      <w:pPr>
        <w:spacing w:before="65"/>
        <w:ind w:firstLine="640"/>
      </w:pPr>
      <w:r>
        <w:rPr>
          <w:rFonts w:hint="eastAsia"/>
        </w:rPr>
        <w:t>结合相关规划，以及赵店乡现有产业发展条件及优势，明确赵店乡产业发展定位为商贸物流服务、特色农业种植、农产品加工、农文旅深度融合的宜居宜业宜游乡镇。</w:t>
      </w:r>
    </w:p>
    <w:bookmarkEnd w:id="98"/>
    <w:p>
      <w:pPr>
        <w:pStyle w:val="4"/>
        <w:spacing w:before="195" w:after="195"/>
      </w:pPr>
      <w:r>
        <w:rPr>
          <w:rFonts w:hint="eastAsia"/>
        </w:rPr>
        <w:t>优化产业布局</w:t>
      </w:r>
    </w:p>
    <w:p>
      <w:pPr>
        <w:spacing w:before="65"/>
        <w:ind w:firstLine="640"/>
      </w:pPr>
      <w:r>
        <w:rPr>
          <w:rFonts w:hint="eastAsia"/>
        </w:rPr>
        <w:t>统筹产业发展方向及产业用地需求，规划形成“一心、一轴、一环、三区、多节点”的产业布局。</w:t>
      </w:r>
    </w:p>
    <w:p>
      <w:pPr>
        <w:spacing w:before="65"/>
        <w:ind w:firstLine="640"/>
      </w:pPr>
      <w:r>
        <w:rPr>
          <w:rFonts w:hint="eastAsia"/>
        </w:rPr>
        <w:t>一心：主要是结合集镇区商贸服务设施、物流仓储设施、工业设施形成的商贸、物流集散中心。</w:t>
      </w:r>
    </w:p>
    <w:p>
      <w:pPr>
        <w:spacing w:before="65"/>
        <w:ind w:firstLine="640"/>
      </w:pPr>
      <w:r>
        <w:rPr>
          <w:rFonts w:hint="eastAsia"/>
        </w:rPr>
        <w:t>一轴：</w:t>
      </w:r>
      <w:r>
        <w:t>沿湍河形成的休闲观光带（轴）。</w:t>
      </w:r>
    </w:p>
    <w:p>
      <w:pPr>
        <w:spacing w:before="65"/>
        <w:ind w:firstLine="640"/>
      </w:pPr>
      <w:r>
        <w:rPr>
          <w:rFonts w:hint="eastAsia"/>
        </w:rPr>
        <w:t>一环：沿部分县道、乡道近郊休闲观光旅游环。</w:t>
      </w:r>
    </w:p>
    <w:p>
      <w:pPr>
        <w:spacing w:before="65"/>
        <w:ind w:firstLine="640"/>
      </w:pPr>
      <w:r>
        <w:rPr>
          <w:rFonts w:hint="eastAsia"/>
        </w:rPr>
        <w:t>三区：是指西部特色农业种植区以及中、东部高效农业主产区。</w:t>
      </w:r>
    </w:p>
    <w:p>
      <w:pPr>
        <w:spacing w:before="65"/>
        <w:ind w:firstLine="640"/>
      </w:pPr>
      <w:r>
        <w:rPr>
          <w:rFonts w:hint="eastAsia"/>
        </w:rPr>
        <w:t>多节点：主要发挥特色优势产业和交通、生态优势，打造多个体验区和种植采摘基地。</w:t>
      </w:r>
    </w:p>
    <w:p>
      <w:pPr>
        <w:pStyle w:val="3"/>
      </w:pPr>
      <w:bookmarkStart w:id="99" w:name="_Toc200524222"/>
      <w:bookmarkStart w:id="100" w:name="_Toc208238281"/>
      <w:bookmarkStart w:id="101" w:name="_Toc200652782"/>
      <w:bookmarkStart w:id="102" w:name="_Toc200550534"/>
      <w:bookmarkStart w:id="103" w:name="_Hlk200635653"/>
      <w:bookmarkStart w:id="104" w:name="_Hlk200563381"/>
      <w:r>
        <w:rPr>
          <w:rFonts w:hint="eastAsia"/>
        </w:rPr>
        <w:t>产业用地保障</w:t>
      </w:r>
      <w:bookmarkEnd w:id="99"/>
      <w:bookmarkEnd w:id="100"/>
      <w:bookmarkEnd w:id="101"/>
      <w:bookmarkEnd w:id="102"/>
    </w:p>
    <w:p>
      <w:pPr>
        <w:pStyle w:val="4"/>
        <w:spacing w:before="195" w:after="195"/>
      </w:pPr>
      <w:r>
        <w:rPr>
          <w:rFonts w:hint="eastAsia"/>
        </w:rPr>
        <w:t>产业用地规划</w:t>
      </w:r>
    </w:p>
    <w:p>
      <w:pPr>
        <w:ind w:firstLine="640"/>
      </w:pPr>
      <w:r>
        <w:rPr>
          <w:rFonts w:hint="eastAsia"/>
        </w:rPr>
        <w:t>本次规划产业用地主要包括工业用地、仓储用地、商业服务业用地，原则上，新规划产业用地均位于村庄建设边界内。</w:t>
      </w:r>
    </w:p>
    <w:p>
      <w:pPr>
        <w:ind w:firstLine="640"/>
      </w:pPr>
      <w:r>
        <w:rPr>
          <w:rFonts w:hint="eastAsia"/>
        </w:rPr>
        <w:t>中心城区落实相关规划的内容。集镇区范围内规划新增工业用地</w:t>
      </w:r>
      <w:r>
        <w:t>0.08公顷，用于发展特色农产品加工；规划新增仓储用地0.35公顷，用于发展粮食收储、果蔬冷链储存等产业需求；规划新增商业服务业用地为4.29公顷，用于满足商业商贸需求。</w:t>
      </w:r>
    </w:p>
    <w:p>
      <w:pPr>
        <w:ind w:firstLine="640"/>
      </w:pPr>
      <w:r>
        <w:rPr>
          <w:rFonts w:hint="eastAsia"/>
        </w:rPr>
        <w:t>村庄建设边界内新增产业用地为</w:t>
      </w:r>
      <w:r>
        <w:t>1.03公顷，主要发展农产品加工、仓储保鲜冷链、乡村旅游旅游等一二三产融合发展项目</w:t>
      </w:r>
      <w:r>
        <w:rPr>
          <w:rFonts w:hint="eastAsia"/>
        </w:rPr>
        <w:t>。</w:t>
      </w:r>
    </w:p>
    <w:p>
      <w:pPr>
        <w:pStyle w:val="4"/>
        <w:spacing w:before="195" w:after="195"/>
      </w:pPr>
      <w:r>
        <w:rPr>
          <w:rFonts w:hint="eastAsia"/>
        </w:rPr>
        <w:t>产业准入清单</w:t>
      </w:r>
    </w:p>
    <w:p>
      <w:pPr>
        <w:spacing w:before="65"/>
        <w:ind w:firstLine="640"/>
      </w:pPr>
      <w:bookmarkStart w:id="105" w:name="_Hlk200523775"/>
      <w:bookmarkStart w:id="106" w:name="_Hlk200523747"/>
      <w:r>
        <w:rPr>
          <w:rFonts w:hint="eastAsia"/>
        </w:rPr>
        <w:t>在村庄建设边界外，主要布局农、林、牧、渔业。</w:t>
      </w:r>
    </w:p>
    <w:p>
      <w:pPr>
        <w:spacing w:before="65"/>
        <w:ind w:firstLine="640"/>
      </w:pPr>
      <w:r>
        <w:rPr>
          <w:rFonts w:hint="eastAsia"/>
        </w:rPr>
        <w:t>在村庄建设边界内，主要布局一直接服务种植养殖业的农产品加工、电子商务、仓储保鲜冷链、产地低温直销配送等一二三产融合发展项目，不得布局对居民生活产生较大影响和污染严重的产业。</w:t>
      </w:r>
    </w:p>
    <w:p>
      <w:pPr>
        <w:spacing w:before="65"/>
        <w:ind w:firstLine="640"/>
      </w:pPr>
      <w:r>
        <w:rPr>
          <w:rFonts w:hint="eastAsia"/>
        </w:rPr>
        <w:t>在乡镇范围内，原则上不得布局三类工业、危化品生产存储以及其他污染严重的产业，确需布局的，应征得赵店乡人民政府或内乡县自然资源局以及相关主管部门的同意</w:t>
      </w:r>
      <w:bookmarkEnd w:id="105"/>
      <w:r>
        <w:rPr>
          <w:rFonts w:hint="eastAsia"/>
        </w:rPr>
        <w:t>。</w:t>
      </w:r>
    </w:p>
    <w:p>
      <w:pPr>
        <w:pStyle w:val="4"/>
        <w:spacing w:before="195" w:after="195"/>
      </w:pPr>
      <w:r>
        <w:rPr>
          <w:rFonts w:hint="eastAsia"/>
        </w:rPr>
        <w:t>产业负面清单</w:t>
      </w:r>
    </w:p>
    <w:p>
      <w:pPr>
        <w:spacing w:before="65"/>
        <w:ind w:firstLine="640"/>
      </w:pPr>
      <w:r>
        <w:rPr>
          <w:rFonts w:hint="eastAsia"/>
        </w:rPr>
        <w:t>乡村产业发展应与财政、金融、人才、土地等相关政策相衔接，根据乡村资源特色及区域优势，选择适合本地发展的产业类型。要严控乡村产业准入，严格遵守《产业结构调整指导目录》文件的相关要求，将限制类、淘汰类产业列入产业负面清单，禁止发展该类产业。对于列入国家禁止类产业目录的、污染环境的项目，不得进入乡村。</w:t>
      </w:r>
    </w:p>
    <w:p>
      <w:pPr>
        <w:spacing w:before="65"/>
        <w:ind w:firstLine="640"/>
      </w:pPr>
      <w:r>
        <w:rPr>
          <w:rFonts w:hint="eastAsia"/>
        </w:rPr>
        <w:t>农村产业融合发展用地禁止用于商品住宅、别墅、酒店、公寓等房地产开发，禁止擅自改变用途或分割转让转租。禁止擅自将农业设施建设用地改变用途用于产业项目建设。</w:t>
      </w:r>
    </w:p>
    <w:bookmarkEnd w:id="103"/>
    <w:p>
      <w:pPr>
        <w:pStyle w:val="4"/>
        <w:spacing w:before="195" w:after="195"/>
      </w:pPr>
      <w:r>
        <w:rPr>
          <w:rFonts w:hint="eastAsia"/>
        </w:rPr>
        <w:t>产业用地管控</w:t>
      </w:r>
    </w:p>
    <w:p>
      <w:pPr>
        <w:spacing w:before="65"/>
        <w:ind w:firstLine="640"/>
      </w:pPr>
      <w:bookmarkStart w:id="107" w:name="_Hlk200524039"/>
      <w:r>
        <w:rPr>
          <w:rFonts w:hint="eastAsia"/>
        </w:rPr>
        <w:t>乡镇级国土空间规划应安排不少于</w:t>
      </w:r>
      <w:r>
        <w:t>10%的建设用地指标，重点保障乡村产业发展用地。根据产业发展规律，在城乡之间合理安排产业用地布局。工业企业要向产业集聚区、专业园区集聚；</w:t>
      </w:r>
      <w:r>
        <w:rPr>
          <w:rFonts w:hint="eastAsia"/>
        </w:rPr>
        <w:t>具有一定规模的农产品加工要向中心城区或集镇区村庄建设用地内集聚；</w:t>
      </w:r>
      <w:r>
        <w:t>对直接服务种植养殖业的农产品加工、电子商务、仓储保鲜冷链、产地低温直销配送等产业，应优先利用村内空闲地和闲置宅基地，原则上集中在村庄建设边界内；对利用农村本地资源开展农产品分拣、初加工、发展休闲观光旅游而必须的配套设施建设，在不侵占永久基本农田和生态保护红线、不突破国土空间规划建</w:t>
      </w:r>
      <w:r>
        <w:rPr>
          <w:rFonts w:hint="eastAsia"/>
        </w:rPr>
        <w:t>设用地指标等约束条件、不破坏自然环境和历史风貌的条件下，可在村庄建设边界外安排少量建设用地。在符合国土空间规划前提下，鼓励对依法登记的宅基地等农村建设用地进行复合利用，发展乡村民宿、农产品初加工、电子商务等农村产业。农业生产中直接用于作物种植和畜禽水产养殖的设施用地，按照自然资源部相关</w:t>
      </w:r>
      <w:r>
        <w:t>要求使用。</w:t>
      </w:r>
    </w:p>
    <w:bookmarkEnd w:id="104"/>
    <w:bookmarkEnd w:id="106"/>
    <w:bookmarkEnd w:id="107"/>
    <w:p>
      <w:pPr>
        <w:spacing w:before="65"/>
        <w:ind w:firstLine="640"/>
      </w:pPr>
      <w:r>
        <w:br w:type="page"/>
      </w:r>
    </w:p>
    <w:p>
      <w:pPr>
        <w:pStyle w:val="2"/>
        <w:spacing w:before="489" w:after="489"/>
      </w:pPr>
      <w:bookmarkStart w:id="108" w:name="_Toc212798330"/>
      <w:r>
        <w:rPr>
          <w:rFonts w:hint="eastAsia"/>
        </w:rPr>
        <w:t>村庄布局</w:t>
      </w:r>
      <w:bookmarkEnd w:id="108"/>
    </w:p>
    <w:p>
      <w:pPr>
        <w:pStyle w:val="3"/>
      </w:pPr>
      <w:bookmarkStart w:id="109" w:name="_Toc208238283"/>
      <w:r>
        <w:rPr>
          <w:rFonts w:hint="eastAsia"/>
        </w:rPr>
        <w:t>人口与城镇化水平预测</w:t>
      </w:r>
      <w:bookmarkEnd w:id="109"/>
    </w:p>
    <w:p>
      <w:pPr>
        <w:pStyle w:val="4"/>
        <w:spacing w:before="195" w:after="195"/>
      </w:pPr>
      <w:r>
        <w:rPr>
          <w:rFonts w:hint="eastAsia"/>
        </w:rPr>
        <w:t>人口规模预测</w:t>
      </w:r>
    </w:p>
    <w:p>
      <w:pPr>
        <w:spacing w:before="48"/>
        <w:ind w:firstLine="640"/>
        <w:rPr>
          <w:rFonts w:ascii="Times New Roman" w:hAnsi="Times New Roman"/>
        </w:rPr>
      </w:pPr>
      <w:r>
        <w:rPr>
          <w:rFonts w:ascii="Times New Roman" w:hAnsi="Times New Roman"/>
        </w:rPr>
        <w:t>规划基期年，</w:t>
      </w:r>
      <w:r>
        <w:rPr>
          <w:rFonts w:hint="eastAsia" w:ascii="Times New Roman" w:hAnsi="Times New Roman"/>
        </w:rPr>
        <w:t>乡域</w:t>
      </w:r>
      <w:r>
        <w:rPr>
          <w:rFonts w:ascii="Times New Roman" w:hAnsi="Times New Roman"/>
        </w:rPr>
        <w:t>常住总人口</w:t>
      </w:r>
      <w:r>
        <w:t>3.0</w:t>
      </w:r>
      <w:r>
        <w:rPr>
          <w:rFonts w:hint="eastAsia"/>
        </w:rPr>
        <w:t>万</w:t>
      </w:r>
      <w:r>
        <w:rPr>
          <w:rFonts w:ascii="Times New Roman" w:hAnsi="Times New Roman"/>
        </w:rPr>
        <w:t>人。</w:t>
      </w:r>
      <w:r>
        <w:rPr>
          <w:rFonts w:hint="eastAsia" w:ascii="Times New Roman" w:hAnsi="Times New Roman"/>
        </w:rPr>
        <w:t>至</w:t>
      </w:r>
      <w:r>
        <w:rPr>
          <w:rFonts w:ascii="Times New Roman" w:hAnsi="Times New Roman"/>
        </w:rPr>
        <w:t>2025年，乡域常住总人口2.9</w:t>
      </w:r>
      <w:r>
        <w:rPr>
          <w:rFonts w:hint="eastAsia" w:ascii="Times New Roman" w:hAnsi="Times New Roman"/>
        </w:rPr>
        <w:t>万</w:t>
      </w:r>
      <w:r>
        <w:rPr>
          <w:rFonts w:ascii="Times New Roman" w:hAnsi="Times New Roman"/>
        </w:rPr>
        <w:t>人</w:t>
      </w:r>
      <w:r>
        <w:rPr>
          <w:rFonts w:hint="eastAsia" w:ascii="Times New Roman" w:hAnsi="Times New Roman"/>
        </w:rPr>
        <w:t>；至</w:t>
      </w:r>
      <w:r>
        <w:rPr>
          <w:rFonts w:ascii="Times New Roman" w:hAnsi="Times New Roman"/>
        </w:rPr>
        <w:t>2035年，乡域常住总人口2.8</w:t>
      </w:r>
      <w:r>
        <w:rPr>
          <w:rFonts w:hint="eastAsia" w:ascii="Times New Roman" w:hAnsi="Times New Roman"/>
        </w:rPr>
        <w:t>万</w:t>
      </w:r>
      <w:r>
        <w:rPr>
          <w:rFonts w:ascii="Times New Roman" w:hAnsi="Times New Roman"/>
        </w:rPr>
        <w:t>人</w:t>
      </w:r>
      <w:r>
        <w:rPr>
          <w:rFonts w:hint="eastAsia" w:ascii="Times New Roman" w:hAnsi="Times New Roman"/>
        </w:rPr>
        <w:t>（</w:t>
      </w:r>
      <w:r>
        <w:rPr>
          <w:rFonts w:ascii="Times New Roman" w:hAnsi="Times New Roman"/>
        </w:rPr>
        <w:t>中心城区人口0.3万人，中心城区外围人口2.5万人</w:t>
      </w:r>
      <w:r>
        <w:rPr>
          <w:rFonts w:hint="eastAsia" w:ascii="Times New Roman" w:hAnsi="Times New Roman"/>
        </w:rPr>
        <w:t>）</w:t>
      </w:r>
      <w:r>
        <w:rPr>
          <w:rFonts w:ascii="Times New Roman" w:hAnsi="Times New Roman"/>
        </w:rPr>
        <w:t>。</w:t>
      </w:r>
    </w:p>
    <w:p>
      <w:pPr>
        <w:pStyle w:val="4"/>
        <w:spacing w:before="195" w:after="195"/>
      </w:pPr>
      <w:r>
        <w:rPr>
          <w:rFonts w:hint="eastAsia"/>
        </w:rPr>
        <w:t>城镇化水平预测</w:t>
      </w:r>
    </w:p>
    <w:p>
      <w:pPr>
        <w:spacing w:before="48"/>
        <w:ind w:firstLine="640"/>
        <w:rPr>
          <w:rFonts w:ascii="Times New Roman" w:hAnsi="Times New Roman"/>
        </w:rPr>
      </w:pPr>
      <w:r>
        <w:rPr>
          <w:rFonts w:ascii="Times New Roman" w:hAnsi="Times New Roman"/>
        </w:rPr>
        <w:t>基期年，</w:t>
      </w:r>
      <w:r>
        <w:rPr>
          <w:rFonts w:hint="eastAsia" w:ascii="Times New Roman" w:hAnsi="Times New Roman"/>
        </w:rPr>
        <w:t>乡域集</w:t>
      </w:r>
      <w:r>
        <w:rPr>
          <w:rFonts w:ascii="Times New Roman" w:hAnsi="Times New Roman"/>
        </w:rPr>
        <w:t>镇人口0.6</w:t>
      </w:r>
      <w:r>
        <w:rPr>
          <w:rFonts w:hint="eastAsia" w:ascii="Times New Roman" w:hAnsi="Times New Roman"/>
        </w:rPr>
        <w:t>万</w:t>
      </w:r>
      <w:r>
        <w:rPr>
          <w:rFonts w:ascii="Times New Roman" w:hAnsi="Times New Roman"/>
        </w:rPr>
        <w:t>人，城镇化水平20.00%。至2025年，</w:t>
      </w:r>
      <w:bookmarkStart w:id="110" w:name="_Hlk209796578"/>
      <w:r>
        <w:rPr>
          <w:rFonts w:hint="eastAsia" w:ascii="Times New Roman" w:hAnsi="Times New Roman"/>
        </w:rPr>
        <w:t>乡域集</w:t>
      </w:r>
      <w:r>
        <w:rPr>
          <w:rFonts w:ascii="Times New Roman" w:hAnsi="Times New Roman"/>
        </w:rPr>
        <w:t>镇人口0.8</w:t>
      </w:r>
      <w:r>
        <w:rPr>
          <w:rFonts w:hint="eastAsia" w:ascii="Times New Roman" w:hAnsi="Times New Roman"/>
        </w:rPr>
        <w:t>万</w:t>
      </w:r>
      <w:r>
        <w:rPr>
          <w:rFonts w:ascii="Times New Roman" w:hAnsi="Times New Roman"/>
        </w:rPr>
        <w:t>人，城镇化水平达到27.59%；</w:t>
      </w:r>
      <w:bookmarkEnd w:id="110"/>
      <w:r>
        <w:rPr>
          <w:rFonts w:ascii="Times New Roman" w:hAnsi="Times New Roman"/>
        </w:rPr>
        <w:t>至2035年，</w:t>
      </w:r>
      <w:bookmarkStart w:id="111" w:name="_Hlk209796590"/>
      <w:bookmarkStart w:id="112" w:name="OLE_LINK15"/>
      <w:r>
        <w:rPr>
          <w:rFonts w:hint="eastAsia" w:ascii="Times New Roman" w:hAnsi="Times New Roman"/>
        </w:rPr>
        <w:t>乡域集</w:t>
      </w:r>
      <w:r>
        <w:rPr>
          <w:rFonts w:ascii="Times New Roman" w:hAnsi="Times New Roman"/>
        </w:rPr>
        <w:t>镇人口1.1</w:t>
      </w:r>
      <w:r>
        <w:rPr>
          <w:rFonts w:hint="eastAsia" w:ascii="Times New Roman" w:hAnsi="Times New Roman"/>
        </w:rPr>
        <w:t>万</w:t>
      </w:r>
      <w:r>
        <w:rPr>
          <w:rFonts w:ascii="Times New Roman" w:hAnsi="Times New Roman"/>
        </w:rPr>
        <w:t>人</w:t>
      </w:r>
      <w:r>
        <w:rPr>
          <w:rFonts w:hint="eastAsia" w:ascii="Times New Roman" w:hAnsi="Times New Roman"/>
        </w:rPr>
        <w:t>（</w:t>
      </w:r>
      <w:r>
        <w:rPr>
          <w:rFonts w:ascii="Times New Roman" w:hAnsi="Times New Roman"/>
        </w:rPr>
        <w:t>中心城区人口0.3万人，</w:t>
      </w:r>
      <w:r>
        <w:rPr>
          <w:rFonts w:hint="eastAsia" w:ascii="Times New Roman" w:hAnsi="Times New Roman"/>
        </w:rPr>
        <w:t>集镇区</w:t>
      </w:r>
      <w:r>
        <w:rPr>
          <w:rFonts w:ascii="Times New Roman" w:hAnsi="Times New Roman"/>
        </w:rPr>
        <w:t>人</w:t>
      </w:r>
      <w:r>
        <w:rPr>
          <w:rFonts w:hint="eastAsia" w:ascii="Times New Roman" w:hAnsi="Times New Roman"/>
        </w:rPr>
        <w:t>0</w:t>
      </w:r>
      <w:r>
        <w:rPr>
          <w:rFonts w:ascii="Times New Roman" w:hAnsi="Times New Roman"/>
        </w:rPr>
        <w:t>.8万人</w:t>
      </w:r>
      <w:r>
        <w:rPr>
          <w:rFonts w:hint="eastAsia" w:ascii="Times New Roman" w:hAnsi="Times New Roman"/>
        </w:rPr>
        <w:t>）</w:t>
      </w:r>
      <w:r>
        <w:rPr>
          <w:rFonts w:ascii="Times New Roman" w:hAnsi="Times New Roman"/>
        </w:rPr>
        <w:t>，城镇化水平达到39.28%左右</w:t>
      </w:r>
      <w:bookmarkEnd w:id="111"/>
      <w:bookmarkEnd w:id="112"/>
      <w:bookmarkStart w:id="113" w:name="_Hlk209796558"/>
      <w:r>
        <w:rPr>
          <w:rFonts w:hint="eastAsia" w:ascii="Times New Roman" w:hAnsi="Times New Roman"/>
        </w:rPr>
        <w:t>。</w:t>
      </w:r>
      <w:bookmarkEnd w:id="113"/>
    </w:p>
    <w:p>
      <w:pPr>
        <w:pStyle w:val="3"/>
      </w:pPr>
      <w:bookmarkStart w:id="114" w:name="_Toc208238284"/>
      <w:r>
        <w:rPr>
          <w:rFonts w:hint="eastAsia"/>
        </w:rPr>
        <w:t>村庄分类布局</w:t>
      </w:r>
      <w:bookmarkEnd w:id="114"/>
    </w:p>
    <w:p>
      <w:pPr>
        <w:pStyle w:val="4"/>
        <w:spacing w:before="195" w:after="195"/>
      </w:pPr>
      <w:r>
        <w:rPr>
          <w:rFonts w:hint="eastAsia"/>
        </w:rPr>
        <w:t>村庄分类</w:t>
      </w:r>
    </w:p>
    <w:p>
      <w:pPr>
        <w:spacing w:before="48"/>
        <w:ind w:firstLine="640"/>
      </w:pPr>
      <w:bookmarkStart w:id="115" w:name="_Hlk207964270"/>
      <w:r>
        <w:rPr>
          <w:rFonts w:hint="eastAsia"/>
        </w:rPr>
        <w:t>赵店乡共有</w:t>
      </w:r>
      <w:r>
        <w:t>15</w:t>
      </w:r>
      <w:r>
        <w:rPr>
          <w:rFonts w:hint="eastAsia"/>
        </w:rPr>
        <w:t>个行政村，其中</w:t>
      </w:r>
      <w:r>
        <w:t>1</w:t>
      </w:r>
      <w:r>
        <w:rPr>
          <w:rFonts w:hint="eastAsia"/>
        </w:rPr>
        <w:t>个城郊融合类、</w:t>
      </w:r>
      <w:r>
        <w:t>6</w:t>
      </w:r>
      <w:r>
        <w:rPr>
          <w:rFonts w:hint="eastAsia"/>
        </w:rPr>
        <w:t>个集聚提升类、</w:t>
      </w:r>
      <w:r>
        <w:t>3</w:t>
      </w:r>
      <w:r>
        <w:rPr>
          <w:rFonts w:hint="eastAsia"/>
        </w:rPr>
        <w:t>个特色保护类和</w:t>
      </w:r>
      <w:r>
        <w:t>5</w:t>
      </w:r>
      <w:r>
        <w:rPr>
          <w:rFonts w:hint="eastAsia"/>
        </w:rPr>
        <w:t>个整治改善类。</w:t>
      </w:r>
      <w:bookmarkEnd w:id="115"/>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0"/>
        <w:gridCol w:w="1292"/>
        <w:gridCol w:w="1786"/>
        <w:gridCol w:w="908"/>
        <w:gridCol w:w="1072"/>
        <w:gridCol w:w="2086"/>
        <w:gridCol w:w="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 w:hRule="atLeast"/>
          <w:jc w:val="center"/>
        </w:trPr>
        <w:tc>
          <w:tcPr>
            <w:tcW w:w="5000" w:type="pct"/>
            <w:gridSpan w:val="7"/>
            <w:tcBorders>
              <w:top w:val="single" w:color="auto" w:sz="4" w:space="0"/>
              <w:left w:val="single" w:color="auto" w:sz="4" w:space="0"/>
              <w:bottom w:val="single" w:color="auto" w:sz="4" w:space="0"/>
              <w:right w:val="single" w:color="auto" w:sz="4" w:space="0"/>
            </w:tcBorders>
            <w:shd w:val="clear" w:color="auto" w:fill="auto"/>
            <w:vAlign w:val="center"/>
          </w:tcPr>
          <w:p>
            <w:pPr>
              <w:pStyle w:val="98"/>
            </w:pPr>
            <w:r>
              <w:t>专栏9-1 村庄分类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 w:hRule="atLeast"/>
          <w:jc w:val="center"/>
        </w:trPr>
        <w:tc>
          <w:tcPr>
            <w:tcW w:w="43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bookmarkStart w:id="116" w:name="_Hlk207964359"/>
            <w:r>
              <w:t>乡镇</w:t>
            </w:r>
          </w:p>
        </w:tc>
        <w:tc>
          <w:tcPr>
            <w:tcW w:w="75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r>
              <w:t>城郊融合类</w:t>
            </w:r>
          </w:p>
        </w:tc>
        <w:tc>
          <w:tcPr>
            <w:tcW w:w="104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r>
              <w:t>集聚提升类</w:t>
            </w:r>
          </w:p>
        </w:tc>
        <w:tc>
          <w:tcPr>
            <w:tcW w:w="53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r>
              <w:t>搬迁撤并类</w:t>
            </w:r>
          </w:p>
        </w:tc>
        <w:tc>
          <w:tcPr>
            <w:tcW w:w="62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r>
              <w:t>特色保护类</w:t>
            </w:r>
          </w:p>
        </w:tc>
        <w:tc>
          <w:tcPr>
            <w:tcW w:w="12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r>
              <w:t>整治改善类</w:t>
            </w:r>
          </w:p>
        </w:tc>
        <w:tc>
          <w:tcPr>
            <w:tcW w:w="37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r>
              <w:t>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 w:hRule="atLeast"/>
          <w:jc w:val="center"/>
        </w:trPr>
        <w:tc>
          <w:tcPr>
            <w:tcW w:w="43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r>
              <w:t>赵店乡</w:t>
            </w:r>
          </w:p>
        </w:tc>
        <w:tc>
          <w:tcPr>
            <w:tcW w:w="75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bookmarkStart w:id="117" w:name="_Hlk207964324"/>
            <w:r>
              <w:rPr>
                <w:rFonts w:hint="eastAsia"/>
              </w:rPr>
              <w:t>赵店村</w:t>
            </w:r>
            <w:bookmarkEnd w:id="117"/>
          </w:p>
        </w:tc>
        <w:tc>
          <w:tcPr>
            <w:tcW w:w="104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bookmarkStart w:id="118" w:name="_Hlk207360256"/>
            <w:r>
              <w:rPr>
                <w:rFonts w:hint="eastAsia"/>
              </w:rPr>
              <w:t>花凹村、聂岗村、范营村、张庄村、莲花村、黄营村</w:t>
            </w:r>
            <w:bookmarkEnd w:id="118"/>
          </w:p>
        </w:tc>
        <w:tc>
          <w:tcPr>
            <w:tcW w:w="53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r>
              <w:rPr>
                <w:rFonts w:hint="eastAsia"/>
              </w:rPr>
              <w:t>—</w:t>
            </w:r>
          </w:p>
        </w:tc>
        <w:tc>
          <w:tcPr>
            <w:tcW w:w="62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bookmarkStart w:id="119" w:name="_Hlk207360266"/>
            <w:r>
              <w:rPr>
                <w:rFonts w:hint="eastAsia"/>
              </w:rPr>
              <w:t>袁寨村、岗堤村、郦城村</w:t>
            </w:r>
            <w:bookmarkEnd w:id="119"/>
          </w:p>
        </w:tc>
        <w:tc>
          <w:tcPr>
            <w:tcW w:w="12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bookmarkStart w:id="120" w:name="_Hlk207360276"/>
            <w:r>
              <w:rPr>
                <w:rFonts w:hint="eastAsia"/>
              </w:rPr>
              <w:t>红堰村、杜沟村、大峪村、楼房村、长岭村</w:t>
            </w:r>
            <w:bookmarkEnd w:id="120"/>
          </w:p>
        </w:tc>
        <w:tc>
          <w:tcPr>
            <w:tcW w:w="37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r>
              <w:t>15</w:t>
            </w:r>
          </w:p>
        </w:tc>
      </w:tr>
      <w:bookmarkEnd w:id="116"/>
    </w:tbl>
    <w:p>
      <w:pPr>
        <w:pStyle w:val="3"/>
      </w:pPr>
      <w:bookmarkStart w:id="121" w:name="_Toc208238285"/>
      <w:r>
        <w:t>镇村规模等级</w:t>
      </w:r>
      <w:r>
        <w:rPr>
          <w:rFonts w:hint="eastAsia"/>
        </w:rPr>
        <w:t>体系</w:t>
      </w:r>
      <w:bookmarkEnd w:id="121"/>
    </w:p>
    <w:p>
      <w:pPr>
        <w:pStyle w:val="4"/>
        <w:spacing w:before="195" w:after="195"/>
      </w:pPr>
      <w:r>
        <w:t>村庄等级及</w:t>
      </w:r>
      <w:r>
        <w:rPr>
          <w:rFonts w:hint="eastAsia"/>
        </w:rPr>
        <w:t>职能</w:t>
      </w:r>
    </w:p>
    <w:p>
      <w:pPr>
        <w:spacing w:before="48"/>
        <w:ind w:firstLine="640"/>
      </w:pPr>
      <w:r>
        <w:rPr>
          <w:rFonts w:hint="eastAsia"/>
        </w:rPr>
        <w:t>积极推动赵店乡重点镇建设，形成就近城镇化载体。推动人口和公共资源向具备潜力的中心村集中，提升中心村基础设施服务水平，引导乡村特色化发展。</w:t>
      </w:r>
    </w:p>
    <w:p>
      <w:pPr>
        <w:spacing w:before="48"/>
        <w:ind w:firstLine="640"/>
      </w:pPr>
      <w:r>
        <w:rPr>
          <w:rFonts w:hint="eastAsia"/>
        </w:rPr>
        <w:t>集镇区：赵店乡集镇区；</w:t>
      </w:r>
    </w:p>
    <w:p>
      <w:pPr>
        <w:spacing w:before="48"/>
        <w:ind w:firstLine="640"/>
      </w:pPr>
      <w:r>
        <w:rPr>
          <w:rFonts w:hint="eastAsia"/>
        </w:rPr>
        <w:t>中心村：范营村、花凹村、莲花村、黄营村</w:t>
      </w:r>
      <w:r>
        <w:t>；</w:t>
      </w:r>
    </w:p>
    <w:p>
      <w:pPr>
        <w:spacing w:before="48"/>
        <w:ind w:firstLine="640"/>
      </w:pPr>
      <w:r>
        <w:rPr>
          <w:rFonts w:hint="eastAsia"/>
        </w:rPr>
        <w:t>基层村：红堰村、岗堤村、张庄村、聂岗村、袁寨村、杜沟村、郦城村、大峪村、楼房村、长岭村。</w:t>
      </w:r>
    </w:p>
    <w:p>
      <w:pPr>
        <w:pStyle w:val="3"/>
      </w:pPr>
      <w:bookmarkStart w:id="122" w:name="_Toc208238286"/>
      <w:bookmarkStart w:id="123" w:name="_Hlk206668990"/>
      <w:r>
        <w:rPr>
          <w:rFonts w:hint="eastAsia"/>
        </w:rPr>
        <w:t>城乡生活圈构建</w:t>
      </w:r>
      <w:bookmarkEnd w:id="122"/>
    </w:p>
    <w:p>
      <w:pPr>
        <w:pStyle w:val="4"/>
      </w:pPr>
      <w:r>
        <w:rPr>
          <w:rFonts w:hint="eastAsia"/>
        </w:rPr>
        <w:t>城乡生活圈划分</w:t>
      </w:r>
    </w:p>
    <w:p>
      <w:pPr>
        <w:spacing w:before="65"/>
        <w:ind w:firstLine="640"/>
      </w:pPr>
      <w:r>
        <w:t>以</w:t>
      </w:r>
      <w:r>
        <w:rPr>
          <w:rFonts w:hint="eastAsia"/>
        </w:rPr>
        <w:t>集镇区为中心</w:t>
      </w:r>
      <w:r>
        <w:t>，构建</w:t>
      </w:r>
      <w:r>
        <w:rPr>
          <w:rFonts w:hint="eastAsia"/>
        </w:rPr>
        <w:t>城镇</w:t>
      </w:r>
      <w:r>
        <w:t>生活圈，以</w:t>
      </w:r>
      <w:r>
        <w:rPr>
          <w:rFonts w:hint="eastAsia"/>
        </w:rPr>
        <w:t>中心村</w:t>
      </w:r>
      <w:r>
        <w:t>为中心，构建</w:t>
      </w:r>
      <w:r>
        <w:rPr>
          <w:rFonts w:hint="eastAsia"/>
        </w:rPr>
        <w:t>乡村生活圈。</w:t>
      </w:r>
    </w:p>
    <w:p>
      <w:pPr>
        <w:spacing w:before="65"/>
        <w:ind w:firstLine="640"/>
      </w:pPr>
      <w:r>
        <w:rPr>
          <w:rFonts w:hint="eastAsia"/>
        </w:rPr>
        <w:t>依据行政界线、村庄分类、镇村体系、地理位置等因素，赵店乡共划定</w:t>
      </w:r>
      <w:r>
        <w:t>5个乡村</w:t>
      </w:r>
      <w:r>
        <w:rPr>
          <w:rFonts w:hint="eastAsia"/>
        </w:rPr>
        <w:t>生活圈</w:t>
      </w:r>
      <w:r>
        <w:t>。其中：</w:t>
      </w:r>
    </w:p>
    <w:p>
      <w:pPr>
        <w:spacing w:before="65"/>
        <w:ind w:firstLine="640"/>
      </w:pPr>
      <w:r>
        <w:rPr>
          <w:rFonts w:hint="eastAsia"/>
        </w:rPr>
        <w:t>集镇区单元以集镇区为中心，包含赵店村、张庄村、杜沟村、袁寨村。</w:t>
      </w:r>
    </w:p>
    <w:p>
      <w:pPr>
        <w:spacing w:before="65"/>
        <w:ind w:firstLine="640"/>
      </w:pPr>
      <w:r>
        <w:rPr>
          <w:rFonts w:hint="eastAsia"/>
        </w:rPr>
        <w:t>花凹村庄单元以花凹村为中心，包含花凹村、聂岗村。</w:t>
      </w:r>
    </w:p>
    <w:p>
      <w:pPr>
        <w:spacing w:before="65"/>
        <w:ind w:firstLine="640"/>
      </w:pPr>
      <w:r>
        <w:rPr>
          <w:rFonts w:hint="eastAsia"/>
        </w:rPr>
        <w:t>范营村庄单元以范营村为中心，包含范营村、岗堤村、红堰村。</w:t>
      </w:r>
    </w:p>
    <w:p>
      <w:pPr>
        <w:spacing w:before="65"/>
        <w:ind w:firstLine="640"/>
      </w:pPr>
      <w:r>
        <w:rPr>
          <w:rFonts w:hint="eastAsia"/>
        </w:rPr>
        <w:t>莲花村庄单元以莲花村村为中心，包含莲花村村、郦城村。</w:t>
      </w:r>
    </w:p>
    <w:p>
      <w:pPr>
        <w:spacing w:before="65"/>
        <w:ind w:firstLine="640"/>
      </w:pPr>
      <w:r>
        <w:rPr>
          <w:rFonts w:hint="eastAsia"/>
        </w:rPr>
        <w:t>黄营村庄单元以黄营村为中心，包含黄营村、长岭村、大峪村、楼房村。</w:t>
      </w:r>
    </w:p>
    <w:p>
      <w:pPr>
        <w:pStyle w:val="4"/>
      </w:pPr>
      <w:r>
        <w:rPr>
          <w:rFonts w:hint="eastAsia"/>
        </w:rPr>
        <w:t>乡村发展引导</w:t>
      </w:r>
    </w:p>
    <w:p>
      <w:pPr>
        <w:ind w:firstLine="640"/>
      </w:pPr>
      <w:r>
        <w:t>构建“</w:t>
      </w:r>
      <w:r>
        <w:rPr>
          <w:rFonts w:hint="eastAsia"/>
        </w:rPr>
        <w:t>集镇区</w:t>
      </w:r>
      <w:r>
        <w:t>-</w:t>
      </w:r>
      <w:r>
        <w:rPr>
          <w:rFonts w:hint="eastAsia"/>
        </w:rPr>
        <w:t>中心村</w:t>
      </w:r>
      <w:r>
        <w:t>-</w:t>
      </w:r>
      <w:r>
        <w:rPr>
          <w:rFonts w:hint="eastAsia"/>
        </w:rPr>
        <w:t>基层</w:t>
      </w:r>
      <w:r>
        <w:t>村”三级体系</w:t>
      </w:r>
      <w:r>
        <w:rPr>
          <w:rFonts w:hint="eastAsia"/>
        </w:rPr>
        <w:t>，强化集镇区的核心地位，培育中心村</w:t>
      </w:r>
      <w:r>
        <w:t>，引导择周边自然村和基层村的人口向其适度集中，提供高于基层村的公共服务。</w:t>
      </w:r>
      <w:r>
        <w:rPr>
          <w:rFonts w:hint="eastAsia"/>
        </w:rPr>
        <w:t>控制基层村发展，严格控制新增宅基地和产业用地，逐步引导其人口向集镇区和中心村转移。</w:t>
      </w:r>
    </w:p>
    <w:p>
      <w:pPr>
        <w:ind w:firstLine="640"/>
      </w:pPr>
      <w:r>
        <w:rPr>
          <w:rFonts w:hint="eastAsia"/>
        </w:rPr>
        <w:t>新增宅基地和安置房、商品房等应优先布局在集镇区和中心村，形成规模效应。推进老旧小区和棚户区改造，提升集镇区存量居住用地的品质和容量，提高人口承载力，通过规划和法律手段，严格限制在村庄建设区外和基层村无序新建、扩建住宅。</w:t>
      </w:r>
    </w:p>
    <w:p>
      <w:pPr>
        <w:ind w:firstLine="640"/>
      </w:pPr>
      <w:r>
        <w:rPr>
          <w:rFonts w:hint="eastAsia"/>
        </w:rPr>
        <w:t>提升集镇区与中心村、主要交通干道的连接道路等级，优化集镇区内路网，开通公交线路。集中建设污水处理厂、垃圾中转站、供水管网、电力电信设施，并向周边中心村延伸覆盖，实现规模效益。</w:t>
      </w:r>
    </w:p>
    <w:p>
      <w:pPr>
        <w:ind w:firstLine="640"/>
      </w:pPr>
      <w:r>
        <w:rPr>
          <w:rFonts w:hint="eastAsia"/>
        </w:rPr>
        <w:t>在集镇区集中布局高水平的卫生院、中心小学、幼儿园、养老院、文化活动中心、便民服务中心等。在中心村配置标准化的卫生室、幼儿园、老年活动室、农家书屋等，形成与集镇区互补的服务网络。</w:t>
      </w:r>
    </w:p>
    <w:p>
      <w:pPr>
        <w:ind w:firstLine="640"/>
      </w:pPr>
      <w:r>
        <w:rPr>
          <w:rFonts w:hint="eastAsia"/>
        </w:rPr>
        <w:t>通过空间约束</w:t>
      </w:r>
      <w:r>
        <w:t>和空间激励相结合，配套以有吸引力的政策和优质的公共服务，让市场主体和居民用脚投票，自发地、自愿地向规划确定的重点地区集中，最终实现集约、高效、绿色、宜居的乡镇发展新格局。</w:t>
      </w:r>
    </w:p>
    <w:bookmarkEnd w:id="123"/>
    <w:p>
      <w:pPr>
        <w:spacing w:before="65"/>
        <w:ind w:firstLine="640"/>
      </w:pPr>
      <w:r>
        <w:br w:type="page"/>
      </w:r>
    </w:p>
    <w:p>
      <w:pPr>
        <w:pStyle w:val="2"/>
        <w:spacing w:before="489" w:after="489"/>
      </w:pPr>
      <w:bookmarkStart w:id="124" w:name="_Toc212798331"/>
      <w:r>
        <w:rPr>
          <w:rFonts w:hint="eastAsia"/>
        </w:rPr>
        <w:t>支撑保障体系</w:t>
      </w:r>
      <w:bookmarkEnd w:id="124"/>
    </w:p>
    <w:p>
      <w:pPr>
        <w:pStyle w:val="3"/>
      </w:pPr>
      <w:bookmarkStart w:id="125" w:name="_Toc208238288"/>
      <w:bookmarkStart w:id="126" w:name="_Hlk142657734"/>
      <w:bookmarkStart w:id="127" w:name="_Toc129799047"/>
      <w:r>
        <w:rPr>
          <w:rFonts w:hint="eastAsia"/>
        </w:rPr>
        <w:t>道路交通规划</w:t>
      </w:r>
      <w:bookmarkEnd w:id="125"/>
    </w:p>
    <w:p>
      <w:pPr>
        <w:pStyle w:val="4"/>
        <w:spacing w:before="195" w:after="195"/>
      </w:pPr>
      <w:bookmarkStart w:id="128" w:name="_Hlk150185677"/>
      <w:r>
        <w:rPr>
          <w:rFonts w:hint="eastAsia"/>
        </w:rPr>
        <w:t>发展目标与策略</w:t>
      </w:r>
    </w:p>
    <w:p>
      <w:pPr>
        <w:spacing w:before="65"/>
        <w:ind w:firstLine="640"/>
      </w:pPr>
      <w:r>
        <w:rPr>
          <w:rFonts w:hint="eastAsia"/>
        </w:rPr>
        <w:t>发展目标：落实干线公路建设，加强县、乡公路与区域性道路的有机衔接；强化赵店乡在内乡县道路交通体系中的作用、支撑内乡县交通枢纽地位。</w:t>
      </w:r>
    </w:p>
    <w:p>
      <w:pPr>
        <w:spacing w:before="65"/>
        <w:ind w:firstLine="640"/>
      </w:pPr>
      <w:r>
        <w:rPr>
          <w:rFonts w:hint="eastAsia"/>
        </w:rPr>
        <w:t>发展策略：构建骨架运输网络，推进全域交通一体化发展，加强集镇区、中心村、特色村与区域交通干线的衔接，构建“结构清晰、节点突出、互联互通、便捷高效”的交通网络。</w:t>
      </w:r>
    </w:p>
    <w:p>
      <w:pPr>
        <w:pStyle w:val="4"/>
        <w:spacing w:before="195" w:after="195"/>
      </w:pPr>
      <w:r>
        <w:t>道路交通</w:t>
      </w:r>
      <w:r>
        <w:rPr>
          <w:rFonts w:hint="eastAsia"/>
        </w:rPr>
        <w:t>规划</w:t>
      </w:r>
    </w:p>
    <w:p>
      <w:pPr>
        <w:spacing w:before="65"/>
        <w:ind w:firstLine="640"/>
      </w:pPr>
      <w:r>
        <w:rPr>
          <w:rFonts w:hint="eastAsia"/>
        </w:rPr>
        <w:t>高速铁路：配合推动南商高铁的选线建设。</w:t>
      </w:r>
    </w:p>
    <w:p>
      <w:pPr>
        <w:spacing w:before="65"/>
        <w:ind w:firstLine="640"/>
      </w:pPr>
      <w:r>
        <w:rPr>
          <w:rFonts w:hint="eastAsia"/>
        </w:rPr>
        <w:t>高速公路：配合推动嵩内高速落地，与现状沪陕高速和内邓高速形成</w:t>
      </w:r>
      <w:r>
        <w:t>形成</w:t>
      </w:r>
      <w:r>
        <w:rPr>
          <w:rFonts w:hint="eastAsia"/>
        </w:rPr>
        <w:t>十字形</w:t>
      </w:r>
      <w:r>
        <w:t>高速公路骨架</w:t>
      </w:r>
      <w:r>
        <w:rPr>
          <w:rFonts w:hint="eastAsia"/>
        </w:rPr>
        <w:t>。</w:t>
      </w:r>
      <w:r>
        <w:t xml:space="preserve"> </w:t>
      </w:r>
    </w:p>
    <w:p>
      <w:pPr>
        <w:spacing w:before="65"/>
        <w:ind w:firstLine="640"/>
      </w:pPr>
      <w:r>
        <w:rPr>
          <w:rFonts w:hint="eastAsia"/>
        </w:rPr>
        <w:t>公路：改造提升国道</w:t>
      </w:r>
      <w:r>
        <w:t>G241和省道S330，结合</w:t>
      </w:r>
      <w:r>
        <w:rPr>
          <w:rFonts w:hint="eastAsia"/>
        </w:rPr>
        <w:t>现状保留的</w:t>
      </w:r>
      <w:r>
        <w:t>国道G312、县道X007、乡道Y013、Y014、Y018等，形成以赵店集镇区为中心，南北畅通（连接内乡城区、赤眉镇）、东西可达（淅川、镇平）的区域交通格局。</w:t>
      </w:r>
    </w:p>
    <w:p>
      <w:pPr>
        <w:spacing w:before="65"/>
        <w:ind w:firstLine="640"/>
      </w:pPr>
      <w:r>
        <w:rPr>
          <w:rFonts w:hint="eastAsia"/>
        </w:rPr>
        <w:t>乡域村道规划：完善加密村庄路网布局，建设“四好农村路”，提升城乡交通一体化水平。提高镇村联系的可达性，村组道路均完成水泥铺设，村组联系主要道路不低于</w:t>
      </w:r>
      <w:r>
        <w:t>5米，次要道路宽度不低于4米。</w:t>
      </w:r>
    </w:p>
    <w:p>
      <w:pPr>
        <w:pStyle w:val="4"/>
        <w:spacing w:before="195" w:after="195"/>
      </w:pPr>
      <w:r>
        <w:rPr>
          <w:rFonts w:hint="eastAsia"/>
        </w:rPr>
        <w:t>城乡公交站场</w:t>
      </w:r>
    </w:p>
    <w:bookmarkEnd w:id="128"/>
    <w:p>
      <w:pPr>
        <w:spacing w:before="65"/>
        <w:ind w:firstLine="640"/>
      </w:pPr>
      <w:r>
        <w:rPr>
          <w:rFonts w:hint="eastAsia"/>
        </w:rPr>
        <w:t>在集镇区西侧</w:t>
      </w:r>
      <w:r>
        <w:t>G241沿线设城乡</w:t>
      </w:r>
      <w:r>
        <w:rPr>
          <w:rFonts w:hint="eastAsia"/>
        </w:rPr>
        <w:t>客运站</w:t>
      </w:r>
      <w:r>
        <w:t>，服务整个乡域，到2035年实现村村通公交车，在大型新型农村社区设置城乡公交首末站，提升城乡公交覆盖率</w:t>
      </w:r>
      <w:r>
        <w:rPr>
          <w:rFonts w:hint="eastAsia"/>
        </w:rPr>
        <w:t>。</w:t>
      </w:r>
    </w:p>
    <w:p>
      <w:pPr>
        <w:pStyle w:val="3"/>
      </w:pPr>
      <w:bookmarkStart w:id="129" w:name="_Toc208238289"/>
      <w:r>
        <w:rPr>
          <w:rFonts w:hint="eastAsia"/>
        </w:rPr>
        <w:t>市政公用设施规划</w:t>
      </w:r>
      <w:bookmarkEnd w:id="129"/>
    </w:p>
    <w:p>
      <w:pPr>
        <w:pStyle w:val="4"/>
        <w:spacing w:before="195" w:after="195"/>
      </w:pPr>
      <w:r>
        <w:rPr>
          <w:rFonts w:hint="eastAsia"/>
        </w:rPr>
        <w:t>给水工程规划</w:t>
      </w:r>
    </w:p>
    <w:p>
      <w:pPr>
        <w:spacing w:before="65"/>
        <w:ind w:firstLine="640"/>
      </w:pPr>
      <w:bookmarkStart w:id="130" w:name="OLE_LINK23"/>
      <w:bookmarkStart w:id="131" w:name="OLE_LINK24"/>
      <w:r>
        <w:rPr>
          <w:rFonts w:hint="eastAsia"/>
        </w:rPr>
        <w:t>预测乡域最高日总用水量为</w:t>
      </w:r>
      <w:r>
        <w:t>0.5万立方米/日。</w:t>
      </w:r>
    </w:p>
    <w:bookmarkEnd w:id="130"/>
    <w:bookmarkEnd w:id="131"/>
    <w:p>
      <w:pPr>
        <w:spacing w:before="65"/>
        <w:ind w:firstLine="640"/>
      </w:pPr>
      <w:bookmarkStart w:id="132" w:name="OLE_LINK22"/>
      <w:r>
        <w:rPr>
          <w:rFonts w:hint="eastAsia"/>
        </w:rPr>
        <w:t>规划扩建赵店水厂，规模至</w:t>
      </w:r>
      <w:r>
        <w:t>0.35万立方米/日，供水水源采用南水北调水；规划保留村庄现状供水站，集镇区水厂与村庄供水站并网供水，并扩大供水范围，实现更大区域的跨村联村供水。受地形地势限制的地区，以单个或多个村庄为单位，实现集中供水</w:t>
      </w:r>
      <w:bookmarkEnd w:id="132"/>
      <w:r>
        <w:rPr>
          <w:rFonts w:hint="eastAsia"/>
        </w:rPr>
        <w:t>。</w:t>
      </w:r>
    </w:p>
    <w:p>
      <w:pPr>
        <w:pStyle w:val="4"/>
        <w:spacing w:before="195" w:after="195"/>
      </w:pPr>
      <w:r>
        <w:rPr>
          <w:rFonts w:hint="eastAsia"/>
        </w:rPr>
        <w:t>排水工程规划</w:t>
      </w:r>
    </w:p>
    <w:p>
      <w:pPr>
        <w:spacing w:before="65"/>
        <w:ind w:firstLine="640"/>
      </w:pPr>
      <w:r>
        <w:rPr>
          <w:rFonts w:hint="eastAsia"/>
        </w:rPr>
        <w:t>规划集镇区采用雨污分流制排水系统，村庄一般采用合流制，有条件时采用分流制。</w:t>
      </w:r>
    </w:p>
    <w:p>
      <w:pPr>
        <w:spacing w:before="65"/>
        <w:ind w:firstLine="640"/>
      </w:pPr>
      <w:bookmarkStart w:id="133" w:name="OLE_LINK25"/>
      <w:r>
        <w:rPr>
          <w:rFonts w:hint="eastAsia"/>
        </w:rPr>
        <w:t>预测乡域最高日总污水量为</w:t>
      </w:r>
      <w:r>
        <w:t>0.34万立方米/日。</w:t>
      </w:r>
    </w:p>
    <w:p>
      <w:pPr>
        <w:spacing w:before="65"/>
        <w:ind w:firstLine="640"/>
      </w:pPr>
      <w:r>
        <w:rPr>
          <w:rFonts w:hint="eastAsia"/>
        </w:rPr>
        <w:t>规划赵店乡集镇区新建污水处理厂，污水厂规模为</w:t>
      </w:r>
      <w:r>
        <w:t>0.1万立方米/日；</w:t>
      </w:r>
      <w:bookmarkEnd w:id="133"/>
      <w:r>
        <w:t>污水处理厂出水水质要求达到《城镇污水处理厂污染物排放标准》（GB 18918-2002）中规定的一级A标准，处理达标后排入</w:t>
      </w:r>
      <w:r>
        <w:rPr>
          <w:rFonts w:hint="eastAsia"/>
        </w:rPr>
        <w:t>长城河</w:t>
      </w:r>
      <w:r>
        <w:t>。花凹村、红堰村等集中连片的村庄单独建设小型污水处理站集中处理生活污水；长岭村等村民居住分散的村庄利用小型污水处理罐进行分户处理。</w:t>
      </w:r>
    </w:p>
    <w:p>
      <w:pPr>
        <w:spacing w:before="65"/>
        <w:ind w:firstLine="640"/>
      </w:pPr>
      <w:r>
        <w:rPr>
          <w:rFonts w:hint="eastAsia"/>
        </w:rPr>
        <w:t>雨水排放系统坚持就近、分散排放的原则。雨水管渠应充分利用自然河流水系、充分尊重原有生态基底，巧妙利用地形地貌实现雨水自然排放，必要时设置排涝泵站。</w:t>
      </w:r>
    </w:p>
    <w:p>
      <w:pPr>
        <w:pStyle w:val="4"/>
        <w:spacing w:before="195" w:after="195"/>
      </w:pPr>
      <w:r>
        <w:rPr>
          <w:rFonts w:hint="eastAsia"/>
        </w:rPr>
        <w:t>电力工程规划</w:t>
      </w:r>
    </w:p>
    <w:p>
      <w:pPr>
        <w:spacing w:before="65"/>
        <w:ind w:firstLine="640"/>
      </w:pPr>
      <w:bookmarkStart w:id="134" w:name="OLE_LINK26"/>
      <w:bookmarkStart w:id="135" w:name="_Hlk140846865"/>
      <w:r>
        <w:rPr>
          <w:rFonts w:hint="eastAsia"/>
        </w:rPr>
        <w:t>预测乡域年总用电量为</w:t>
      </w:r>
      <w:r>
        <w:t>3360万千瓦时。</w:t>
      </w:r>
    </w:p>
    <w:p>
      <w:pPr>
        <w:spacing w:before="65"/>
        <w:ind w:firstLine="640"/>
      </w:pPr>
      <w:bookmarkStart w:id="136" w:name="OLE_LINK27"/>
      <w:r>
        <w:rPr>
          <w:rFonts w:hint="eastAsia"/>
        </w:rPr>
        <w:t>规划保留现状</w:t>
      </w:r>
      <w:r>
        <w:t>35千伏赵店变，新建35千伏黄营变，变电容量为1×10兆伏安。</w:t>
      </w:r>
      <w:bookmarkEnd w:id="134"/>
      <w:bookmarkEnd w:id="136"/>
    </w:p>
    <w:p>
      <w:pPr>
        <w:spacing w:before="65"/>
        <w:ind w:firstLine="640"/>
      </w:pPr>
      <w:r>
        <w:rPr>
          <w:rFonts w:hint="eastAsia"/>
        </w:rPr>
        <w:t>依据《城市电力规划规范》（</w:t>
      </w:r>
      <w:r>
        <w:t>GB/T 50293-2014），</w:t>
      </w:r>
      <w:bookmarkStart w:id="137" w:name="OLE_LINK28"/>
      <w:bookmarkStart w:id="138" w:name="OLE_LINK29"/>
      <w:r>
        <w:t>800千伏高压线设置80-90米的高压走廊；500千伏高压线设置60-75米宽的高压走廊；220千伏高压线设置30-40米宽的高压走廊；110千伏高压线设置15-25米宽的高压走廊；35千伏高压线设置15-20米宽的高压走廊；高压走廊控制区内严禁各种开发建设活动。</w:t>
      </w:r>
      <w:bookmarkEnd w:id="137"/>
      <w:bookmarkEnd w:id="138"/>
    </w:p>
    <w:bookmarkEnd w:id="135"/>
    <w:p>
      <w:pPr>
        <w:pStyle w:val="4"/>
        <w:spacing w:before="195" w:after="195"/>
      </w:pPr>
      <w:r>
        <w:rPr>
          <w:rFonts w:hint="eastAsia"/>
        </w:rPr>
        <w:t>通信工程规划</w:t>
      </w:r>
    </w:p>
    <w:p>
      <w:pPr>
        <w:spacing w:before="65"/>
        <w:ind w:firstLine="640"/>
      </w:pPr>
      <w:bookmarkStart w:id="139" w:name="OLE_LINK31"/>
      <w:bookmarkStart w:id="140" w:name="OLE_LINK32"/>
      <w:r>
        <w:rPr>
          <w:rFonts w:hint="eastAsia"/>
        </w:rPr>
        <w:t>预测乡域固定电话总量为</w:t>
      </w:r>
      <w:r>
        <w:t>1.12万线。</w:t>
      </w:r>
    </w:p>
    <w:p>
      <w:pPr>
        <w:spacing w:before="65"/>
        <w:ind w:firstLine="640"/>
      </w:pPr>
      <w:r>
        <w:rPr>
          <w:rFonts w:hint="eastAsia"/>
        </w:rPr>
        <w:t>积极采用高科技、新技术、新设备，建设完善大容量、高速率、广覆盖的集电信网、数据网及有线广播电视网三网合一的综合通信系统，并且数据传输光缆及电信管道统一规划、建设，适应城镇发展要求。</w:t>
      </w:r>
    </w:p>
    <w:p>
      <w:pPr>
        <w:spacing w:before="65"/>
        <w:ind w:firstLine="640"/>
      </w:pPr>
      <w:r>
        <w:rPr>
          <w:rFonts w:hint="eastAsia"/>
        </w:rPr>
        <w:t>升级完善和合理布局广电设施，提升广电网络功能，推广电视、广播的数字化、高清化和网络化，筹建大功率广播电视发射中心，继续推进“村村通”工程，到</w:t>
      </w:r>
      <w:r>
        <w:t>2035年实现全镇广播电视人口综合覆盖率100%。</w:t>
      </w:r>
    </w:p>
    <w:bookmarkEnd w:id="139"/>
    <w:bookmarkEnd w:id="140"/>
    <w:p>
      <w:pPr>
        <w:pStyle w:val="4"/>
        <w:spacing w:before="195" w:after="195"/>
      </w:pPr>
      <w:r>
        <w:rPr>
          <w:rFonts w:hint="eastAsia"/>
        </w:rPr>
        <w:t>燃气工程规划</w:t>
      </w:r>
    </w:p>
    <w:p>
      <w:pPr>
        <w:spacing w:before="65"/>
        <w:ind w:firstLine="640"/>
      </w:pPr>
      <w:bookmarkStart w:id="141" w:name="OLE_LINK30"/>
      <w:r>
        <w:rPr>
          <w:rFonts w:hint="eastAsia"/>
        </w:rPr>
        <w:t>预测乡域天然气总量为</w:t>
      </w:r>
      <w:r>
        <w:t>160万立方米/年。</w:t>
      </w:r>
    </w:p>
    <w:p>
      <w:pPr>
        <w:spacing w:before="65"/>
        <w:ind w:firstLine="640"/>
      </w:pPr>
      <w:r>
        <w:rPr>
          <w:rFonts w:hint="eastAsia"/>
        </w:rPr>
        <w:t>规划气源接自西气东输三线。规划集镇区敷设中压燃气管网，有条件的村庄引入天然气管道</w:t>
      </w:r>
      <w:bookmarkEnd w:id="141"/>
      <w:r>
        <w:rPr>
          <w:rFonts w:hint="eastAsia"/>
        </w:rPr>
        <w:t>。</w:t>
      </w:r>
    </w:p>
    <w:p>
      <w:pPr>
        <w:pStyle w:val="4"/>
        <w:spacing w:before="195" w:after="195"/>
      </w:pPr>
      <w:r>
        <w:rPr>
          <w:rFonts w:hint="eastAsia"/>
        </w:rPr>
        <w:t>环卫工程规划</w:t>
      </w:r>
    </w:p>
    <w:p>
      <w:pPr>
        <w:spacing w:before="65"/>
        <w:ind w:firstLine="640"/>
      </w:pPr>
      <w:r>
        <w:rPr>
          <w:rFonts w:hint="eastAsia"/>
        </w:rPr>
        <w:t>因此至</w:t>
      </w:r>
      <w:r>
        <w:t>2035年，规划预测全乡产生生活垃圾最高日产量为28.10吨/天。</w:t>
      </w:r>
    </w:p>
    <w:p>
      <w:pPr>
        <w:spacing w:before="65"/>
        <w:ind w:firstLine="640"/>
      </w:pPr>
      <w:r>
        <w:rPr>
          <w:rFonts w:hint="eastAsia"/>
        </w:rPr>
        <w:t>建立由垃圾收集点——生活垃圾转运站构成的二级垃圾收集转运系统。在各村设置垃圾投放生活垃圾收集点，由乡镇进行生活垃圾转运。生活垃圾转运站位于集镇区西南部G</w:t>
      </w:r>
      <w:r>
        <w:t>241</w:t>
      </w:r>
      <w:r>
        <w:rPr>
          <w:rFonts w:hint="eastAsia"/>
        </w:rPr>
        <w:t>路西。实行垃圾减量化、资源化、无害化，完善生活垃圾收集运输体系，实现密闭化收运，做到垃圾日产日清。</w:t>
      </w:r>
    </w:p>
    <w:p>
      <w:pPr>
        <w:spacing w:before="65"/>
        <w:ind w:firstLine="640"/>
      </w:pPr>
      <w:r>
        <w:rPr>
          <w:rFonts w:hint="eastAsia"/>
        </w:rPr>
        <w:t>乡镇产生的生活垃圾运至西峡县南水北调汇水区生活垃圾焚烧发电厂进行焚烧处理；建筑垃圾以回用受纳为主，依托建筑垃圾信息交易平台，尽量从产生地直接运送到需求地；医疗垃圾应采用医疗卫生垃圾专用车运输，统一运输至南阳市医疗垃圾集中处理中心处理；工业一般垃圾以各厂区内部处置为主，资源化与最终处置相结合；危险废弃物纳入南阳市危废处置系统，运至南阳危废处置中心安全处置。</w:t>
      </w:r>
    </w:p>
    <w:p>
      <w:pPr>
        <w:pStyle w:val="3"/>
      </w:pPr>
      <w:bookmarkStart w:id="142" w:name="_Toc208238290"/>
      <w:r>
        <w:rPr>
          <w:rFonts w:hint="eastAsia"/>
        </w:rPr>
        <w:t>公共服务设施规划</w:t>
      </w:r>
      <w:bookmarkEnd w:id="142"/>
    </w:p>
    <w:p>
      <w:pPr>
        <w:pStyle w:val="4"/>
        <w:spacing w:before="195" w:after="195"/>
      </w:pPr>
      <w:bookmarkStart w:id="143" w:name="_Hlk200522761"/>
      <w:r>
        <w:t>教育设施</w:t>
      </w:r>
    </w:p>
    <w:p>
      <w:pPr>
        <w:spacing w:before="65"/>
        <w:ind w:firstLine="640"/>
      </w:pPr>
      <w:bookmarkStart w:id="144" w:name="_Hlk209796975"/>
      <w:r>
        <w:rPr>
          <w:rFonts w:hint="eastAsia"/>
        </w:rPr>
        <w:t>规划保留现状一处中学，位于集镇区的赵店乡第一初级中学；规划保留小学</w:t>
      </w:r>
      <w:r>
        <w:t>6所</w:t>
      </w:r>
      <w:r>
        <w:rPr>
          <w:rFonts w:hint="eastAsia"/>
        </w:rPr>
        <w:t>，引导农村小学逐步集中到集镇区及中心村</w:t>
      </w:r>
      <w:r>
        <w:t>；规划</w:t>
      </w:r>
      <w:r>
        <w:rPr>
          <w:rFonts w:hint="eastAsia"/>
        </w:rPr>
        <w:t>保留</w:t>
      </w:r>
      <w:r>
        <w:t>幼儿园15</w:t>
      </w:r>
      <w:r>
        <w:rPr>
          <w:rFonts w:hint="eastAsia"/>
        </w:rPr>
        <w:t>所，</w:t>
      </w:r>
      <w:r>
        <w:t>尽量结合</w:t>
      </w:r>
      <w:r>
        <w:rPr>
          <w:rFonts w:hint="eastAsia"/>
        </w:rPr>
        <w:t>中心村</w:t>
      </w:r>
      <w:r>
        <w:t>设置</w:t>
      </w:r>
      <w:r>
        <w:rPr>
          <w:rFonts w:hint="eastAsia"/>
        </w:rPr>
        <w:t>；根据生源和政策动态调整各行政村教学点。已停用的学校根据《河南省农村中小学闲置校园校舍处置工作指导意见》（豫教发规〔</w:t>
      </w:r>
      <w:r>
        <w:t>2015〕7号）文件要求进行处理</w:t>
      </w:r>
      <w:r>
        <w:rPr>
          <w:rFonts w:hint="eastAsia"/>
        </w:rPr>
        <w:t>。</w:t>
      </w:r>
      <w:bookmarkEnd w:id="144"/>
    </w:p>
    <w:p>
      <w:pPr>
        <w:pStyle w:val="4"/>
        <w:spacing w:before="195" w:after="195"/>
      </w:pPr>
      <w:r>
        <w:t>文化体育设施</w:t>
      </w:r>
    </w:p>
    <w:p>
      <w:pPr>
        <w:spacing w:before="65"/>
        <w:ind w:firstLine="640"/>
        <w:rPr>
          <w:rFonts w:ascii="仿宋_GB2312" w:hAnsi="仿宋_GB2312" w:cs="仿宋_GB2312"/>
        </w:rPr>
      </w:pPr>
      <w:r>
        <w:t>规划</w:t>
      </w:r>
      <w:r>
        <w:rPr>
          <w:rFonts w:hint="eastAsia"/>
        </w:rPr>
        <w:t>保留集镇区文化站；集镇区北侧规划新增一处体育中心；规划</w:t>
      </w:r>
      <w:r>
        <w:t>各村庄设置文化活动室和农家书屋各1处，宜集合党群服务中心设置</w:t>
      </w:r>
      <w:r>
        <w:rPr>
          <w:rFonts w:hint="eastAsia"/>
        </w:rPr>
        <w:t>；</w:t>
      </w:r>
      <w:r>
        <w:t>规划各村庄设置健身广场各1处，宜结合文化活动室，村庄广场设置</w:t>
      </w:r>
      <w:r>
        <w:rPr>
          <w:rFonts w:hint="eastAsia"/>
        </w:rPr>
        <w:t>。鼓励郦城村、张庄村等有民俗文化特色的村庄设置</w:t>
      </w:r>
      <w:r>
        <w:rPr>
          <w:rFonts w:hint="eastAsia" w:ascii="仿宋_GB2312" w:hAnsi="仿宋_GB2312" w:cs="仿宋_GB2312"/>
        </w:rPr>
        <w:t>特色民俗活动点，有条件的村庄</w:t>
      </w:r>
      <w:r>
        <w:rPr>
          <w:rFonts w:hint="eastAsia"/>
        </w:rPr>
        <w:t>可设置</w:t>
      </w:r>
      <w:r>
        <w:rPr>
          <w:rFonts w:hint="eastAsia" w:ascii="仿宋_GB2312" w:hAnsi="仿宋_GB2312" w:cs="仿宋_GB2312"/>
        </w:rPr>
        <w:t>红白喜事厅。</w:t>
      </w:r>
    </w:p>
    <w:p>
      <w:pPr>
        <w:pStyle w:val="4"/>
        <w:spacing w:before="195" w:after="195"/>
      </w:pPr>
      <w:r>
        <w:t>医疗卫生设施</w:t>
      </w:r>
    </w:p>
    <w:p>
      <w:pPr>
        <w:spacing w:before="65"/>
        <w:ind w:firstLine="640"/>
      </w:pPr>
      <w:r>
        <w:rPr>
          <w:rFonts w:hint="eastAsia"/>
        </w:rPr>
        <w:t>提升乡镇基层医疗卫生设施服务水平，落实乡镇卫生院中医馆设置</w:t>
      </w:r>
      <w:r>
        <w:rPr>
          <w:rFonts w:hint="eastAsia" w:ascii="仿宋_GB2312" w:hAnsi="仿宋_GB2312" w:cs="仿宋_GB2312"/>
        </w:rPr>
        <w:t>，乡镇卫生院、村卫生室建设和服务能力全部达</w:t>
      </w:r>
      <w:r>
        <w:rPr>
          <w:rFonts w:hint="eastAsia"/>
        </w:rPr>
        <w:t>标等建设任务。完善乡镇基层医疗卫生设施配置。集镇区保留</w:t>
      </w:r>
      <w:r>
        <w:t>1处现状卫生院，每处床位数控制在50-200床</w:t>
      </w:r>
      <w:r>
        <w:rPr>
          <w:rFonts w:hint="eastAsia"/>
        </w:rPr>
        <w:t>。规划按照一村一室进行配置村级卫生室</w:t>
      </w:r>
      <w:r>
        <w:t>。对现有村庄卫</w:t>
      </w:r>
      <w:r>
        <w:rPr>
          <w:rFonts w:hint="eastAsia"/>
        </w:rPr>
        <w:t>生室进行提升，强化基层医疗作用，做到小病不出村。</w:t>
      </w:r>
    </w:p>
    <w:p>
      <w:pPr>
        <w:pStyle w:val="4"/>
        <w:spacing w:before="195" w:after="195"/>
      </w:pPr>
      <w:r>
        <w:t>社会福利设施</w:t>
      </w:r>
    </w:p>
    <w:p>
      <w:pPr>
        <w:spacing w:before="65"/>
        <w:ind w:firstLine="640"/>
      </w:pPr>
      <w:r>
        <w:rPr>
          <w:rFonts w:hint="eastAsia"/>
        </w:rPr>
        <w:t>集镇区规划保留提质</w:t>
      </w:r>
      <w:r>
        <w:t>1所敬老院、床位数控制在200床以内</w:t>
      </w:r>
      <w:r>
        <w:rPr>
          <w:rFonts w:hint="eastAsia"/>
        </w:rPr>
        <w:t>，</w:t>
      </w:r>
      <w:bookmarkStart w:id="145" w:name="_Hlk207371840"/>
      <w:r>
        <w:rPr>
          <w:rFonts w:hint="eastAsia"/>
        </w:rPr>
        <w:t>花凹村、范营村、莲花村、黄营村</w:t>
      </w:r>
      <w:bookmarkEnd w:id="145"/>
      <w:r>
        <w:rPr>
          <w:rFonts w:hint="eastAsia"/>
        </w:rPr>
        <w:t>等中心村各规划一处日间照料中心，提供老年人日托服务，包括餐饮、文娱、健身、医疗保健等。</w:t>
      </w:r>
      <w:bookmarkStart w:id="146" w:name="_Hlk200545963"/>
      <w:r>
        <w:rPr>
          <w:rFonts w:hint="eastAsia"/>
        </w:rPr>
        <w:t>其他村庄与村委会结合居家养老服务站，提供居家养老相关服务</w:t>
      </w:r>
      <w:bookmarkEnd w:id="146"/>
      <w:r>
        <w:rPr>
          <w:rFonts w:hint="eastAsia"/>
        </w:rPr>
        <w:t>。</w:t>
      </w:r>
    </w:p>
    <w:p>
      <w:pPr>
        <w:pStyle w:val="4"/>
        <w:spacing w:before="195" w:after="195"/>
      </w:pPr>
      <w:r>
        <w:t>商业服务设施</w:t>
      </w:r>
    </w:p>
    <w:p>
      <w:pPr>
        <w:spacing w:before="65"/>
        <w:ind w:firstLine="640"/>
      </w:pPr>
      <w:r>
        <w:rPr>
          <w:rFonts w:hint="eastAsia"/>
        </w:rPr>
        <w:t>保留集镇区现状部分质量较好、商品丰富的商业服务设施。规划花凹村、范营村、莲花村、黄营村等中心村建设小型农贸市场及小型百货超市，服务于周边村庄。</w:t>
      </w:r>
    </w:p>
    <w:p>
      <w:pPr>
        <w:pStyle w:val="4"/>
        <w:spacing w:before="195" w:after="195"/>
      </w:pPr>
      <w:r>
        <w:t>殡葬设施</w:t>
      </w:r>
    </w:p>
    <w:p>
      <w:pPr>
        <w:spacing w:before="65"/>
        <w:ind w:firstLine="640"/>
      </w:pPr>
      <w:r>
        <w:rPr>
          <w:rFonts w:hint="eastAsia"/>
        </w:rPr>
        <w:t>规划赵店乡乡域建设占地不少于</w:t>
      </w:r>
      <w:r>
        <w:t>50亩的公益性公墓，满足居民基本丧葬需求。</w:t>
      </w:r>
      <w:bookmarkEnd w:id="143"/>
    </w:p>
    <w:p>
      <w:pPr>
        <w:pStyle w:val="3"/>
      </w:pPr>
      <w:bookmarkStart w:id="147" w:name="_Toc208238291"/>
      <w:r>
        <w:rPr>
          <w:rFonts w:hint="eastAsia"/>
        </w:rPr>
        <w:t>防灾减灾规划</w:t>
      </w:r>
      <w:bookmarkEnd w:id="147"/>
    </w:p>
    <w:p>
      <w:pPr>
        <w:pStyle w:val="4"/>
        <w:spacing w:before="195" w:after="195"/>
      </w:pPr>
      <w:bookmarkStart w:id="148" w:name="_Hlk151384900"/>
      <w:r>
        <w:rPr>
          <w:rFonts w:hint="eastAsia"/>
        </w:rPr>
        <w:t>主要灾害防灾标准</w:t>
      </w:r>
    </w:p>
    <w:bookmarkEnd w:id="148"/>
    <w:p>
      <w:pPr>
        <w:pStyle w:val="5"/>
        <w:numPr>
          <w:ilvl w:val="3"/>
          <w:numId w:val="2"/>
        </w:numPr>
        <w:spacing w:before="97" w:after="97"/>
        <w:ind w:firstLine="640"/>
      </w:pPr>
      <w:r>
        <w:rPr>
          <w:rFonts w:hint="eastAsia"/>
        </w:rPr>
        <w:t>防洪标准</w:t>
      </w:r>
    </w:p>
    <w:p>
      <w:pPr>
        <w:spacing w:before="65"/>
        <w:ind w:firstLine="640"/>
      </w:pPr>
      <w:bookmarkStart w:id="149" w:name="_Hlk151385439"/>
      <w:r>
        <w:rPr>
          <w:rFonts w:hint="eastAsia"/>
        </w:rPr>
        <w:t>规划赵店乡集镇区水系设防标准为</w:t>
      </w:r>
      <w:r>
        <w:t>20年一遇</w:t>
      </w:r>
      <w:r>
        <w:rPr>
          <w:rFonts w:hint="eastAsia"/>
        </w:rPr>
        <w:t>，乡村防洪标准为</w:t>
      </w:r>
      <w:r>
        <w:t>10年一遇</w:t>
      </w:r>
      <w:r>
        <w:rPr>
          <w:rFonts w:hint="eastAsia"/>
        </w:rPr>
        <w:t>。</w:t>
      </w:r>
    </w:p>
    <w:bookmarkEnd w:id="149"/>
    <w:p>
      <w:pPr>
        <w:pStyle w:val="5"/>
        <w:numPr>
          <w:ilvl w:val="3"/>
          <w:numId w:val="2"/>
        </w:numPr>
        <w:spacing w:before="97" w:after="97"/>
        <w:ind w:firstLine="640"/>
      </w:pPr>
      <w:r>
        <w:rPr>
          <w:rFonts w:hint="eastAsia"/>
        </w:rPr>
        <w:t>排涝标准</w:t>
      </w:r>
    </w:p>
    <w:p>
      <w:pPr>
        <w:spacing w:before="65"/>
        <w:ind w:firstLine="640"/>
      </w:pPr>
      <w:r>
        <w:rPr>
          <w:rFonts w:hint="eastAsia"/>
        </w:rPr>
        <w:t>规划赵店乡集镇区内涝防治设计重现期为</w:t>
      </w:r>
      <w:r>
        <w:t>20年一遇，对超过内涝防治设计重现期的降雨，按照应急预案要求采取应急措施。</w:t>
      </w:r>
    </w:p>
    <w:p>
      <w:pPr>
        <w:pStyle w:val="5"/>
        <w:numPr>
          <w:ilvl w:val="3"/>
          <w:numId w:val="2"/>
        </w:numPr>
        <w:spacing w:before="97" w:after="97"/>
        <w:ind w:firstLine="640"/>
      </w:pPr>
      <w:r>
        <w:rPr>
          <w:rFonts w:hint="eastAsia"/>
        </w:rPr>
        <w:t>抗震规划</w:t>
      </w:r>
    </w:p>
    <w:p>
      <w:pPr>
        <w:spacing w:before="65"/>
        <w:ind w:firstLine="640"/>
      </w:pPr>
      <w:r>
        <w:rPr>
          <w:rFonts w:hint="eastAsia"/>
          <w:u w:val="single"/>
        </w:rPr>
        <w:t>赵店乡集镇区地震烈度为</w:t>
      </w:r>
      <w:r>
        <w:rPr>
          <w:u w:val="single"/>
        </w:rPr>
        <w:t>7度，新建、扩建、改建建设工程应按7度进行抗震设防，重要建筑和生命线工程应按8度标准加强抗震措施。</w:t>
      </w:r>
      <w:r>
        <w:t>重大建设工程、可能产生严重次生灾害的建设工程应当进行地震安全性评价，并根据安全性评价报告确定抗震设防措施。学校、医院等人员密集场所应当按照高于7度标准加强抗震措施。</w:t>
      </w:r>
    </w:p>
    <w:p>
      <w:pPr>
        <w:pStyle w:val="4"/>
        <w:spacing w:before="195" w:after="195"/>
      </w:pPr>
      <w:r>
        <w:rPr>
          <w:rFonts w:hint="eastAsia"/>
        </w:rPr>
        <w:t>构建防灾安全空间格局</w:t>
      </w:r>
    </w:p>
    <w:p>
      <w:pPr>
        <w:spacing w:before="48"/>
        <w:ind w:firstLine="640"/>
      </w:pPr>
      <w:r>
        <w:rPr>
          <w:rFonts w:hint="eastAsia"/>
        </w:rPr>
        <w:t>结合全乡主要交通干线，构建乡域救灾感应体系，与全县共同构建县-乡镇</w:t>
      </w:r>
      <w:r>
        <w:t>-村</w:t>
      </w:r>
      <w:r>
        <w:rPr>
          <w:rFonts w:hint="eastAsia"/>
        </w:rPr>
        <w:t>三</w:t>
      </w:r>
      <w:r>
        <w:t>级防灾设施体系。</w:t>
      </w:r>
      <w:r>
        <w:rPr>
          <w:rFonts w:hint="eastAsia"/>
        </w:rPr>
        <w:t>国道</w:t>
      </w:r>
      <w:r>
        <w:t>G241、G312为全镇的快速救援通道，疏散道路主要由县道X007、X004乡道Y013、Y021、Y018等组成</w:t>
      </w:r>
      <w:r>
        <w:rPr>
          <w:rFonts w:hint="eastAsia"/>
        </w:rPr>
        <w:t>，规划强化救灾干道防灾性能，</w:t>
      </w:r>
      <w:r>
        <w:t>加强疏散通道沿线地区地质灾害和山洪灾害的工程治理。</w:t>
      </w:r>
    </w:p>
    <w:p>
      <w:pPr>
        <w:pStyle w:val="4"/>
        <w:spacing w:before="195" w:after="195"/>
      </w:pPr>
      <w:r>
        <w:rPr>
          <w:rFonts w:hint="eastAsia"/>
        </w:rPr>
        <w:t>重大防灾设施配置</w:t>
      </w:r>
    </w:p>
    <w:p>
      <w:pPr>
        <w:pStyle w:val="5"/>
        <w:ind w:firstLine="640"/>
      </w:pPr>
      <w:r>
        <w:t>应急指挥设施体系</w:t>
      </w:r>
    </w:p>
    <w:p>
      <w:pPr>
        <w:spacing w:before="65"/>
        <w:ind w:firstLine="640"/>
      </w:pPr>
      <w:r>
        <w:rPr>
          <w:rFonts w:hint="eastAsia"/>
        </w:rPr>
        <w:t>设置镇（乡）</w:t>
      </w:r>
      <w:r>
        <w:t>-村两级防灾应急指挥系统，集镇区设置应急指挥中心1处，位于赵店乡人民政府，村综合防灾应急指挥中心设在各村村委会。</w:t>
      </w:r>
    </w:p>
    <w:p>
      <w:pPr>
        <w:pStyle w:val="5"/>
        <w:ind w:firstLine="640"/>
      </w:pPr>
      <w:r>
        <w:t>应急救灾物资储备设施</w:t>
      </w:r>
    </w:p>
    <w:p>
      <w:pPr>
        <w:spacing w:before="65"/>
        <w:ind w:firstLine="640"/>
      </w:pPr>
      <w:r>
        <w:rPr>
          <w:rFonts w:hint="eastAsia"/>
        </w:rPr>
        <w:t>集镇区结合乡镇人民政府设置救灾物资储备库，并配置装卸设备、技防设备、物资保管维护设备、交通工具（应急调度车、救灾物资转运车）与通讯调度设备等。</w:t>
      </w:r>
    </w:p>
    <w:p>
      <w:pPr>
        <w:pStyle w:val="5"/>
        <w:ind w:firstLine="640"/>
      </w:pPr>
      <w:r>
        <w:t>应急医疗</w:t>
      </w:r>
      <w:r>
        <w:rPr>
          <w:rFonts w:hint="eastAsia"/>
        </w:rPr>
        <w:t>设施</w:t>
      </w:r>
    </w:p>
    <w:p>
      <w:pPr>
        <w:spacing w:before="65"/>
        <w:ind w:firstLine="640"/>
      </w:pPr>
      <w:bookmarkStart w:id="150" w:name="_Hlk179985582"/>
      <w:r>
        <w:rPr>
          <w:rFonts w:hint="eastAsia"/>
        </w:rPr>
        <w:t>集镇区依托卫生院设置乡镇级应急医疗设施，各村分别规划设置</w:t>
      </w:r>
      <w:r>
        <w:t>1处村级应急医疗设施。</w:t>
      </w:r>
      <w:bookmarkEnd w:id="150"/>
    </w:p>
    <w:p>
      <w:pPr>
        <w:pStyle w:val="5"/>
        <w:ind w:firstLine="640"/>
      </w:pPr>
      <w:r>
        <w:t>消防设施</w:t>
      </w:r>
    </w:p>
    <w:p>
      <w:pPr>
        <w:spacing w:before="65"/>
        <w:ind w:firstLine="640"/>
      </w:pPr>
      <w:r>
        <w:rPr>
          <w:rFonts w:hint="eastAsia"/>
        </w:rPr>
        <w:t>在集镇区设置</w:t>
      </w:r>
      <w:bookmarkStart w:id="151" w:name="OLE_LINK12"/>
      <w:r>
        <w:rPr>
          <w:rFonts w:hint="eastAsia"/>
        </w:rPr>
        <w:t>一处</w:t>
      </w:r>
      <w:bookmarkEnd w:id="151"/>
      <w:r>
        <w:rPr>
          <w:rFonts w:hint="eastAsia"/>
        </w:rPr>
        <w:t>二级乡镇专职消防队</w:t>
      </w:r>
      <w:r>
        <w:t>，</w:t>
      </w:r>
      <w:bookmarkStart w:id="152" w:name="OLE_LINK3"/>
      <w:bookmarkStart w:id="153" w:name="_Hlk209790096"/>
      <w:r>
        <w:t>服从内乡县消防系统的指挥和调遣。</w:t>
      </w:r>
      <w:bookmarkEnd w:id="152"/>
      <w:bookmarkEnd w:id="153"/>
      <w:r>
        <w:rPr>
          <w:rFonts w:hint="eastAsia"/>
        </w:rPr>
        <w:t>行政村设置乡村志愿消防队。</w:t>
      </w:r>
    </w:p>
    <w:p>
      <w:pPr>
        <w:pStyle w:val="4"/>
        <w:spacing w:before="195" w:after="195"/>
      </w:pPr>
      <w:r>
        <w:rPr>
          <w:rFonts w:hint="eastAsia"/>
        </w:rPr>
        <w:t>防治措施</w:t>
      </w:r>
    </w:p>
    <w:p>
      <w:pPr>
        <w:pStyle w:val="5"/>
        <w:ind w:firstLine="640"/>
      </w:pPr>
      <w:bookmarkStart w:id="154" w:name="OLE_LINK4"/>
      <w:bookmarkStart w:id="155" w:name="_Hlk207981420"/>
      <w:r>
        <w:rPr>
          <w:rFonts w:hint="eastAsia"/>
        </w:rPr>
        <w:t>防洪排涝规划措施</w:t>
      </w:r>
    </w:p>
    <w:p>
      <w:pPr>
        <w:spacing w:before="65"/>
        <w:ind w:firstLine="640"/>
      </w:pPr>
      <w:r>
        <w:rPr>
          <w:rFonts w:hint="eastAsia"/>
        </w:rPr>
        <w:t>防洪措施：疏浚行洪河道，提高河道堤防标准，加强河道绿化防护带建设；沿山体设置截洪沟，截洪沟及冲沟应按规划有计划、有步骤地进行治理；建立洪水预警预报系统，防洪决策支持系统，制定超标洪水应急措施。</w:t>
      </w:r>
    </w:p>
    <w:p>
      <w:pPr>
        <w:spacing w:before="65"/>
        <w:ind w:firstLine="640"/>
      </w:pPr>
      <w:r>
        <w:rPr>
          <w:rFonts w:hint="eastAsia"/>
        </w:rPr>
        <w:t>防涝措施：完善集镇区雨水管网及排涝设施建设，采取改造原排水河道、改造旧排水管网、增建新管网、实施雨污分流以及污水集中处理和回用等措施；利用公园绿地、低洼地区及周边农田建设调蓄空间。</w:t>
      </w:r>
    </w:p>
    <w:p>
      <w:pPr>
        <w:pStyle w:val="5"/>
        <w:ind w:firstLine="640"/>
      </w:pPr>
      <w:r>
        <w:t>抗震灾害防治</w:t>
      </w:r>
    </w:p>
    <w:p>
      <w:pPr>
        <w:spacing w:before="65"/>
        <w:ind w:firstLine="640"/>
      </w:pPr>
      <w:r>
        <w:rPr>
          <w:rFonts w:hint="eastAsia"/>
        </w:rPr>
        <w:t>（1）</w:t>
      </w:r>
      <w:r>
        <w:t>避震疏散场地</w:t>
      </w:r>
    </w:p>
    <w:p>
      <w:pPr>
        <w:spacing w:before="65"/>
        <w:ind w:firstLine="640"/>
      </w:pPr>
      <w:r>
        <w:rPr>
          <w:rFonts w:hint="eastAsia"/>
        </w:rPr>
        <w:t>利用公园、绿地、广场、体育场、停车场、学校操场等开敞空间设置人员避震疏散场地，固定避难场所人均有效避难面积不小于</w:t>
      </w:r>
      <w:r>
        <w:t>2.0平方米。</w:t>
      </w:r>
    </w:p>
    <w:p>
      <w:pPr>
        <w:spacing w:before="65"/>
        <w:ind w:firstLine="640"/>
      </w:pPr>
      <w:r>
        <w:rPr>
          <w:rFonts w:hint="eastAsia"/>
        </w:rPr>
        <w:t>（2）</w:t>
      </w:r>
      <w:r>
        <w:t>疏散救援通道</w:t>
      </w:r>
    </w:p>
    <w:p>
      <w:pPr>
        <w:spacing w:before="65"/>
        <w:ind w:firstLine="640"/>
      </w:pPr>
      <w:r>
        <w:rPr>
          <w:rFonts w:hint="eastAsia"/>
        </w:rPr>
        <w:t>以高速公路、国道、省道、县道作为一级疏散通道，保证震后有效宽度不小于</w:t>
      </w:r>
      <w:r>
        <w:t>15米；规划干</w:t>
      </w:r>
      <w:r>
        <w:rPr>
          <w:rFonts w:hint="eastAsia"/>
        </w:rPr>
        <w:t>道</w:t>
      </w:r>
      <w:r>
        <w:t>作为二级疏散通道，保证震后有效宽度不小于7米；规划</w:t>
      </w:r>
      <w:r>
        <w:rPr>
          <w:rFonts w:hint="eastAsia"/>
        </w:rPr>
        <w:t>支</w:t>
      </w:r>
      <w:r>
        <w:t>路作为三级疏散通道，保证震后有效宽度不小于4米。应严格控制抗震救灾疏散通道两侧的建筑高度及建筑后退红线距离。</w:t>
      </w:r>
    </w:p>
    <w:p>
      <w:pPr>
        <w:spacing w:before="65"/>
        <w:ind w:firstLine="640"/>
      </w:pPr>
      <w:r>
        <w:rPr>
          <w:rFonts w:hint="eastAsia"/>
        </w:rPr>
        <w:t>（3）</w:t>
      </w:r>
      <w:r>
        <w:t>抗震生命线系统</w:t>
      </w:r>
    </w:p>
    <w:p>
      <w:pPr>
        <w:spacing w:before="65"/>
        <w:ind w:firstLine="640"/>
      </w:pPr>
      <w:r>
        <w:rPr>
          <w:rFonts w:hint="eastAsia"/>
        </w:rPr>
        <w:t>城市生命线系统规划提高一度按</w:t>
      </w:r>
      <w:r>
        <w:t>8度标准设防，并采取设施地下化、对节点进行防灾处理及提高备用率等防灾措施，同时各生命线系统都要建立应急抢险队伍，提高生命线系统工程的防灾能力。</w:t>
      </w:r>
    </w:p>
    <w:p>
      <w:pPr>
        <w:pStyle w:val="5"/>
        <w:ind w:firstLine="640"/>
      </w:pPr>
      <w:r>
        <w:t>地质灾害防治规划</w:t>
      </w:r>
    </w:p>
    <w:p>
      <w:pPr>
        <w:spacing w:before="65"/>
        <w:ind w:firstLine="640"/>
      </w:pPr>
      <w:r>
        <w:rPr>
          <w:rFonts w:hint="eastAsia"/>
        </w:rPr>
        <w:t>（1）</w:t>
      </w:r>
      <w:r>
        <w:t>监测预警</w:t>
      </w:r>
    </w:p>
    <w:p>
      <w:pPr>
        <w:spacing w:before="65"/>
        <w:ind w:firstLine="640"/>
      </w:pPr>
      <w:r>
        <w:rPr>
          <w:rFonts w:hint="eastAsia"/>
        </w:rPr>
        <w:t>建设地质灾害监测预警体系，建立地质灾害群测群防预警网络及重点地区地质灾害隐患点的专业监测预报网络，建设全乡地质灾害空间数据库及信息系统。</w:t>
      </w:r>
    </w:p>
    <w:p>
      <w:pPr>
        <w:spacing w:before="65"/>
        <w:ind w:firstLine="640"/>
      </w:pPr>
      <w:r>
        <w:rPr>
          <w:rFonts w:hint="eastAsia"/>
        </w:rPr>
        <w:t>（2）</w:t>
      </w:r>
      <w:r>
        <w:t>工程治理</w:t>
      </w:r>
    </w:p>
    <w:p>
      <w:pPr>
        <w:spacing w:before="65"/>
        <w:ind w:firstLine="640"/>
      </w:pPr>
      <w:r>
        <w:rPr>
          <w:rFonts w:hint="eastAsia"/>
        </w:rPr>
        <w:t>对危害公共安全、可能造成人员群死群伤和较大财产损失的、避让搬迁选址困难但易于工程治理的地质灾害隐患点，依据轻重缓急，有计划地分期、分批实施地质灾害治理工程。对于山洪易发地区，加强水土流失治理，极大限度减少泥石流灾害的发生。</w:t>
      </w:r>
    </w:p>
    <w:p>
      <w:pPr>
        <w:spacing w:before="65"/>
        <w:ind w:firstLine="640"/>
      </w:pPr>
      <w:r>
        <w:rPr>
          <w:rFonts w:hint="eastAsia"/>
        </w:rPr>
        <w:t>（3）</w:t>
      </w:r>
      <w:r>
        <w:t>避让搬迁</w:t>
      </w:r>
    </w:p>
    <w:p>
      <w:pPr>
        <w:spacing w:before="65"/>
        <w:ind w:firstLine="640"/>
      </w:pPr>
      <w:r>
        <w:rPr>
          <w:rFonts w:hint="eastAsia"/>
        </w:rPr>
        <w:t>对突发地质灾害高风险区内的居民，主动采取搬迁措施，避让地质灾害。</w:t>
      </w:r>
    </w:p>
    <w:p>
      <w:pPr>
        <w:spacing w:before="65"/>
        <w:ind w:firstLine="640"/>
      </w:pPr>
      <w:r>
        <w:rPr>
          <w:rFonts w:hint="eastAsia"/>
        </w:rPr>
        <w:t>（4）</w:t>
      </w:r>
      <w:r>
        <w:t>宣传培训</w:t>
      </w:r>
    </w:p>
    <w:p>
      <w:pPr>
        <w:spacing w:before="65"/>
        <w:ind w:firstLine="640"/>
      </w:pPr>
      <w:r>
        <w:rPr>
          <w:rFonts w:hint="eastAsia"/>
        </w:rPr>
        <w:t>对各村组级开展群测群防知识培训；每年对全乡地质灾害管理及技术人员进行年度地质灾害防治知识培训。</w:t>
      </w:r>
    </w:p>
    <w:p>
      <w:pPr>
        <w:pStyle w:val="5"/>
        <w:ind w:firstLine="640"/>
      </w:pPr>
      <w:r>
        <w:t>突发公共卫生事件防御规划</w:t>
      </w:r>
    </w:p>
    <w:p>
      <w:pPr>
        <w:spacing w:before="65"/>
        <w:ind w:firstLine="640"/>
      </w:pPr>
      <w:r>
        <w:rPr>
          <w:rFonts w:hint="eastAsia"/>
        </w:rPr>
        <w:t>结合内乡县医疗卫生机构，构建突发公共卫生事件日常监测体系，以处理各类突发公共卫生事件信息分析。与内乡县共同构建县</w:t>
      </w:r>
      <w:r>
        <w:t>-镇-村三级公共卫生事件疫情预警与指挥体系，依托药店、车站、学校、社区、机关企事业单位等设施作为公共卫生事件的监测哨点，全面提升疫情监测预警能力。</w:t>
      </w:r>
    </w:p>
    <w:p>
      <w:pPr>
        <w:pStyle w:val="5"/>
        <w:ind w:firstLine="640"/>
      </w:pPr>
      <w:r>
        <w:t>气象灾害防御规划</w:t>
      </w:r>
    </w:p>
    <w:p>
      <w:pPr>
        <w:spacing w:before="65"/>
        <w:ind w:firstLine="640"/>
      </w:pPr>
      <w:r>
        <w:t>加强气象灾害预警应急体系建设。加快现场气象应急保障系统建设，提高应急处置的能力和效率。</w:t>
      </w:r>
    </w:p>
    <w:p>
      <w:pPr>
        <w:pStyle w:val="5"/>
        <w:ind w:firstLine="640"/>
      </w:pPr>
      <w:r>
        <w:t>消防规划</w:t>
      </w:r>
    </w:p>
    <w:p>
      <w:pPr>
        <w:spacing w:before="65"/>
        <w:ind w:firstLine="640"/>
      </w:pPr>
      <w:r>
        <w:rPr>
          <w:rFonts w:hint="eastAsia"/>
        </w:rPr>
        <w:t>提高消防站建筑物的抗灾能力；在重点保护目标内部或者附近设置消防水池或者取水平台；增强消防供水泵站、消防供水管道、消火栓等消防设施的抗震性能；设置应急疏散道路时应充分考虑消防救灾同行的需求。</w:t>
      </w:r>
    </w:p>
    <w:p>
      <w:pPr>
        <w:pStyle w:val="5"/>
        <w:ind w:firstLine="640"/>
      </w:pPr>
      <w:r>
        <w:t>危险品安全布局与防治规划</w:t>
      </w:r>
    </w:p>
    <w:p>
      <w:pPr>
        <w:spacing w:before="65"/>
        <w:ind w:firstLine="640"/>
      </w:pPr>
      <w:r>
        <w:rPr>
          <w:rFonts w:hint="eastAsia"/>
        </w:rPr>
        <w:t>（1）</w:t>
      </w:r>
      <w:r>
        <w:t>重大危险源选址要求</w:t>
      </w:r>
    </w:p>
    <w:p>
      <w:pPr>
        <w:spacing w:before="65"/>
        <w:ind w:firstLine="640"/>
      </w:pPr>
      <w:r>
        <w:t>1）充分考虑地质因素以及气象危害，采取可靠技术方案，避开地质复杂地</w:t>
      </w:r>
      <w:r>
        <w:rPr>
          <w:rFonts w:hint="eastAsia"/>
        </w:rPr>
        <w:t>区</w:t>
      </w:r>
      <w:r>
        <w:t>。</w:t>
      </w:r>
    </w:p>
    <w:p>
      <w:pPr>
        <w:spacing w:before="65"/>
        <w:ind w:firstLine="640"/>
      </w:pPr>
      <w:r>
        <w:t>2）危险源所在地应不受洪水、湖水和内涝的威胁。</w:t>
      </w:r>
    </w:p>
    <w:p>
      <w:pPr>
        <w:spacing w:before="65"/>
        <w:ind w:firstLine="640"/>
      </w:pPr>
      <w:r>
        <w:t>3）一般应位于城市全年最小频率风向的上风方向。</w:t>
      </w:r>
    </w:p>
    <w:p>
      <w:pPr>
        <w:spacing w:before="65"/>
        <w:ind w:firstLine="640"/>
      </w:pPr>
      <w:r>
        <w:t>4）重大危险源与周边社区距离应符合有关法律、法规和标准的规定。</w:t>
      </w:r>
    </w:p>
    <w:p>
      <w:pPr>
        <w:spacing w:before="65"/>
        <w:ind w:firstLine="640"/>
      </w:pPr>
      <w:r>
        <w:t>5）重大危险源企业内部的平面布局应符合《工业企业总平面设计规划规范》(GB50187-2012)等国家标准规范的有关布局内容的要求。</w:t>
      </w:r>
    </w:p>
    <w:p>
      <w:pPr>
        <w:spacing w:before="65"/>
        <w:ind w:firstLine="640"/>
      </w:pPr>
      <w:r>
        <w:t>6）应充分考虑重大危险源的应急通信系统、应急电源、消防设施、监控系统、救援装备、物资器材等安全设施配套。</w:t>
      </w:r>
    </w:p>
    <w:p>
      <w:pPr>
        <w:spacing w:before="65"/>
        <w:ind w:firstLine="640"/>
      </w:pPr>
      <w:r>
        <w:rPr>
          <w:rFonts w:hint="eastAsia"/>
        </w:rPr>
        <w:t>（2）</w:t>
      </w:r>
      <w:r>
        <w:t>风险防范措施</w:t>
      </w:r>
    </w:p>
    <w:p>
      <w:pPr>
        <w:spacing w:before="65"/>
        <w:ind w:firstLine="640"/>
      </w:pPr>
      <w:r>
        <w:t>1）各企业特别是重污染三类工业选址建设时应远离居民区，其间设置一定的隔离带，减缓对居民的影响，企业严格落实环评及安评制度，环境风险值高的企业应加强要求或不予批准入区建设；储罐区集中并远离高温和明火装置区。拟建罐区300米范围内不得建设居民点，该类企业的办公生活区也应符合安全防护距离的要求。</w:t>
      </w:r>
    </w:p>
    <w:p>
      <w:pPr>
        <w:spacing w:before="65"/>
        <w:ind w:firstLine="640"/>
      </w:pPr>
      <w:r>
        <w:t>2）危险化学品储罐区应加装危险物质检测及报警装置，四周加强绿化。在总平面布置时，对生产区和储存区进行优化组合，减少风险事故发生的节点；应避免相关危险源出现在同一空间或相邻空间，避免“链条效应”和“群发效应”。</w:t>
      </w:r>
    </w:p>
    <w:p>
      <w:pPr>
        <w:spacing w:before="65"/>
        <w:ind w:firstLine="640"/>
      </w:pPr>
      <w:r>
        <w:t>3）在保持规划产业定位的情况下，建议发展下游消耗危险物质的产业，拉长产业链的同时减少有毒有害、易燃易爆物质在集聚区内的储存量，降低集聚区的环境风险。</w:t>
      </w:r>
    </w:p>
    <w:p>
      <w:pPr>
        <w:spacing w:before="65"/>
        <w:ind w:firstLine="640"/>
      </w:pPr>
      <w:r>
        <w:t>4）加强对易燃易爆和有毒有害危险化学品的生产、储存、经营、运输、使用和废弃处置的安全监管，完善的监控设施，提高设施的安全水平；对剧毒化学品的储存量应以维持正常运转为限，不能超量储存；</w:t>
      </w:r>
    </w:p>
    <w:p>
      <w:pPr>
        <w:spacing w:before="65"/>
        <w:ind w:firstLine="640"/>
      </w:pPr>
      <w:r>
        <w:t>5）企业建立完备的风险管理部门，实行专人负责制，制定必须的风险应急预案并定期演练；还应建立一套事故应急监测系统，为事故处理决策提供科学依据，落实灾害救援组织和物质保障，形成</w:t>
      </w:r>
      <w:r>
        <w:rPr>
          <w:rFonts w:hint="eastAsia"/>
        </w:rPr>
        <w:t>乡政府</w:t>
      </w:r>
      <w:r>
        <w:t>和企业的联合灾害救援体系。</w:t>
      </w:r>
    </w:p>
    <w:p>
      <w:pPr>
        <w:spacing w:before="65"/>
        <w:ind w:firstLine="640"/>
      </w:pPr>
      <w:r>
        <w:t>6）强化安全教育和健康教育</w:t>
      </w:r>
      <w:bookmarkEnd w:id="154"/>
      <w:bookmarkEnd w:id="155"/>
      <w:r>
        <w:t>。</w:t>
      </w:r>
    </w:p>
    <w:p>
      <w:pPr>
        <w:adjustRightInd/>
        <w:snapToGrid/>
        <w:spacing w:line="240" w:lineRule="auto"/>
        <w:ind w:firstLine="0" w:firstLineChars="0"/>
        <w:jc w:val="left"/>
      </w:pPr>
      <w:bookmarkStart w:id="156" w:name="_Hlk142923403"/>
      <w:r>
        <w:rPr>
          <w:bCs/>
        </w:rPr>
        <w:br w:type="page"/>
      </w:r>
    </w:p>
    <w:p>
      <w:pPr>
        <w:pStyle w:val="2"/>
        <w:spacing w:before="489" w:after="489"/>
      </w:pPr>
      <w:bookmarkStart w:id="157" w:name="_Toc212798332"/>
      <w:r>
        <w:t>历史文化与景观风貌</w:t>
      </w:r>
      <w:bookmarkEnd w:id="157"/>
    </w:p>
    <w:bookmarkEnd w:id="156"/>
    <w:p>
      <w:pPr>
        <w:pStyle w:val="3"/>
      </w:pPr>
      <w:bookmarkStart w:id="158" w:name="_Toc208238293"/>
      <w:bookmarkStart w:id="159" w:name="_Hlk142923409"/>
      <w:r>
        <w:rPr>
          <w:rFonts w:hint="eastAsia"/>
        </w:rPr>
        <w:t>历史文化保护传承</w:t>
      </w:r>
      <w:bookmarkEnd w:id="158"/>
    </w:p>
    <w:bookmarkEnd w:id="159"/>
    <w:p>
      <w:pPr>
        <w:pStyle w:val="4"/>
        <w:spacing w:before="195" w:after="195"/>
      </w:pPr>
      <w:bookmarkStart w:id="160" w:name="_Hlk142923435"/>
      <w:r>
        <w:rPr>
          <w:rFonts w:hint="eastAsia"/>
        </w:rPr>
        <w:t>乡域历史文化遗存</w:t>
      </w:r>
    </w:p>
    <w:bookmarkEnd w:id="160"/>
    <w:p>
      <w:pPr>
        <w:spacing w:before="65" w:after="120"/>
        <w:ind w:firstLine="640"/>
      </w:pPr>
      <w:bookmarkStart w:id="161" w:name="_Hlk207981567"/>
      <w:r>
        <w:rPr>
          <w:rFonts w:hint="eastAsia"/>
          <w:u w:val="single"/>
        </w:rPr>
        <w:t>赵店乡域内现存不可移动文物</w:t>
      </w:r>
      <w:r>
        <w:rPr>
          <w:u w:val="single"/>
        </w:rPr>
        <w:t>28处，内乡县文物保护单位8处</w:t>
      </w:r>
      <w:r>
        <w:rPr>
          <w:rFonts w:hint="eastAsia"/>
          <w:u w:val="single"/>
        </w:rPr>
        <w:t>；其余为未定级文物保护单位。</w:t>
      </w:r>
      <w:bookmarkEnd w:id="161"/>
    </w:p>
    <w:p>
      <w:pPr>
        <w:pStyle w:val="4"/>
        <w:spacing w:before="195" w:after="195"/>
      </w:pPr>
      <w:bookmarkStart w:id="162" w:name="_Hlk142923456"/>
      <w:r>
        <w:rPr>
          <w:rFonts w:hint="eastAsia"/>
        </w:rPr>
        <w:t>乡域历史文化保护规划</w:t>
      </w:r>
    </w:p>
    <w:bookmarkEnd w:id="162"/>
    <w:p>
      <w:pPr>
        <w:spacing w:before="65"/>
        <w:ind w:firstLine="640"/>
        <w:rPr>
          <w:rFonts w:hAnsi="Times New Roman"/>
          <w:u w:val="single"/>
          <w:lang w:bidi="ar"/>
        </w:rPr>
      </w:pPr>
      <w:r>
        <w:rPr>
          <w:rFonts w:hint="eastAsia" w:hAnsi="Times New Roman"/>
          <w:u w:val="single"/>
          <w:lang w:bidi="ar"/>
        </w:rPr>
        <w:t>文物保护单位的保护范围和建设控制地带应以县级以上人民政府公布的具体界线为基本依据。</w:t>
      </w:r>
      <w:bookmarkStart w:id="163" w:name="_Hlk206682269"/>
      <w:r>
        <w:rPr>
          <w:rFonts w:hint="eastAsia" w:hAnsi="Times New Roman"/>
          <w:u w:val="single"/>
          <w:lang w:bidi="ar"/>
        </w:rPr>
        <w:t>赵店乡历史文化保护线结合乡域历史文化遗产保护范围和建设控制地带的划定情况，及时落实动态补划，纳入国土空间规划“一张图”进行管控。</w:t>
      </w:r>
      <w:bookmarkEnd w:id="163"/>
    </w:p>
    <w:p>
      <w:pPr>
        <w:spacing w:before="65"/>
        <w:ind w:firstLine="640"/>
        <w:rPr>
          <w:rFonts w:hAnsi="Times New Roman"/>
          <w:u w:val="single"/>
          <w:lang w:bidi="ar"/>
        </w:rPr>
      </w:pPr>
      <w:r>
        <w:rPr>
          <w:rFonts w:hint="eastAsia" w:hAnsi="Times New Roman"/>
          <w:u w:val="single"/>
          <w:lang w:bidi="ar"/>
        </w:rPr>
        <w:t>在文物保护单位的保护范围和建设控制地带内，不得建设污染文物保护单位及其环境的设施，不得进行可能影响文物保护单位安全及其环境的活动。对已有的污染文物保护单位及其环境的设施，应当限期治理。</w:t>
      </w:r>
    </w:p>
    <w:p>
      <w:pPr>
        <w:spacing w:before="65"/>
        <w:ind w:firstLine="640"/>
      </w:pPr>
      <w:r>
        <w:rPr>
          <w:rFonts w:hint="eastAsia" w:hAnsi="Times New Roman"/>
          <w:u w:val="single"/>
          <w:lang w:bidi="ar"/>
        </w:rPr>
        <w:t>各级文物保护单位应严格按照《中华人民共和国文物保护法》的有关规定，以及文物主管部门公布的保护范围和建设控制地带严格保护</w:t>
      </w:r>
      <w:r>
        <w:rPr>
          <w:rFonts w:hint="eastAsia"/>
        </w:rPr>
        <w:t>。</w:t>
      </w:r>
    </w:p>
    <w:p>
      <w:pPr>
        <w:pStyle w:val="4"/>
        <w:spacing w:before="195" w:after="195"/>
      </w:pPr>
      <w:bookmarkStart w:id="164" w:name="_Hlk142923462"/>
      <w:r>
        <w:rPr>
          <w:rFonts w:hint="eastAsia"/>
        </w:rPr>
        <w:t>历史文化传承与活化利用</w:t>
      </w:r>
    </w:p>
    <w:bookmarkEnd w:id="164"/>
    <w:p>
      <w:pPr>
        <w:spacing w:before="65"/>
        <w:ind w:firstLine="640"/>
      </w:pPr>
      <w:r>
        <w:rPr>
          <w:rFonts w:hint="eastAsia"/>
        </w:rPr>
        <w:t>以郦国故址为核心，对现有文化资源进行深度整合，打造一批精品文化活动、文化节庆等。依托历史文化特色，深度挖掘历史文化资源，大力发展乡村旅游民宿、休闲、体验等特色产业，打造特色乡村旅游路线和品牌。</w:t>
      </w:r>
    </w:p>
    <w:p>
      <w:pPr>
        <w:spacing w:before="65"/>
        <w:ind w:firstLine="640"/>
      </w:pPr>
      <w:bookmarkStart w:id="165" w:name="_Hlk207981705"/>
      <w:r>
        <w:rPr>
          <w:rFonts w:hint="eastAsia"/>
        </w:rPr>
        <w:t>加大历史文化资源的挖掘保护弘扬力度，保护历史遗迹点集中分布的村庄如郦城村、袁寨村等村庄，保护不可移动文物本体及其所处的环境，根据文化旅游的需要，加强不可移动文物景观环境的塑造，提升历史文化及景观资源的综合价值。缝合文化资源碎片空间，建构文化展示体系，塑造富有魅力的文化空间节点</w:t>
      </w:r>
      <w:r>
        <w:t>。</w:t>
      </w:r>
    </w:p>
    <w:bookmarkEnd w:id="165"/>
    <w:p>
      <w:pPr>
        <w:pStyle w:val="3"/>
      </w:pPr>
      <w:bookmarkStart w:id="166" w:name="_Toc208238294"/>
      <w:bookmarkStart w:id="167" w:name="_Hlk142923416"/>
      <w:r>
        <w:rPr>
          <w:rFonts w:hint="eastAsia"/>
        </w:rPr>
        <w:t>乡村景观风貌管控</w:t>
      </w:r>
      <w:bookmarkEnd w:id="166"/>
    </w:p>
    <w:bookmarkEnd w:id="167"/>
    <w:p>
      <w:pPr>
        <w:pStyle w:val="4"/>
        <w:spacing w:before="195" w:after="195"/>
      </w:pPr>
      <w:bookmarkStart w:id="168" w:name="_Hlk142923561"/>
      <w:r>
        <w:rPr>
          <w:rFonts w:hint="eastAsia"/>
        </w:rPr>
        <w:t>乡村风貌总体定位</w:t>
      </w:r>
    </w:p>
    <w:bookmarkEnd w:id="168"/>
    <w:p>
      <w:pPr>
        <w:spacing w:before="65" w:after="120"/>
        <w:ind w:firstLine="640"/>
      </w:pPr>
      <w:r>
        <w:rPr>
          <w:rFonts w:hint="eastAsia"/>
        </w:rPr>
        <w:t>依据赵店乡整体地形地势及发展现状，将赵店乡乡村风貌定位为：丘陵河川平原风貌。提升乡村地区的时代特征和乡村气息，注重村庄布局和山水景观、农田景观的协调，避免破坏乡村原有的形态格局，充分体现乡村风光。</w:t>
      </w:r>
    </w:p>
    <w:p>
      <w:pPr>
        <w:pStyle w:val="4"/>
        <w:spacing w:before="195" w:after="195"/>
      </w:pPr>
      <w:bookmarkStart w:id="169" w:name="_Hlk142923566"/>
      <w:r>
        <w:rPr>
          <w:rFonts w:hint="eastAsia"/>
        </w:rPr>
        <w:t>乡村风貌总体框架</w:t>
      </w:r>
    </w:p>
    <w:bookmarkEnd w:id="169"/>
    <w:p>
      <w:pPr>
        <w:spacing w:before="65"/>
        <w:ind w:firstLine="640"/>
      </w:pPr>
      <w:bookmarkStart w:id="170" w:name="_Hlk207981906"/>
      <w:r>
        <w:rPr>
          <w:rFonts w:hint="eastAsia"/>
        </w:rPr>
        <w:t>依托山水资源本底，以体现乡村风貌、彰显城镇特色为原则，构建“一轴多带一核多点”的景观风貌格局。</w:t>
      </w:r>
    </w:p>
    <w:p>
      <w:pPr>
        <w:spacing w:before="65"/>
        <w:ind w:firstLine="640"/>
      </w:pPr>
      <w:r>
        <w:rPr>
          <w:rFonts w:hint="eastAsia"/>
        </w:rPr>
        <w:t>一轴：沿国道</w:t>
      </w:r>
      <w:r>
        <w:t>G241形成的南北向乡村景观风貌轴</w:t>
      </w:r>
      <w:r>
        <w:rPr>
          <w:rFonts w:hint="eastAsia"/>
        </w:rPr>
        <w:t>；沿国道两侧为集镇区过渡至村庄的景观风貌，整体风格为清新淡雅，建筑为白墙红瓦，符合村庄宁静轻松的生活氛围。</w:t>
      </w:r>
    </w:p>
    <w:p>
      <w:pPr>
        <w:spacing w:before="65"/>
        <w:ind w:firstLine="640"/>
      </w:pPr>
      <w:r>
        <w:rPr>
          <w:rFonts w:hint="eastAsia"/>
        </w:rPr>
        <w:t>多带：多条河道支流景观带。河流与村庄居民点相辅相成。</w:t>
      </w:r>
    </w:p>
    <w:p>
      <w:pPr>
        <w:spacing w:before="65"/>
        <w:ind w:firstLine="640"/>
      </w:pPr>
      <w:r>
        <w:rPr>
          <w:rFonts w:hint="eastAsia"/>
        </w:rPr>
        <w:t>一核：景观核心为赵店乡集镇区。</w:t>
      </w:r>
    </w:p>
    <w:p>
      <w:pPr>
        <w:spacing w:before="65"/>
        <w:ind w:firstLine="640"/>
      </w:pPr>
      <w:r>
        <w:rPr>
          <w:rFonts w:hint="eastAsia"/>
        </w:rPr>
        <w:t>多点：由人文要素和自然要素组成的景观节点，如湍河、恐龙蛋化石群自然保护区、特色村落等景观节点</w:t>
      </w:r>
      <w:bookmarkEnd w:id="170"/>
      <w:r>
        <w:rPr>
          <w:rFonts w:hint="eastAsia"/>
        </w:rPr>
        <w:t>。</w:t>
      </w:r>
    </w:p>
    <w:p>
      <w:pPr>
        <w:pStyle w:val="4"/>
        <w:spacing w:before="195" w:after="195"/>
      </w:pPr>
      <w:bookmarkStart w:id="171" w:name="_Hlk207981945"/>
      <w:bookmarkStart w:id="172" w:name="_Hlk142923571"/>
      <w:r>
        <w:rPr>
          <w:rFonts w:hint="eastAsia"/>
        </w:rPr>
        <w:t>乡村风貌分区引导</w:t>
      </w:r>
    </w:p>
    <w:bookmarkEnd w:id="171"/>
    <w:p>
      <w:pPr>
        <w:spacing w:before="65"/>
        <w:ind w:firstLine="640"/>
      </w:pPr>
      <w:bookmarkStart w:id="173" w:name="_Hlk207981937"/>
      <w:r>
        <w:rPr>
          <w:rFonts w:hint="eastAsia"/>
        </w:rPr>
        <w:t>依据地貌特征、社会经济发展状况，将赵店乡划分为农业主产风貌区、生态保护区两大类，营造富有特色的“山水路林村”相协调的乡土生态景观格局；展示各区景观面貌，更好地发挥指导城乡建设作用，推进乡村净化、绿化、美化，并针对不同类型的风貌片区进一步提出符合当地特色的建设指引。</w:t>
      </w:r>
    </w:p>
    <w:p>
      <w:pPr>
        <w:spacing w:before="65"/>
        <w:ind w:firstLine="640"/>
      </w:pPr>
      <w:r>
        <w:rPr>
          <w:rFonts w:hint="eastAsia"/>
        </w:rPr>
        <w:t>农业主产风貌区：主要为多农田的村庄，包括黄营村、楼房村、大峪村、赵店村、莲花村、杜沟村等在内的东部</w:t>
      </w:r>
      <w:r>
        <w:t>14个村庄；该区域延续本土格局和乡村种养殖风貌，在空间尺度和建筑风貌等体现地方特色。强化公共设施的便利性与公共空间的舒适性，居住建筑和公共设施在建筑风格上为现代风格，主要体现田园风光，注重农田景观的连续性和大地景观的营造，凸显田乡风貌。</w:t>
      </w:r>
    </w:p>
    <w:p>
      <w:pPr>
        <w:spacing w:before="65"/>
        <w:ind w:firstLine="640"/>
      </w:pPr>
      <w:r>
        <w:rPr>
          <w:rFonts w:hint="eastAsia"/>
        </w:rPr>
        <w:t>生态保护区：主要包括长岭村行政村域；该区域多为丘陵山区等地形地貌，在村庄和生态之间协调发展的同时，要确保对原始生态环境的保护。该区域延续本土格局和生态风貌，在空间尺度和建筑风貌等体现与大自然的融合，强化公共设施的便利性与公共空间的舒适性，居住建筑和公共设施在建筑风格上为山村风格，主要体现山体风光，注重生态景观和人文自然的融合营造，凸显生态风貌</w:t>
      </w:r>
      <w:bookmarkEnd w:id="173"/>
      <w:r>
        <w:t>。</w:t>
      </w:r>
    </w:p>
    <w:bookmarkEnd w:id="172"/>
    <w:p>
      <w:pPr>
        <w:pStyle w:val="4"/>
        <w:spacing w:before="195" w:after="195"/>
      </w:pPr>
      <w:bookmarkStart w:id="174" w:name="_Hlk207981961"/>
      <w:bookmarkStart w:id="175" w:name="OLE_LINK9"/>
      <w:r>
        <w:rPr>
          <w:rFonts w:hint="eastAsia"/>
        </w:rPr>
        <w:t>乡村特色风貌引导</w:t>
      </w:r>
    </w:p>
    <w:bookmarkEnd w:id="174"/>
    <w:bookmarkEnd w:id="175"/>
    <w:p>
      <w:pPr>
        <w:pStyle w:val="5"/>
        <w:ind w:firstLine="640"/>
      </w:pPr>
      <w:bookmarkStart w:id="176" w:name="_Hlk207981980"/>
      <w:r>
        <w:t>生态环境要素管控</w:t>
      </w:r>
    </w:p>
    <w:p>
      <w:pPr>
        <w:spacing w:before="65"/>
        <w:ind w:firstLine="640"/>
      </w:pPr>
      <w:r>
        <w:rPr>
          <w:rFonts w:hint="eastAsia"/>
        </w:rPr>
        <w:t>整体地域特征为西部低山浅丘、中部东部平原农田，地形西高东低，农田、林地景观资源丰富，有湍河、黄水河等流经，村庄居民点呈现“大分散小集聚”的布局形态，居民点建设与自然环境关系紧密。</w:t>
      </w:r>
    </w:p>
    <w:p>
      <w:pPr>
        <w:spacing w:before="65"/>
        <w:ind w:firstLine="640"/>
      </w:pPr>
      <w:r>
        <w:rPr>
          <w:rFonts w:hint="eastAsia"/>
        </w:rPr>
        <w:t>总体建设遵循“顺应肌理、协调自然、景村一体、和谐共融”方式。禁止在村庄建设中破坏山体、水体、肆意侵占永久基本农田等行为，居民点建设应顺应自然环境进行布局，采用“宜聚则聚、宜散则散”的方式进行建设。</w:t>
      </w:r>
      <w:r>
        <w:t xml:space="preserve"> </w:t>
      </w:r>
    </w:p>
    <w:p>
      <w:pPr>
        <w:pStyle w:val="5"/>
        <w:ind w:firstLine="640"/>
      </w:pPr>
      <w:r>
        <w:t>村庄公共空间风貌引导</w:t>
      </w:r>
    </w:p>
    <w:p>
      <w:pPr>
        <w:spacing w:before="65"/>
        <w:ind w:firstLine="640"/>
      </w:pPr>
      <w:r>
        <w:rPr>
          <w:rFonts w:hint="eastAsia"/>
        </w:rPr>
        <w:t>采用增加村民健身设施、休息座椅、廊架、植物造景等方式，强化公共活动场地的功能复合性，并增加公共空间绿化。</w:t>
      </w:r>
    </w:p>
    <w:p>
      <w:pPr>
        <w:spacing w:before="65"/>
        <w:ind w:firstLine="640"/>
      </w:pPr>
      <w:r>
        <w:rPr>
          <w:rFonts w:hint="eastAsia"/>
        </w:rPr>
        <w:t>村庄广场可结合村庄空置地整理，增加公共活动空间，配备相应的休憩、娱乐设施，采用当地植物进行绿化美化。村庄道路两侧可采用灌木、乔木相结合的方式，种植本土树木花卉，形成乡土气息浓厚的路边绿化景观。</w:t>
      </w:r>
    </w:p>
    <w:p>
      <w:pPr>
        <w:pStyle w:val="5"/>
        <w:ind w:firstLine="640"/>
      </w:pPr>
      <w:r>
        <w:t>村庄公用设施风貌引导</w:t>
      </w:r>
    </w:p>
    <w:p>
      <w:pPr>
        <w:spacing w:before="65"/>
        <w:ind w:firstLine="640"/>
      </w:pPr>
      <w:r>
        <w:rPr>
          <w:rFonts w:hint="eastAsia" w:ascii="仿宋_GB2312" w:hAnsi="仿宋_GB2312" w:cs="仿宋_GB2312"/>
          <w:bCs/>
          <w:szCs w:val="32"/>
        </w:rPr>
        <w:t>以“整洁有序、原生乡土、舒适适宜、经济实用”的方</w:t>
      </w:r>
      <w:r>
        <w:rPr>
          <w:rFonts w:hint="eastAsia"/>
        </w:rPr>
        <w:t>式进行建设，与当地建筑风貌相协调，尽可能实用当地建筑材料。</w:t>
      </w:r>
    </w:p>
    <w:p>
      <w:pPr>
        <w:spacing w:before="65"/>
        <w:ind w:firstLine="640"/>
      </w:pPr>
      <w:r>
        <w:rPr>
          <w:rFonts w:hint="eastAsia"/>
        </w:rPr>
        <w:t>推进垃圾分类和资源化利用。积极开展农村生活垃圾分类试点，推进垃圾减量化、收集分类化和处理资源化。合理选择改厕模式，推进厕所革命。按照群众接受、经济适用、维护方便、不污染公共水体的要求，引导老村改建民宿配套建设无害化卫生厕所，人口规模较大村庄配套建设公共厕所。加强改厕与农村生活污水治理的有效衔接。分类推进农村生活污水治理，居住分散的老村选择建设小型人工湿地、氧化塘、无（微）动力等污水处理设施。创造层次分明的标识系统，提供明确的信息导向。</w:t>
      </w:r>
    </w:p>
    <w:p>
      <w:pPr>
        <w:pStyle w:val="5"/>
        <w:ind w:firstLine="640"/>
      </w:pPr>
      <w:r>
        <w:t>村庄民居建筑风貌引导</w:t>
      </w:r>
    </w:p>
    <w:p>
      <w:pPr>
        <w:spacing w:before="65"/>
        <w:ind w:firstLine="640"/>
      </w:pPr>
      <w:r>
        <w:rPr>
          <w:rFonts w:hint="eastAsia"/>
        </w:rPr>
        <w:t>结合村民房屋改造，拆除违章建筑，对沿路建筑立面进行修整，既保持统一协调的立面效果，又注重体现乡土特征、地域特色和传统风貌。</w:t>
      </w:r>
    </w:p>
    <w:p>
      <w:pPr>
        <w:spacing w:before="65"/>
        <w:ind w:firstLine="640"/>
      </w:pPr>
      <w:r>
        <w:rPr>
          <w:rFonts w:hint="eastAsia"/>
        </w:rPr>
        <w:t>建筑形式主要采用“悬山坡顶</w:t>
      </w:r>
      <w:r>
        <w:t>+合院”；建筑以背景色为主体色调，部分建筑构件可以选用少量点缀色，沿国道村庄建筑多采用</w:t>
      </w:r>
      <w:r>
        <w:rPr>
          <w:rFonts w:hint="eastAsia"/>
        </w:rPr>
        <w:t>白</w:t>
      </w:r>
      <w:r>
        <w:t>墙</w:t>
      </w:r>
      <w:r>
        <w:rPr>
          <w:rFonts w:hint="eastAsia"/>
        </w:rPr>
        <w:t>灰</w:t>
      </w:r>
      <w:r>
        <w:t>瓦，其他村庄以白墙红瓦为主；建筑材质优选土、木、砖、瓦、石等传统乡土材料、废弃再利用材料；居住建筑立面风格延续传统建筑形式，适当融入现代建筑元素，塑造独具地域特色的建筑文化景观。建筑单体外立面及屋顶附加装饰物、构筑物，包括招牌、灯箱、建筑节能装备等的外形、尺度、色彩、位置应当与主体建筑的规划设计协调统一</w:t>
      </w:r>
      <w:bookmarkEnd w:id="176"/>
      <w:r>
        <w:t>。</w:t>
      </w:r>
    </w:p>
    <w:p>
      <w:pPr>
        <w:spacing w:before="65"/>
        <w:ind w:firstLine="640"/>
      </w:pPr>
      <w:r>
        <w:br w:type="page"/>
      </w:r>
    </w:p>
    <w:bookmarkEnd w:id="126"/>
    <w:bookmarkEnd w:id="127"/>
    <w:p>
      <w:pPr>
        <w:pStyle w:val="2"/>
        <w:spacing w:before="489" w:after="489"/>
      </w:pPr>
      <w:bookmarkStart w:id="177" w:name="_Toc122364769"/>
      <w:bookmarkEnd w:id="177"/>
      <w:bookmarkStart w:id="178" w:name="_Toc23050"/>
      <w:bookmarkEnd w:id="178"/>
      <w:bookmarkStart w:id="179" w:name="_Toc122362359"/>
      <w:bookmarkEnd w:id="179"/>
      <w:bookmarkStart w:id="180" w:name="_Toc212798333"/>
      <w:r>
        <w:rPr>
          <w:rFonts w:hint="eastAsia"/>
        </w:rPr>
        <w:t>乡政府驻地规划</w:t>
      </w:r>
      <w:bookmarkEnd w:id="180"/>
    </w:p>
    <w:p>
      <w:pPr>
        <w:pStyle w:val="3"/>
      </w:pPr>
      <w:bookmarkStart w:id="181" w:name="_Toc208238296"/>
      <w:r>
        <w:rPr>
          <w:rFonts w:hint="eastAsia"/>
        </w:rPr>
        <w:t>发展规模</w:t>
      </w:r>
      <w:bookmarkEnd w:id="181"/>
    </w:p>
    <w:p>
      <w:pPr>
        <w:pStyle w:val="4"/>
        <w:spacing w:before="195" w:after="195"/>
      </w:pPr>
      <w:r>
        <w:rPr>
          <w:rFonts w:hint="eastAsia"/>
        </w:rPr>
        <w:t>发展规模</w:t>
      </w:r>
    </w:p>
    <w:p>
      <w:pPr>
        <w:pStyle w:val="5"/>
        <w:ind w:firstLine="640"/>
      </w:pPr>
      <w:bookmarkStart w:id="182" w:name="_Hlk206682324"/>
      <w:r>
        <w:rPr>
          <w:rFonts w:hint="eastAsia"/>
        </w:rPr>
        <w:t>人口规模</w:t>
      </w:r>
    </w:p>
    <w:p>
      <w:pPr>
        <w:spacing w:before="65"/>
        <w:ind w:firstLine="640"/>
      </w:pPr>
      <w:r>
        <w:rPr>
          <w:rFonts w:hint="eastAsia"/>
        </w:rPr>
        <w:t>规划集镇区人口规模为</w:t>
      </w:r>
      <w:r>
        <w:t>0.80</w:t>
      </w:r>
      <w:r>
        <w:rPr>
          <w:rFonts w:hint="eastAsia"/>
        </w:rPr>
        <w:t>万人。</w:t>
      </w:r>
    </w:p>
    <w:p>
      <w:pPr>
        <w:pStyle w:val="5"/>
        <w:ind w:firstLine="640"/>
      </w:pPr>
      <w:r>
        <w:rPr>
          <w:rFonts w:hint="eastAsia"/>
        </w:rPr>
        <w:t>城镇建设用地规模</w:t>
      </w:r>
    </w:p>
    <w:p>
      <w:pPr>
        <w:spacing w:before="65"/>
        <w:ind w:firstLine="640"/>
      </w:pPr>
      <w:r>
        <w:rPr>
          <w:rFonts w:hint="eastAsia"/>
        </w:rPr>
        <w:t>集镇区连片的村庄建设边界规模为</w:t>
      </w:r>
      <w:r>
        <w:t>124.93公顷。</w:t>
      </w:r>
    </w:p>
    <w:bookmarkEnd w:id="182"/>
    <w:p>
      <w:pPr>
        <w:pStyle w:val="3"/>
      </w:pPr>
      <w:bookmarkStart w:id="183" w:name="_Toc208238297"/>
      <w:r>
        <w:rPr>
          <w:rFonts w:hint="eastAsia"/>
        </w:rPr>
        <w:t>用地布局</w:t>
      </w:r>
      <w:bookmarkEnd w:id="183"/>
    </w:p>
    <w:p>
      <w:pPr>
        <w:pStyle w:val="4"/>
        <w:spacing w:before="195" w:after="195"/>
      </w:pPr>
      <w:r>
        <w:rPr>
          <w:rFonts w:hint="eastAsia"/>
        </w:rPr>
        <w:t>规划</w:t>
      </w:r>
      <w:bookmarkStart w:id="184" w:name="_Hlk167089361"/>
      <w:r>
        <w:rPr>
          <w:rFonts w:hint="eastAsia"/>
        </w:rPr>
        <w:t>空间结构</w:t>
      </w:r>
      <w:bookmarkEnd w:id="184"/>
    </w:p>
    <w:p>
      <w:pPr>
        <w:spacing w:before="65" w:after="120"/>
        <w:ind w:firstLine="640"/>
      </w:pPr>
      <w:bookmarkStart w:id="185" w:name="_Hlk207984627"/>
      <w:r>
        <w:rPr>
          <w:rFonts w:hint="eastAsia"/>
        </w:rPr>
        <w:t>基于赵店乡现状，结合集镇区内部景观架构，构建符合自然山水特征与发展需要的城镇总体空间形态与格局，确定赵店乡集镇区“两轴五区多点”的空间结构。</w:t>
      </w:r>
    </w:p>
    <w:p>
      <w:pPr>
        <w:spacing w:before="65" w:after="120"/>
        <w:ind w:firstLine="640"/>
      </w:pPr>
      <w:r>
        <w:rPr>
          <w:rFonts w:hint="eastAsia"/>
        </w:rPr>
        <w:t>两轴：沿东国道2</w:t>
      </w:r>
      <w:r>
        <w:t>41</w:t>
      </w:r>
      <w:r>
        <w:rPr>
          <w:rFonts w:hint="eastAsia"/>
        </w:rPr>
        <w:t>形成活力服务轴，沿西国道2</w:t>
      </w:r>
      <w:r>
        <w:t>41</w:t>
      </w:r>
      <w:r>
        <w:rPr>
          <w:rFonts w:hint="eastAsia"/>
        </w:rPr>
        <w:t>形成产业发展轴。</w:t>
      </w:r>
    </w:p>
    <w:p>
      <w:pPr>
        <w:spacing w:before="65" w:after="120"/>
        <w:ind w:firstLine="640"/>
      </w:pPr>
      <w:r>
        <w:rPr>
          <w:rFonts w:hint="eastAsia"/>
        </w:rPr>
        <w:t>三区：结合各区职能形成产业商贸区、公共服务生活区、现代宜居生活区等三个功能分区。</w:t>
      </w:r>
    </w:p>
    <w:p>
      <w:pPr>
        <w:spacing w:before="65" w:after="120"/>
        <w:ind w:firstLine="640"/>
      </w:pPr>
      <w:r>
        <w:rPr>
          <w:rFonts w:hint="eastAsia"/>
        </w:rPr>
        <w:t>多点：多个公共服务和生态景观节点</w:t>
      </w:r>
      <w:bookmarkEnd w:id="185"/>
      <w:r>
        <w:rPr>
          <w:rFonts w:hint="eastAsia"/>
        </w:rPr>
        <w:t>。</w:t>
      </w:r>
    </w:p>
    <w:p>
      <w:pPr>
        <w:pStyle w:val="4"/>
        <w:spacing w:before="195" w:after="195"/>
      </w:pPr>
      <w:r>
        <w:rPr>
          <w:rFonts w:hint="eastAsia"/>
        </w:rPr>
        <w:t>用地布局</w:t>
      </w:r>
    </w:p>
    <w:p>
      <w:pPr>
        <w:ind w:firstLine="640"/>
      </w:pPr>
      <w:bookmarkStart w:id="186" w:name="_Hlk179988729"/>
      <w:r>
        <w:rPr>
          <w:rFonts w:hint="eastAsia"/>
        </w:rPr>
        <w:t>优化集镇区用地结构，完善用地功能布局。推进集镇区空间高质量发展，科学配置公共资源，统筹安排集镇区建设、产业发展、基础设施和公共服务，优化完善集镇区功能。</w:t>
      </w:r>
    </w:p>
    <w:p>
      <w:pPr>
        <w:ind w:firstLine="640"/>
      </w:pPr>
      <w:r>
        <w:rPr>
          <w:rFonts w:hint="eastAsia"/>
        </w:rPr>
        <w:t>合理配置居住用地。统筹居住用地供给和人口发展，适度增加城镇居住用地供给。</w:t>
      </w:r>
      <w:bookmarkStart w:id="187" w:name="_Hlk207984994"/>
      <w:r>
        <w:rPr>
          <w:rFonts w:hint="eastAsia"/>
        </w:rPr>
        <w:t>规划居住用地</w:t>
      </w:r>
      <w:r>
        <w:t>53.62公顷，人均居住用地面积为67.02平方米，占集镇区建设用地面积的42.92%。</w:t>
      </w:r>
      <w:bookmarkEnd w:id="187"/>
    </w:p>
    <w:p>
      <w:pPr>
        <w:ind w:firstLine="640"/>
      </w:pPr>
      <w:r>
        <w:rPr>
          <w:rFonts w:hint="eastAsia"/>
        </w:rPr>
        <w:t>统筹公共管理与服务设施用地。提升公共服务能力，促进公共资源相对集中布局，补充完善集镇区公共服务设施。规划公共管理与服务设施用地</w:t>
      </w:r>
      <w:r>
        <w:t>8.54公顷，占集镇区建设用地面积的6.84%。</w:t>
      </w:r>
    </w:p>
    <w:p>
      <w:pPr>
        <w:ind w:firstLine="640"/>
      </w:pPr>
      <w:r>
        <w:rPr>
          <w:rFonts w:hint="eastAsia"/>
        </w:rPr>
        <w:t>合理安排商业服务业用地。促进商业高品质发展，提升集镇区活力。</w:t>
      </w:r>
      <w:bookmarkStart w:id="188" w:name="_Hlk207985192"/>
      <w:r>
        <w:rPr>
          <w:rFonts w:hint="eastAsia"/>
        </w:rPr>
        <w:t>规划商业服务业用地</w:t>
      </w:r>
      <w:r>
        <w:t>20.43公顷，占集镇区建设用地面积的16.35%</w:t>
      </w:r>
      <w:bookmarkEnd w:id="188"/>
      <w:r>
        <w:t>。</w:t>
      </w:r>
    </w:p>
    <w:p>
      <w:pPr>
        <w:ind w:firstLine="640"/>
      </w:pPr>
      <w:r>
        <w:rPr>
          <w:rFonts w:hint="eastAsia"/>
        </w:rPr>
        <w:t>增加绿地与开敞空间。规划绿地与开敞空间用地</w:t>
      </w:r>
      <w:bookmarkStart w:id="189" w:name="_Hlk207985565"/>
      <w:r>
        <w:t>2.54公顷，占集镇区建设用地面积的2.03%。其中，公园绿地1.86公顷，人均公园绿地面积2.32平方米</w:t>
      </w:r>
      <w:bookmarkEnd w:id="189"/>
      <w:r>
        <w:t>。</w:t>
      </w:r>
    </w:p>
    <w:p>
      <w:pPr>
        <w:ind w:firstLine="640"/>
      </w:pPr>
      <w:bookmarkStart w:id="190" w:name="_Hlk207985233"/>
      <w:r>
        <w:rPr>
          <w:rFonts w:hint="eastAsia"/>
        </w:rPr>
        <w:t>规划工矿用地</w:t>
      </w:r>
      <w:r>
        <w:t>19.50公顷，占集镇区建设用地面积的15.61%</w:t>
      </w:r>
      <w:bookmarkEnd w:id="190"/>
      <w:r>
        <w:t>。</w:t>
      </w:r>
    </w:p>
    <w:p>
      <w:pPr>
        <w:ind w:firstLine="640"/>
      </w:pPr>
      <w:r>
        <w:rPr>
          <w:rFonts w:hint="eastAsia"/>
        </w:rPr>
        <w:t>规划交通运输用地</w:t>
      </w:r>
      <w:r>
        <w:t>11.55公顷，占集镇区建设用地面积的9.25%。</w:t>
      </w:r>
    </w:p>
    <w:p>
      <w:pPr>
        <w:ind w:firstLine="640"/>
      </w:pPr>
      <w:r>
        <w:rPr>
          <w:rFonts w:hint="eastAsia"/>
        </w:rPr>
        <w:t>规划公用设施用地</w:t>
      </w:r>
      <w:bookmarkStart w:id="191" w:name="_Hlk207985537"/>
      <w:r>
        <w:t>0.75公顷，占集镇区建设用地面积的0.60%</w:t>
      </w:r>
      <w:bookmarkEnd w:id="191"/>
      <w:r>
        <w:rPr>
          <w:rFonts w:hint="eastAsia"/>
        </w:rPr>
        <w:t>。</w:t>
      </w:r>
    </w:p>
    <w:bookmarkEnd w:id="186"/>
    <w:p>
      <w:pPr>
        <w:pStyle w:val="3"/>
      </w:pPr>
      <w:bookmarkStart w:id="192" w:name="_Toc208238298"/>
      <w:r>
        <w:t>公共服务设施</w:t>
      </w:r>
      <w:r>
        <w:rPr>
          <w:rFonts w:hint="eastAsia"/>
        </w:rPr>
        <w:t>规划</w:t>
      </w:r>
      <w:bookmarkEnd w:id="192"/>
    </w:p>
    <w:p>
      <w:pPr>
        <w:pStyle w:val="4"/>
        <w:spacing w:before="195" w:after="195"/>
      </w:pPr>
      <w:r>
        <w:t>公共管理与公共服务设施</w:t>
      </w:r>
    </w:p>
    <w:p>
      <w:pPr>
        <w:spacing w:before="65"/>
        <w:ind w:firstLine="640"/>
      </w:pPr>
      <w:r>
        <w:rPr>
          <w:rFonts w:hint="eastAsia"/>
          <w:lang w:bidi="ar"/>
        </w:rPr>
        <w:t>规划集镇区公共服务设施用地规模为</w:t>
      </w:r>
      <w:r>
        <w:rPr>
          <w:lang w:bidi="ar"/>
        </w:rPr>
        <w:t>8.54公顷，占集镇区建设用地面积的6.84%</w:t>
      </w:r>
      <w:r>
        <w:rPr>
          <w:rFonts w:hint="eastAsia"/>
        </w:rPr>
        <w:t>。</w:t>
      </w:r>
    </w:p>
    <w:p>
      <w:pPr>
        <w:pStyle w:val="5"/>
        <w:ind w:firstLine="640"/>
      </w:pPr>
      <w:r>
        <w:rPr>
          <w:rFonts w:hint="eastAsia"/>
        </w:rPr>
        <w:t>机关团体设施</w:t>
      </w:r>
    </w:p>
    <w:p>
      <w:pPr>
        <w:spacing w:before="48"/>
        <w:ind w:firstLine="640"/>
      </w:pPr>
      <w:r>
        <w:rPr>
          <w:rFonts w:hint="eastAsia"/>
          <w:lang w:bidi="ar"/>
        </w:rPr>
        <w:t>规划机关团体用地主要为乡政府、赵店村委会、赵店村委会、派出所、烟草局等，用地面积为</w:t>
      </w:r>
      <w:r>
        <w:rPr>
          <w:lang w:bidi="ar"/>
        </w:rPr>
        <w:t>2.32公顷，占集镇区建设用地面积的1.86%</w:t>
      </w:r>
      <w:r>
        <w:rPr>
          <w:rFonts w:hint="eastAsia"/>
        </w:rPr>
        <w:t>。</w:t>
      </w:r>
    </w:p>
    <w:p>
      <w:pPr>
        <w:pStyle w:val="5"/>
        <w:ind w:firstLine="640"/>
      </w:pPr>
      <w:r>
        <w:rPr>
          <w:rFonts w:hint="eastAsia"/>
        </w:rPr>
        <w:t>文化设施</w:t>
      </w:r>
    </w:p>
    <w:p>
      <w:pPr>
        <w:spacing w:before="48"/>
        <w:ind w:firstLine="640"/>
        <w:rPr>
          <w:lang w:bidi="ar"/>
        </w:rPr>
      </w:pPr>
      <w:r>
        <w:rPr>
          <w:rFonts w:hint="eastAsia"/>
          <w:lang w:bidi="ar"/>
        </w:rPr>
        <w:t>强化政府公共服务职能，突出发展文化、体育事业。到</w:t>
      </w:r>
      <w:r>
        <w:rPr>
          <w:lang w:bidi="ar"/>
        </w:rPr>
        <w:t>2035年，赵店乡形成乡镇级、村级两级文化和体育设施，形成分布均匀、功能齐全的设施网络</w:t>
      </w:r>
      <w:r>
        <w:rPr>
          <w:rFonts w:hint="eastAsia"/>
          <w:lang w:bidi="ar"/>
        </w:rPr>
        <w:t>。</w:t>
      </w:r>
    </w:p>
    <w:p>
      <w:pPr>
        <w:spacing w:before="48"/>
        <w:ind w:firstLine="640"/>
        <w:rPr>
          <w:lang w:bidi="ar"/>
        </w:rPr>
      </w:pPr>
      <w:bookmarkStart w:id="193" w:name="_Hlk207986098"/>
      <w:r>
        <w:rPr>
          <w:rFonts w:hint="eastAsia"/>
          <w:lang w:bidi="ar"/>
        </w:rPr>
        <w:t>为满足集镇区居民文化活动需求，新增集镇区文化用地，用地面积为</w:t>
      </w:r>
      <w:r>
        <w:rPr>
          <w:lang w:bidi="ar"/>
        </w:rPr>
        <w:t>0.59公顷，占集镇区建设用地面积的0.47%；人均文化设施用地面积为0.73平方米</w:t>
      </w:r>
      <w:bookmarkEnd w:id="193"/>
      <w:r>
        <w:rPr>
          <w:lang w:bidi="ar"/>
        </w:rPr>
        <w:t>。</w:t>
      </w:r>
    </w:p>
    <w:p>
      <w:pPr>
        <w:spacing w:before="48"/>
        <w:ind w:firstLine="640"/>
      </w:pPr>
      <w:r>
        <w:rPr>
          <w:rFonts w:hint="eastAsia"/>
          <w:lang w:bidi="ar"/>
        </w:rPr>
        <w:t>结合社区布局社区级文化设施，配建</w:t>
      </w:r>
      <w:r>
        <w:rPr>
          <w:lang w:bidi="ar"/>
        </w:rPr>
        <w:t>2处社区级文化活动站。文化活动站依据相关标准配置图书阅览室、科技普法、教育培训等文化设施，并设置专门针对老人、儿童及青少年活动的文化设施</w:t>
      </w:r>
      <w:r>
        <w:rPr>
          <w:rFonts w:hint="eastAsia"/>
        </w:rPr>
        <w:t>。</w:t>
      </w:r>
    </w:p>
    <w:p>
      <w:pPr>
        <w:pStyle w:val="5"/>
        <w:ind w:firstLine="640"/>
      </w:pPr>
      <w:r>
        <w:t>体育</w:t>
      </w:r>
      <w:r>
        <w:rPr>
          <w:rFonts w:hint="eastAsia"/>
        </w:rPr>
        <w:t>设施</w:t>
      </w:r>
    </w:p>
    <w:p>
      <w:pPr>
        <w:spacing w:before="48"/>
        <w:ind w:firstLine="640"/>
      </w:pPr>
      <w:r>
        <w:rPr>
          <w:rFonts w:hint="eastAsia"/>
        </w:rPr>
        <w:t>在集镇区北部空闲地新建一处体育用地，为全乡的体育中心，用地面积为</w:t>
      </w:r>
      <w:r>
        <w:t>0.43公顷，占集镇区建设用地面积的0.35%，满足全乡大型体育活动需求，人均体育设施用地面积为0.54平方米。</w:t>
      </w:r>
      <w:r>
        <w:rPr>
          <w:rFonts w:hint="eastAsia"/>
        </w:rPr>
        <w:t>集镇区扩建提升现状体育场地，同时</w:t>
      </w:r>
      <w:r>
        <w:t>结合绿地及街头广场建设小型体育设施，方便居民就近使用。</w:t>
      </w:r>
    </w:p>
    <w:p>
      <w:pPr>
        <w:pStyle w:val="5"/>
        <w:ind w:firstLine="640"/>
      </w:pPr>
      <w:r>
        <w:rPr>
          <w:rFonts w:hint="eastAsia"/>
        </w:rPr>
        <w:t>教育设施</w:t>
      </w:r>
    </w:p>
    <w:p>
      <w:pPr>
        <w:spacing w:before="48"/>
        <w:ind w:firstLine="640"/>
        <w:rPr>
          <w:lang w:bidi="ar"/>
        </w:rPr>
      </w:pPr>
      <w:bookmarkStart w:id="194" w:name="OLE_LINK21"/>
      <w:bookmarkStart w:id="195" w:name="_Hlk207986133"/>
      <w:r>
        <w:rPr>
          <w:rFonts w:hint="eastAsia"/>
          <w:lang w:bidi="ar"/>
        </w:rPr>
        <w:t>规划教育用地主要为保留现状赵店一中、中心小学、幼儿园，扩建中心小学和中心幼儿园，新建一处小学与两处幼儿园，满足集镇区需求；</w:t>
      </w:r>
      <w:bookmarkEnd w:id="194"/>
      <w:r>
        <w:rPr>
          <w:rFonts w:hint="eastAsia"/>
          <w:lang w:bidi="ar"/>
        </w:rPr>
        <w:t>用地面积为</w:t>
      </w:r>
      <w:r>
        <w:rPr>
          <w:lang w:bidi="ar"/>
        </w:rPr>
        <w:t>3.99公顷，占集镇区建设用地面积的3.20%，人均教育用地面积4.99平方米</w:t>
      </w:r>
      <w:bookmarkEnd w:id="195"/>
      <w:r>
        <w:rPr>
          <w:lang w:bidi="ar"/>
        </w:rPr>
        <w:t>。</w:t>
      </w:r>
    </w:p>
    <w:p>
      <w:pPr>
        <w:spacing w:before="48"/>
        <w:ind w:firstLine="640"/>
        <w:rPr>
          <w:lang w:bidi="ar"/>
        </w:rPr>
      </w:pPr>
      <w:bookmarkStart w:id="196" w:name="_Hlk207986143"/>
      <w:r>
        <w:rPr>
          <w:rFonts w:hint="eastAsia"/>
          <w:lang w:bidi="ar"/>
        </w:rPr>
        <w:t>规划保留现状赵店第一初级中学，规模为</w:t>
      </w:r>
      <w:r>
        <w:rPr>
          <w:lang w:bidi="ar"/>
        </w:rPr>
        <w:t>25班，可以满足全乡居民的中学就学需求。保留现状中心小学</w:t>
      </w:r>
      <w:r>
        <w:rPr>
          <w:rFonts w:hint="eastAsia"/>
          <w:lang w:bidi="ar"/>
        </w:rPr>
        <w:t>，同时在集镇区中部新增一处小学</w:t>
      </w:r>
      <w:r>
        <w:rPr>
          <w:lang w:bidi="ar"/>
        </w:rPr>
        <w:t>，利用集镇区</w:t>
      </w:r>
      <w:r>
        <w:rPr>
          <w:rFonts w:hint="eastAsia"/>
          <w:lang w:bidi="ar"/>
        </w:rPr>
        <w:t>外北侧现状赵店第一中心小学</w:t>
      </w:r>
      <w:r>
        <w:rPr>
          <w:lang w:bidi="ar"/>
        </w:rPr>
        <w:t>，满足乡域居民集镇区</w:t>
      </w:r>
      <w:r>
        <w:rPr>
          <w:rFonts w:hint="eastAsia"/>
          <w:lang w:bidi="ar"/>
        </w:rPr>
        <w:t>及周边行政村儿童就学的需求</w:t>
      </w:r>
      <w:r>
        <w:rPr>
          <w:lang w:bidi="ar"/>
        </w:rPr>
        <w:t>。规划保留</w:t>
      </w:r>
      <w:r>
        <w:rPr>
          <w:rFonts w:hint="eastAsia"/>
          <w:lang w:bidi="ar"/>
        </w:rPr>
        <w:t>、新增</w:t>
      </w:r>
      <w:r>
        <w:rPr>
          <w:lang w:bidi="ar"/>
        </w:rPr>
        <w:t>集镇区</w:t>
      </w:r>
      <w:r>
        <w:rPr>
          <w:rFonts w:hint="eastAsia"/>
          <w:lang w:bidi="ar"/>
        </w:rPr>
        <w:t>共三</w:t>
      </w:r>
      <w:r>
        <w:rPr>
          <w:lang w:bidi="ar"/>
        </w:rPr>
        <w:t>所幼儿园，规模均为11班，满足集镇区</w:t>
      </w:r>
      <w:r>
        <w:rPr>
          <w:rFonts w:hint="eastAsia"/>
          <w:lang w:bidi="ar"/>
        </w:rPr>
        <w:t>及周边行政村幼儿就学需求</w:t>
      </w:r>
      <w:bookmarkEnd w:id="196"/>
      <w:r>
        <w:rPr>
          <w:lang w:bidi="ar"/>
        </w:rPr>
        <w:t>。</w:t>
      </w:r>
    </w:p>
    <w:p>
      <w:pPr>
        <w:pStyle w:val="5"/>
        <w:ind w:firstLine="640"/>
      </w:pPr>
      <w:r>
        <w:rPr>
          <w:rFonts w:hint="eastAsia"/>
        </w:rPr>
        <w:t>医疗卫生设施</w:t>
      </w:r>
    </w:p>
    <w:p>
      <w:pPr>
        <w:spacing w:before="48"/>
        <w:ind w:firstLine="640"/>
        <w:rPr>
          <w:lang w:bidi="ar"/>
        </w:rPr>
      </w:pPr>
      <w:r>
        <w:rPr>
          <w:rFonts w:hint="eastAsia"/>
          <w:lang w:bidi="ar"/>
        </w:rPr>
        <w:t>规划医疗卫生用地主要为集镇区北侧的现状卫生院，用地面积为</w:t>
      </w:r>
      <w:r>
        <w:rPr>
          <w:lang w:bidi="ar"/>
        </w:rPr>
        <w:t>0.62公顷，占集镇区建设用地面积的0.49%，人均医疗卫生用地面积0.77平方米。</w:t>
      </w:r>
    </w:p>
    <w:p>
      <w:pPr>
        <w:spacing w:before="48"/>
        <w:ind w:firstLine="640"/>
      </w:pPr>
      <w:r>
        <w:rPr>
          <w:rFonts w:hint="eastAsia"/>
          <w:lang w:bidi="ar"/>
        </w:rPr>
        <w:t>各社区按照相关标准配建社区医疗卫生服务站，按照相关标准配置社区卫生服务站等医疗卫生设施，方便社区居民的日常使用</w:t>
      </w:r>
      <w:r>
        <w:rPr>
          <w:lang w:bidi="ar"/>
        </w:rPr>
        <w:t>。</w:t>
      </w:r>
    </w:p>
    <w:p>
      <w:pPr>
        <w:pStyle w:val="5"/>
        <w:ind w:firstLine="640"/>
      </w:pPr>
      <w:r>
        <w:rPr>
          <w:rFonts w:hint="eastAsia"/>
        </w:rPr>
        <w:t>社会福利设施</w:t>
      </w:r>
    </w:p>
    <w:p>
      <w:pPr>
        <w:spacing w:before="48"/>
        <w:ind w:firstLine="640"/>
        <w:rPr>
          <w:lang w:bidi="ar"/>
        </w:rPr>
      </w:pPr>
      <w:bookmarkStart w:id="197" w:name="_Hlk207986236"/>
      <w:r>
        <w:rPr>
          <w:rFonts w:hint="eastAsia"/>
          <w:lang w:bidi="ar"/>
        </w:rPr>
        <w:t>集镇区规划保留改造</w:t>
      </w:r>
      <w:r>
        <w:rPr>
          <w:lang w:bidi="ar"/>
        </w:rPr>
        <w:t>1处中心敬老院，用地面积为0.59公顷，占集镇区建设用地面积的0.47 %，人均社会福利用地面积0.74平方米</w:t>
      </w:r>
      <w:bookmarkEnd w:id="197"/>
      <w:r>
        <w:rPr>
          <w:lang w:bidi="ar"/>
        </w:rPr>
        <w:t>。</w:t>
      </w:r>
    </w:p>
    <w:p>
      <w:pPr>
        <w:spacing w:before="65"/>
        <w:ind w:firstLine="640"/>
        <w:rPr>
          <w:lang w:bidi="ar"/>
        </w:rPr>
      </w:pPr>
      <w:r>
        <w:rPr>
          <w:rFonts w:hint="eastAsia"/>
          <w:lang w:bidi="ar"/>
        </w:rPr>
        <w:t>结合社区建设适当建设专业化的养老护理机构，在有条件的基层社区建设托老所、老年活动室等老年活动设施。</w:t>
      </w:r>
    </w:p>
    <w:p>
      <w:pPr>
        <w:pStyle w:val="3"/>
      </w:pPr>
      <w:bookmarkStart w:id="198" w:name="_Toc208238299"/>
      <w:r>
        <w:rPr>
          <w:rFonts w:hint="eastAsia"/>
        </w:rPr>
        <w:t>住房建设与引导</w:t>
      </w:r>
      <w:bookmarkEnd w:id="198"/>
    </w:p>
    <w:p>
      <w:pPr>
        <w:pStyle w:val="4"/>
        <w:spacing w:before="195" w:after="195"/>
      </w:pPr>
      <w:bookmarkStart w:id="199" w:name="_Hlk142925025"/>
      <w:r>
        <w:rPr>
          <w:rFonts w:hint="eastAsia"/>
        </w:rPr>
        <w:t>居住用地规划</w:t>
      </w:r>
    </w:p>
    <w:bookmarkEnd w:id="199"/>
    <w:p>
      <w:pPr>
        <w:spacing w:before="65"/>
        <w:ind w:firstLine="640"/>
      </w:pPr>
      <w:bookmarkStart w:id="200" w:name="_Hlk207986657"/>
      <w:r>
        <w:rPr>
          <w:rFonts w:hint="eastAsia"/>
        </w:rPr>
        <w:t>规划至</w:t>
      </w:r>
      <w:r>
        <w:t>2035年，居住用地面积为53.62公顷，占集镇区建设用地面积的42.92%，人均居住用地面积为67.02平方米。住宅建设规划宜采取保留、更新改造和新增建设等多种方式</w:t>
      </w:r>
      <w:bookmarkEnd w:id="200"/>
      <w:r>
        <w:t>。</w:t>
      </w:r>
    </w:p>
    <w:p>
      <w:pPr>
        <w:pStyle w:val="4"/>
        <w:spacing w:before="195" w:after="195"/>
      </w:pPr>
      <w:bookmarkStart w:id="201" w:name="_Hlk142925032"/>
      <w:r>
        <w:rPr>
          <w:rFonts w:hint="eastAsia"/>
        </w:rPr>
        <w:t>住房保障规划</w:t>
      </w:r>
    </w:p>
    <w:bookmarkEnd w:id="201"/>
    <w:p>
      <w:pPr>
        <w:spacing w:before="65"/>
        <w:ind w:firstLine="640"/>
      </w:pPr>
      <w:r>
        <w:rPr>
          <w:rFonts w:hint="eastAsia"/>
        </w:rPr>
        <w:t>住宅建设规划宜采取保留、更新改造、拆迁置换和新区建设等多种方式。规划保留集镇区内现有的建筑质量较高、居住环境较好、配套服务设施齐全、规划布局较为合理的居住用地；对集镇区中村庄用地采取逐步更新改造方式；对部分建筑质量较差、配套设施缺乏、环境恶劣、且与其他用地混杂布局的住宅，可根据实际建设需要，拆迁置换为其他城镇用地，如可开发为公共绿地。</w:t>
      </w:r>
    </w:p>
    <w:p>
      <w:pPr>
        <w:pStyle w:val="3"/>
      </w:pPr>
      <w:bookmarkStart w:id="202" w:name="_Toc208238300"/>
      <w:r>
        <w:rPr>
          <w:rFonts w:hint="eastAsia"/>
        </w:rPr>
        <w:t>空间形态与风貌管控</w:t>
      </w:r>
      <w:bookmarkEnd w:id="202"/>
    </w:p>
    <w:p>
      <w:pPr>
        <w:pStyle w:val="4"/>
        <w:spacing w:before="195" w:after="195"/>
      </w:pPr>
      <w:r>
        <w:t>空间风貌结构</w:t>
      </w:r>
    </w:p>
    <w:p>
      <w:pPr>
        <w:spacing w:before="65"/>
        <w:ind w:firstLine="640"/>
      </w:pPr>
      <w:bookmarkStart w:id="203" w:name="_Hlk207986325"/>
      <w:r>
        <w:rPr>
          <w:rFonts w:hint="eastAsia"/>
        </w:rPr>
        <w:t>基于赵店乡现状，结合集镇区内部景观架构，构建符合自然山水特征与发展需要的城镇总体空间形态与格局，确定赵店乡集镇区空间形态框架为“两轴两带，一心多区”。</w:t>
      </w:r>
    </w:p>
    <w:p>
      <w:pPr>
        <w:spacing w:before="65"/>
        <w:ind w:firstLine="640"/>
      </w:pPr>
      <w:r>
        <w:rPr>
          <w:rFonts w:hint="eastAsia"/>
        </w:rPr>
        <w:t>“两轴”分别为依托东西国道</w:t>
      </w:r>
      <w:r>
        <w:t>G241形成的现代城镇风貌轴。</w:t>
      </w:r>
    </w:p>
    <w:p>
      <w:pPr>
        <w:spacing w:before="65"/>
        <w:ind w:firstLine="640"/>
      </w:pPr>
      <w:r>
        <w:rPr>
          <w:rFonts w:hint="eastAsia"/>
        </w:rPr>
        <w:t>“两带”分别为沿县道</w:t>
      </w:r>
      <w:r>
        <w:t>X007的发展带和依托长城河形成的河流景观带。</w:t>
      </w:r>
    </w:p>
    <w:p>
      <w:pPr>
        <w:spacing w:before="65"/>
        <w:ind w:firstLine="640"/>
      </w:pPr>
      <w:r>
        <w:rPr>
          <w:rFonts w:hint="eastAsia"/>
        </w:rPr>
        <w:t>“一心”指以镇政府、集镇区文化广场、集镇区北侧开敞空间等形成的城镇特色中心。</w:t>
      </w:r>
    </w:p>
    <w:p>
      <w:pPr>
        <w:spacing w:before="65"/>
        <w:ind w:firstLine="640"/>
      </w:pPr>
      <w:r>
        <w:rPr>
          <w:rFonts w:hint="eastAsia"/>
        </w:rPr>
        <w:t>“多区”是依据集镇区功能特色划分的多个生活风貌区、商业风貌区、现代公服风貌区等</w:t>
      </w:r>
      <w:bookmarkEnd w:id="203"/>
      <w:r>
        <w:rPr>
          <w:rFonts w:hint="eastAsia"/>
        </w:rPr>
        <w:t>。</w:t>
      </w:r>
    </w:p>
    <w:p>
      <w:pPr>
        <w:pStyle w:val="4"/>
        <w:spacing w:before="195" w:after="195"/>
      </w:pPr>
      <w:r>
        <w:rPr>
          <w:rFonts w:hint="eastAsia"/>
        </w:rPr>
        <w:t>开发强度和高度分区</w:t>
      </w:r>
    </w:p>
    <w:p>
      <w:pPr>
        <w:spacing w:before="65" w:after="120"/>
        <w:ind w:firstLine="640"/>
      </w:pPr>
      <w:bookmarkStart w:id="204" w:name="_Hlk207986342"/>
      <w:r>
        <w:rPr>
          <w:rFonts w:hint="eastAsia"/>
        </w:rPr>
        <w:t>集镇区建设用地开发强度按两级控制，实行差异化的土地开发强度管制。一级强度区容积率控制为小于</w:t>
      </w:r>
      <w:r>
        <w:t>1.0，主要为公共服务片区；</w:t>
      </w:r>
      <w:r>
        <w:rPr>
          <w:rFonts w:hint="eastAsia"/>
        </w:rPr>
        <w:t>二</w:t>
      </w:r>
      <w:r>
        <w:t>级强度区容积率控制为1.0-2.0，主要为商业服务区和部分居住生活区。</w:t>
      </w:r>
    </w:p>
    <w:p>
      <w:pPr>
        <w:spacing w:before="65" w:after="120"/>
        <w:ind w:firstLine="640"/>
      </w:pPr>
      <w:r>
        <w:rPr>
          <w:rFonts w:hint="eastAsia"/>
        </w:rPr>
        <w:t>一级高度区建筑控制为不大于</w:t>
      </w:r>
      <w:r>
        <w:t>3层，高度不大于12米；</w:t>
      </w:r>
      <w:r>
        <w:rPr>
          <w:rFonts w:hint="eastAsia"/>
        </w:rPr>
        <w:t>二</w:t>
      </w:r>
      <w:r>
        <w:t>级高度区建筑控制为不大于6层，高度不大于24米</w:t>
      </w:r>
      <w:bookmarkEnd w:id="204"/>
      <w:r>
        <w:rPr>
          <w:rFonts w:hint="eastAsia"/>
        </w:rPr>
        <w:t>。</w:t>
      </w:r>
    </w:p>
    <w:p>
      <w:pPr>
        <w:pStyle w:val="4"/>
        <w:spacing w:before="195" w:after="195"/>
      </w:pPr>
      <w:r>
        <w:rPr>
          <w:rFonts w:hint="eastAsia"/>
        </w:rPr>
        <w:t>风貌管控</w:t>
      </w:r>
    </w:p>
    <w:p>
      <w:pPr>
        <w:pStyle w:val="5"/>
        <w:ind w:firstLine="640"/>
      </w:pPr>
      <w:bookmarkStart w:id="205" w:name="_Hlk207986421"/>
      <w:r>
        <w:t>线性风貌管控</w:t>
      </w:r>
    </w:p>
    <w:p>
      <w:pPr>
        <w:spacing w:before="65"/>
        <w:ind w:firstLine="640"/>
      </w:pPr>
      <w:r>
        <w:rPr>
          <w:rFonts w:hint="eastAsia"/>
        </w:rPr>
        <w:t>重点对东西国道</w:t>
      </w:r>
      <w:r>
        <w:t>G241沿线进行控制。沿道路主要控制道路两旁的绿化与公共空间，形成连续的视觉空间，加强与次级空间轴线、节点、绿化廊道的渗透、延展和联系，形成网络状的功能和慢行空间，强化行人街道空间和步行体验，强化</w:t>
      </w:r>
      <w:r>
        <w:rPr>
          <w:rFonts w:hint="eastAsia"/>
        </w:rPr>
        <w:t>乡镇</w:t>
      </w:r>
      <w:r>
        <w:t>空间的层次性、多样性和可达性；滨河风貌管控地带建筑不宜过高，处理好建筑与水体之间的关系，保证滨水沿岸的天际线优美连续，留足水体边界的公共空间</w:t>
      </w:r>
      <w:r>
        <w:rPr>
          <w:rFonts w:hint="eastAsia"/>
        </w:rPr>
        <w:t>。</w:t>
      </w:r>
    </w:p>
    <w:p>
      <w:pPr>
        <w:pStyle w:val="5"/>
        <w:ind w:firstLine="640"/>
      </w:pPr>
      <w:r>
        <w:t>片区风貌管控</w:t>
      </w:r>
    </w:p>
    <w:p>
      <w:pPr>
        <w:spacing w:before="65"/>
        <w:ind w:firstLine="640"/>
      </w:pPr>
      <w:r>
        <w:rPr>
          <w:rFonts w:hint="eastAsia"/>
        </w:rPr>
        <w:t>重点对中北部综合服务片区和南侧、西侧工业发展片区进行管控。中北部综合服务片区指以镇政府为中心形成的公共服务设施集中的地区，片区应营造舒朗大气、积极明快的氛围，展示赵店形象；南侧和西侧工业发展片区指工业工厂和以服务工业生产的其他设施集中的区域，形成的工业发展片区，片区应营造干净整洁的形象</w:t>
      </w:r>
      <w:bookmarkEnd w:id="205"/>
      <w:r>
        <w:rPr>
          <w:rFonts w:hint="eastAsia"/>
        </w:rPr>
        <w:t>。</w:t>
      </w:r>
    </w:p>
    <w:p>
      <w:pPr>
        <w:pStyle w:val="3"/>
      </w:pPr>
      <w:bookmarkStart w:id="206" w:name="_Toc208238301"/>
      <w:r>
        <w:rPr>
          <w:rFonts w:hint="eastAsia"/>
        </w:rPr>
        <w:t>道路交通系统规划</w:t>
      </w:r>
      <w:bookmarkEnd w:id="206"/>
    </w:p>
    <w:p>
      <w:pPr>
        <w:pStyle w:val="4"/>
        <w:spacing w:before="195" w:after="195"/>
      </w:pPr>
      <w:r>
        <w:rPr>
          <w:rFonts w:hint="eastAsia"/>
        </w:rPr>
        <w:t>规划目标</w:t>
      </w:r>
    </w:p>
    <w:p>
      <w:pPr>
        <w:spacing w:before="65"/>
        <w:ind w:firstLine="640"/>
      </w:pPr>
      <w:r>
        <w:rPr>
          <w:rFonts w:hint="eastAsia"/>
        </w:rPr>
        <w:t>形成高效通畅的交通网络体系；保障过境公路畅通，提高集镇区道路网密度，注重与对外交通的联系和衔接。构建以慢行为主的绿色出行结构；构建尺度宜人、安全连续的慢行网络，至</w:t>
      </w:r>
      <w:r>
        <w:t>2035年，</w:t>
      </w:r>
      <w:r>
        <w:rPr>
          <w:rFonts w:hint="eastAsia"/>
        </w:rPr>
        <w:t>规划道路网密度不小于</w:t>
      </w:r>
      <w:r>
        <w:t>8千米/平方千米</w:t>
      </w:r>
      <w:r>
        <w:rPr>
          <w:rFonts w:hint="eastAsia"/>
        </w:rPr>
        <w:t>。</w:t>
      </w:r>
    </w:p>
    <w:p>
      <w:pPr>
        <w:pStyle w:val="4"/>
        <w:spacing w:before="195" w:after="195"/>
      </w:pPr>
      <w:r>
        <w:rPr>
          <w:rFonts w:hint="eastAsia"/>
        </w:rPr>
        <w:t>对外交通系统</w:t>
      </w:r>
    </w:p>
    <w:p>
      <w:pPr>
        <w:spacing w:before="65"/>
        <w:ind w:firstLine="640"/>
      </w:pPr>
      <w:bookmarkStart w:id="207" w:name="_Hlk207986726"/>
      <w:r>
        <w:rPr>
          <w:rFonts w:hint="eastAsia"/>
        </w:rPr>
        <w:t>强化集镇区内外交通衔接，搭建高效便捷的内外道路转换体系。保留集镇区中心南北向东西</w:t>
      </w:r>
      <w:r>
        <w:t>G241。其中，</w:t>
      </w:r>
      <w:r>
        <w:rPr>
          <w:rFonts w:hint="eastAsia"/>
        </w:rPr>
        <w:t>东</w:t>
      </w:r>
      <w:r>
        <w:t>G241规划双向车道，红线宽度控制为16米，</w:t>
      </w:r>
      <w:r>
        <w:rPr>
          <w:rFonts w:hint="eastAsia"/>
        </w:rPr>
        <w:t>西</w:t>
      </w:r>
      <w:r>
        <w:t>G241红线宽度控制为20米。</w:t>
      </w:r>
    </w:p>
    <w:p>
      <w:pPr>
        <w:spacing w:before="65"/>
        <w:ind w:firstLine="640"/>
      </w:pPr>
      <w:r>
        <w:rPr>
          <w:rFonts w:hint="eastAsia"/>
        </w:rPr>
        <w:t>强化集镇区干道与支路之间的衔接，并尽量减少集镇区低等级道路与过境道路的交叉口数量，以保证交通安全、美化道路景观，提高集镇区的环境质量</w:t>
      </w:r>
      <w:bookmarkEnd w:id="207"/>
      <w:r>
        <w:rPr>
          <w:rFonts w:hint="eastAsia"/>
        </w:rPr>
        <w:t>。</w:t>
      </w:r>
    </w:p>
    <w:p>
      <w:pPr>
        <w:pStyle w:val="4"/>
        <w:spacing w:before="195" w:after="195"/>
      </w:pPr>
      <w:r>
        <w:rPr>
          <w:rFonts w:hint="eastAsia"/>
        </w:rPr>
        <w:t>道路交通系统</w:t>
      </w:r>
    </w:p>
    <w:p>
      <w:pPr>
        <w:spacing w:before="65" w:after="120"/>
        <w:ind w:firstLine="640"/>
      </w:pPr>
      <w:r>
        <w:rPr>
          <w:rFonts w:hint="eastAsia"/>
        </w:rPr>
        <w:t>规</w:t>
      </w:r>
      <w:bookmarkStart w:id="208" w:name="_Hlk207986786"/>
      <w:r>
        <w:rPr>
          <w:rFonts w:hint="eastAsia"/>
        </w:rPr>
        <w:t>划以格网式的道路网络形式构成道路系统。提高集镇区现有道路等级，加强片区之间联系。除国道、县道外，集镇区内采用“干路、支路”体系，构建“六横三纵”的主要交通通道；加强干路与支路建设，形成畅通高效的干线道路与集散道路体系。道路线型结合现有的道路基础，最大限度降低建设成本；提高路网密度，推行“小街区、密路网”模式；结合社区生活圈模式，构建功能完善、级配结构合理的城镇道路网系统。</w:t>
      </w:r>
    </w:p>
    <w:p>
      <w:pPr>
        <w:spacing w:before="65" w:after="120"/>
        <w:ind w:firstLine="640"/>
      </w:pPr>
      <w:r>
        <w:rPr>
          <w:rFonts w:hint="eastAsia"/>
        </w:rPr>
        <w:t>干路：红线宽度为</w:t>
      </w:r>
      <w:r>
        <w:t>12米。</w:t>
      </w:r>
    </w:p>
    <w:p>
      <w:pPr>
        <w:spacing w:before="65" w:after="120"/>
        <w:ind w:firstLine="640"/>
      </w:pPr>
      <w:r>
        <w:rPr>
          <w:rFonts w:hint="eastAsia"/>
        </w:rPr>
        <w:t>支路：红线宽度为</w:t>
      </w:r>
      <w:r>
        <w:t>7米</w:t>
      </w:r>
      <w:bookmarkEnd w:id="208"/>
      <w:r>
        <w:rPr>
          <w:rFonts w:hint="eastAsia"/>
        </w:rPr>
        <w:t>。</w:t>
      </w:r>
    </w:p>
    <w:p>
      <w:pPr>
        <w:pStyle w:val="4"/>
        <w:spacing w:before="195" w:after="195"/>
      </w:pPr>
      <w:r>
        <w:rPr>
          <w:rFonts w:hint="eastAsia"/>
        </w:rPr>
        <w:t>公共交通规划</w:t>
      </w:r>
    </w:p>
    <w:p>
      <w:pPr>
        <w:pStyle w:val="5"/>
        <w:ind w:firstLine="640"/>
      </w:pPr>
      <w:r>
        <w:t>加油加气站用地</w:t>
      </w:r>
    </w:p>
    <w:p>
      <w:pPr>
        <w:spacing w:before="48"/>
        <w:ind w:firstLine="640"/>
      </w:pPr>
      <w:bookmarkStart w:id="209" w:name="_Hlk207986813"/>
      <w:r>
        <w:rPr>
          <w:rFonts w:hint="eastAsia"/>
        </w:rPr>
        <w:t>保留集镇区现状</w:t>
      </w:r>
      <w:r>
        <w:t>3处加油站，X007北侧2处，集镇区</w:t>
      </w:r>
      <w:r>
        <w:rPr>
          <w:rFonts w:hint="eastAsia"/>
        </w:rPr>
        <w:t>中部</w:t>
      </w:r>
      <w:r>
        <w:t>、</w:t>
      </w:r>
      <w:r>
        <w:rPr>
          <w:rFonts w:hint="eastAsia"/>
        </w:rPr>
        <w:t>西国道2</w:t>
      </w:r>
      <w:r>
        <w:t>41东侧1处，总用地面积为0.23公顷</w:t>
      </w:r>
      <w:bookmarkEnd w:id="209"/>
      <w:r>
        <w:t>。</w:t>
      </w:r>
    </w:p>
    <w:p>
      <w:pPr>
        <w:pStyle w:val="5"/>
        <w:ind w:firstLine="640"/>
      </w:pPr>
      <w:bookmarkStart w:id="210" w:name="OLE_LINK7"/>
      <w:bookmarkStart w:id="211" w:name="OLE_LINK6"/>
      <w:bookmarkStart w:id="212" w:name="_Hlk207986822"/>
      <w:r>
        <w:rPr>
          <w:rFonts w:hint="eastAsia"/>
        </w:rPr>
        <w:t>公共交通规划</w:t>
      </w:r>
    </w:p>
    <w:p>
      <w:pPr>
        <w:spacing w:before="48"/>
        <w:ind w:firstLine="640"/>
      </w:pPr>
      <w:r>
        <w:rPr>
          <w:rFonts w:hint="eastAsia"/>
        </w:rPr>
        <w:t>规划保留现状集镇区东侧两处公共交通场站，用地</w:t>
      </w:r>
      <w:r>
        <w:t>2.41公顷</w:t>
      </w:r>
      <w:bookmarkEnd w:id="210"/>
      <w:bookmarkEnd w:id="211"/>
      <w:r>
        <w:rPr>
          <w:rFonts w:hint="eastAsia"/>
        </w:rPr>
        <w:t>。</w:t>
      </w:r>
    </w:p>
    <w:p>
      <w:pPr>
        <w:pStyle w:val="5"/>
        <w:ind w:firstLine="640"/>
      </w:pPr>
      <w:r>
        <w:t>公交站点</w:t>
      </w:r>
    </w:p>
    <w:p>
      <w:pPr>
        <w:spacing w:before="48"/>
        <w:ind w:firstLine="640"/>
      </w:pPr>
      <w:r>
        <w:rPr>
          <w:rFonts w:hint="eastAsia"/>
        </w:rPr>
        <w:t>规划两处城乡公交站点</w:t>
      </w:r>
      <w:bookmarkEnd w:id="212"/>
      <w:r>
        <w:rPr>
          <w:rFonts w:hint="eastAsia"/>
        </w:rPr>
        <w:t>，位于乡政府周边及集镇区南部。</w:t>
      </w:r>
    </w:p>
    <w:p>
      <w:pPr>
        <w:pStyle w:val="4"/>
        <w:spacing w:before="195" w:after="195"/>
      </w:pPr>
      <w:r>
        <w:rPr>
          <w:rFonts w:hint="eastAsia"/>
        </w:rPr>
        <w:t>停车设施规划</w:t>
      </w:r>
    </w:p>
    <w:p>
      <w:pPr>
        <w:spacing w:before="65"/>
        <w:ind w:firstLine="640"/>
      </w:pPr>
      <w:bookmarkStart w:id="213" w:name="_Hlk207986805"/>
      <w:r>
        <w:rPr>
          <w:rFonts w:hint="eastAsia"/>
        </w:rPr>
        <w:t>规划保留现状集镇区社会停车场，用地面积</w:t>
      </w:r>
      <w:r>
        <w:t>0.19公顷，规划在集镇区北部居住区新拆除破旧民宅改建为社会停车场，用地面积0.05公顷</w:t>
      </w:r>
      <w:bookmarkEnd w:id="213"/>
      <w:r>
        <w:rPr>
          <w:rFonts w:hint="eastAsia"/>
        </w:rPr>
        <w:t>。</w:t>
      </w:r>
    </w:p>
    <w:p>
      <w:pPr>
        <w:pStyle w:val="3"/>
      </w:pPr>
      <w:bookmarkStart w:id="214" w:name="_Toc129799057"/>
      <w:bookmarkStart w:id="215" w:name="_Toc208238302"/>
      <w:r>
        <w:rPr>
          <w:rFonts w:hint="eastAsia"/>
        </w:rPr>
        <w:t>基础设施</w:t>
      </w:r>
      <w:bookmarkEnd w:id="214"/>
      <w:r>
        <w:rPr>
          <w:rFonts w:hint="eastAsia"/>
        </w:rPr>
        <w:t>规划</w:t>
      </w:r>
      <w:bookmarkEnd w:id="215"/>
    </w:p>
    <w:p>
      <w:pPr>
        <w:pStyle w:val="4"/>
        <w:spacing w:before="195" w:after="195"/>
      </w:pPr>
      <w:r>
        <w:rPr>
          <w:rFonts w:hint="eastAsia"/>
        </w:rPr>
        <w:t>给水工程规划</w:t>
      </w:r>
    </w:p>
    <w:p>
      <w:pPr>
        <w:pStyle w:val="5"/>
        <w:ind w:firstLine="640"/>
      </w:pPr>
      <w:r>
        <w:rPr>
          <w:rFonts w:hint="eastAsia"/>
        </w:rPr>
        <w:t>用水量预测</w:t>
      </w:r>
    </w:p>
    <w:p>
      <w:pPr>
        <w:spacing w:before="48"/>
        <w:ind w:firstLine="640"/>
      </w:pPr>
      <w:bookmarkStart w:id="216" w:name="OLE_LINK33"/>
      <w:bookmarkStart w:id="217" w:name="OLE_LINK34"/>
      <w:r>
        <w:rPr>
          <w:rFonts w:hint="eastAsia"/>
        </w:rPr>
        <w:t>预测集镇区最高日用水量为</w:t>
      </w:r>
      <w:r>
        <w:t>3287立方米/日</w:t>
      </w:r>
      <w:r>
        <w:rPr>
          <w:rFonts w:hint="eastAsia"/>
        </w:rPr>
        <w:t>。</w:t>
      </w:r>
    </w:p>
    <w:bookmarkEnd w:id="216"/>
    <w:bookmarkEnd w:id="217"/>
    <w:p>
      <w:pPr>
        <w:pStyle w:val="5"/>
        <w:ind w:firstLine="640"/>
      </w:pPr>
      <w:r>
        <w:rPr>
          <w:rFonts w:hint="eastAsia"/>
        </w:rPr>
        <w:t>水厂规划</w:t>
      </w:r>
    </w:p>
    <w:p>
      <w:pPr>
        <w:spacing w:before="48"/>
        <w:ind w:firstLine="640"/>
      </w:pPr>
      <w:bookmarkStart w:id="218" w:name="OLE_LINK36"/>
      <w:bookmarkStart w:id="219" w:name="OLE_LINK35"/>
      <w:r>
        <w:rPr>
          <w:rFonts w:hint="eastAsia"/>
        </w:rPr>
        <w:t>规划扩建赵店水厂，规模至</w:t>
      </w:r>
      <w:r>
        <w:t>0.35万立方米/日，供水水源采用南水北调水</w:t>
      </w:r>
      <w:r>
        <w:rPr>
          <w:rFonts w:hint="eastAsia"/>
        </w:rPr>
        <w:t>。</w:t>
      </w:r>
    </w:p>
    <w:bookmarkEnd w:id="218"/>
    <w:bookmarkEnd w:id="219"/>
    <w:p>
      <w:pPr>
        <w:pStyle w:val="5"/>
        <w:ind w:firstLine="640"/>
      </w:pPr>
      <w:r>
        <w:rPr>
          <w:rFonts w:hint="eastAsia"/>
        </w:rPr>
        <w:t>供水管网规划</w:t>
      </w:r>
    </w:p>
    <w:p>
      <w:pPr>
        <w:spacing w:before="48"/>
        <w:ind w:firstLine="640"/>
      </w:pPr>
      <w:r>
        <w:rPr>
          <w:rFonts w:hint="eastAsia"/>
          <w:bCs/>
        </w:rPr>
        <w:t>供水主干线沿主干路敷设并尽量靠近大用水量单位，综合考虑技术、经济以及可靠性等因素，采用环、支状网相结合的布置方式。规划沿镇区道路敷设</w:t>
      </w:r>
      <w:r>
        <w:rPr>
          <w:bCs/>
        </w:rPr>
        <w:t>DN100-DN200给水管。规划给水管与相交道路给水管相接，形成安全可靠的环状供水系统</w:t>
      </w:r>
      <w:r>
        <w:rPr>
          <w:rFonts w:hint="eastAsia"/>
          <w:bCs/>
        </w:rPr>
        <w:t>。</w:t>
      </w:r>
    </w:p>
    <w:p>
      <w:pPr>
        <w:pStyle w:val="4"/>
        <w:spacing w:before="195" w:after="195"/>
      </w:pPr>
      <w:r>
        <w:rPr>
          <w:rFonts w:hint="eastAsia"/>
        </w:rPr>
        <w:t>排水工程规划</w:t>
      </w:r>
    </w:p>
    <w:p>
      <w:pPr>
        <w:pStyle w:val="5"/>
        <w:ind w:firstLine="640"/>
      </w:pPr>
      <w:r>
        <w:rPr>
          <w:rFonts w:hint="eastAsia"/>
        </w:rPr>
        <w:t>污水工程</w:t>
      </w:r>
    </w:p>
    <w:p>
      <w:pPr>
        <w:spacing w:before="48"/>
        <w:ind w:firstLine="640"/>
        <w:rPr>
          <w:bCs/>
        </w:rPr>
      </w:pPr>
      <w:bookmarkStart w:id="220" w:name="OLE_LINK37"/>
      <w:r>
        <w:rPr>
          <w:rFonts w:hint="eastAsia"/>
          <w:bCs/>
        </w:rPr>
        <w:t>规划集镇区实行雨污分流制排水系统。</w:t>
      </w:r>
    </w:p>
    <w:p>
      <w:pPr>
        <w:spacing w:before="48"/>
        <w:ind w:firstLine="640"/>
        <w:rPr>
          <w:bCs/>
        </w:rPr>
      </w:pPr>
      <w:r>
        <w:rPr>
          <w:rFonts w:hint="eastAsia"/>
          <w:bCs/>
        </w:rPr>
        <w:t>预测集镇区平均日污水量为</w:t>
      </w:r>
      <w:r>
        <w:rPr>
          <w:bCs/>
        </w:rPr>
        <w:t>1592立方米/日。</w:t>
      </w:r>
    </w:p>
    <w:p>
      <w:pPr>
        <w:spacing w:before="48"/>
        <w:ind w:firstLine="640"/>
      </w:pPr>
      <w:r>
        <w:rPr>
          <w:rFonts w:hint="eastAsia"/>
          <w:bCs/>
        </w:rPr>
        <w:t>规划新建赵店污水处理厂，规模为</w:t>
      </w:r>
      <w:r>
        <w:rPr>
          <w:bCs/>
        </w:rPr>
        <w:t>0.2万立方米/日。</w:t>
      </w:r>
      <w:bookmarkEnd w:id="220"/>
      <w:r>
        <w:rPr>
          <w:bCs/>
        </w:rPr>
        <w:t>污水处理厂出水水质要求达到《城镇污水处理厂污染物排放标准》（GB 18918-2002）中规定的一级A标准，处理达标后排入长</w:t>
      </w:r>
      <w:r>
        <w:rPr>
          <w:rFonts w:hint="eastAsia"/>
          <w:bCs/>
        </w:rPr>
        <w:t>城</w:t>
      </w:r>
      <w:r>
        <w:rPr>
          <w:bCs/>
        </w:rPr>
        <w:t>河</w:t>
      </w:r>
      <w:r>
        <w:rPr>
          <w:rFonts w:hint="eastAsia"/>
          <w:bCs/>
        </w:rPr>
        <w:t>。</w:t>
      </w:r>
    </w:p>
    <w:p>
      <w:pPr>
        <w:pStyle w:val="5"/>
        <w:ind w:firstLine="640"/>
      </w:pPr>
      <w:r>
        <w:rPr>
          <w:rFonts w:hint="eastAsia"/>
        </w:rPr>
        <w:t>雨水工程</w:t>
      </w:r>
    </w:p>
    <w:p>
      <w:pPr>
        <w:spacing w:before="48"/>
        <w:ind w:firstLine="640"/>
      </w:pPr>
      <w:r>
        <w:rPr>
          <w:rFonts w:hint="eastAsia"/>
        </w:rPr>
        <w:t>集</w:t>
      </w:r>
      <w:bookmarkStart w:id="221" w:name="OLE_LINK38"/>
      <w:bookmarkStart w:id="222" w:name="OLE_LINK39"/>
      <w:r>
        <w:rPr>
          <w:rFonts w:hint="eastAsia"/>
        </w:rPr>
        <w:t>镇区雨水管渠设计重现期为</w:t>
      </w:r>
      <w:r>
        <w:t>2～3年；集镇区的重要地区如行政中心、学校、医院、商业聚集区等雨水管渠设计重现期为3～5年；集镇区的地下通道和下沉式广场等雨水管渠设计重现期为10～20年。</w:t>
      </w:r>
    </w:p>
    <w:p>
      <w:pPr>
        <w:spacing w:before="48"/>
        <w:ind w:firstLine="640"/>
      </w:pPr>
      <w:r>
        <w:rPr>
          <w:rFonts w:hint="eastAsia"/>
        </w:rPr>
        <w:t>规划沿镇区道路敷设</w:t>
      </w:r>
      <w:r>
        <w:t>d400-d600雨水管，雨水就近排入河流、水系</w:t>
      </w:r>
      <w:r>
        <w:rPr>
          <w:rFonts w:hint="eastAsia"/>
          <w:bCs/>
        </w:rPr>
        <w:t>。</w:t>
      </w:r>
    </w:p>
    <w:bookmarkEnd w:id="221"/>
    <w:bookmarkEnd w:id="222"/>
    <w:p>
      <w:pPr>
        <w:pStyle w:val="4"/>
        <w:spacing w:before="195" w:after="195"/>
      </w:pPr>
      <w:r>
        <w:rPr>
          <w:rFonts w:hint="eastAsia"/>
        </w:rPr>
        <w:t>电力工程规划</w:t>
      </w:r>
    </w:p>
    <w:p>
      <w:pPr>
        <w:pStyle w:val="5"/>
        <w:ind w:firstLine="640"/>
      </w:pPr>
      <w:r>
        <w:rPr>
          <w:rFonts w:hint="eastAsia"/>
        </w:rPr>
        <w:t>用电负荷预测</w:t>
      </w:r>
    </w:p>
    <w:p>
      <w:pPr>
        <w:spacing w:before="48"/>
        <w:ind w:firstLine="640"/>
      </w:pPr>
      <w:bookmarkStart w:id="223" w:name="OLE_LINK40"/>
      <w:bookmarkStart w:id="224" w:name="OLE_LINK41"/>
      <w:r>
        <w:rPr>
          <w:rFonts w:hint="eastAsia"/>
        </w:rPr>
        <w:t>预测集镇区用电负荷约为</w:t>
      </w:r>
      <w:r>
        <w:t>2.1万千瓦</w:t>
      </w:r>
      <w:bookmarkEnd w:id="223"/>
      <w:bookmarkEnd w:id="224"/>
      <w:r>
        <w:rPr>
          <w:rFonts w:hint="eastAsia"/>
        </w:rPr>
        <w:t>。</w:t>
      </w:r>
    </w:p>
    <w:p>
      <w:pPr>
        <w:pStyle w:val="5"/>
        <w:ind w:firstLine="640"/>
      </w:pPr>
      <w:r>
        <w:rPr>
          <w:rFonts w:hint="eastAsia"/>
        </w:rPr>
        <w:t>变电设施规划</w:t>
      </w:r>
    </w:p>
    <w:p>
      <w:pPr>
        <w:spacing w:before="48"/>
        <w:ind w:firstLine="640"/>
      </w:pPr>
      <w:r>
        <w:rPr>
          <w:rFonts w:hint="eastAsia"/>
        </w:rPr>
        <w:t>规划保留现状</w:t>
      </w:r>
      <w:r>
        <w:t>35千伏赵店变电站，供电容量为10兆伏安</w:t>
      </w:r>
      <w:r>
        <w:rPr>
          <w:rFonts w:hint="eastAsia"/>
        </w:rPr>
        <w:t>。</w:t>
      </w:r>
    </w:p>
    <w:p>
      <w:pPr>
        <w:pStyle w:val="5"/>
        <w:ind w:firstLine="640"/>
      </w:pPr>
      <w:r>
        <w:rPr>
          <w:rFonts w:hint="eastAsia"/>
        </w:rPr>
        <w:t>电力廊道规划</w:t>
      </w:r>
    </w:p>
    <w:p>
      <w:pPr>
        <w:spacing w:before="48"/>
        <w:ind w:firstLine="640"/>
      </w:pPr>
      <w:bookmarkStart w:id="225" w:name="OLE_LINK42"/>
      <w:bookmarkStart w:id="226" w:name="OLE_LINK43"/>
      <w:bookmarkStart w:id="227" w:name="_Hlk150874338"/>
      <w:r>
        <w:rPr>
          <w:bCs/>
        </w:rPr>
        <w:t>800千伏高压线电力廊道控制宽度80-90米，110千伏架空电力廊道控制宽度15-25米。</w:t>
      </w:r>
      <w:bookmarkEnd w:id="225"/>
      <w:bookmarkEnd w:id="226"/>
      <w:r>
        <w:rPr>
          <w:bCs/>
        </w:rPr>
        <w:t>根据《电力设施保护条例实施细则》要求廊道内不得进行建设及危害电力设施的行为</w:t>
      </w:r>
      <w:r>
        <w:rPr>
          <w:rFonts w:hint="eastAsia"/>
        </w:rPr>
        <w:t>。</w:t>
      </w:r>
      <w:bookmarkEnd w:id="227"/>
    </w:p>
    <w:p>
      <w:pPr>
        <w:pStyle w:val="4"/>
        <w:spacing w:before="195" w:after="195"/>
      </w:pPr>
      <w:r>
        <w:rPr>
          <w:rFonts w:hint="eastAsia"/>
        </w:rPr>
        <w:t>通信工程规划</w:t>
      </w:r>
    </w:p>
    <w:p>
      <w:pPr>
        <w:pStyle w:val="5"/>
        <w:ind w:firstLine="640"/>
      </w:pPr>
      <w:r>
        <w:rPr>
          <w:rFonts w:hint="eastAsia"/>
        </w:rPr>
        <w:t>容量预测</w:t>
      </w:r>
    </w:p>
    <w:p>
      <w:pPr>
        <w:ind w:firstLine="640"/>
      </w:pPr>
      <w:bookmarkStart w:id="228" w:name="OLE_LINK45"/>
      <w:bookmarkStart w:id="229" w:name="OLE_LINK44"/>
      <w:r>
        <w:rPr>
          <w:rFonts w:hint="eastAsia"/>
        </w:rPr>
        <w:t>预测集镇区固定电话容量需求达到</w:t>
      </w:r>
      <w:r>
        <w:t>9609线，移动电话用户卡号数约为8800卡号，宽带用户数量达到3200户</w:t>
      </w:r>
      <w:r>
        <w:rPr>
          <w:rFonts w:hint="eastAsia"/>
        </w:rPr>
        <w:t>。</w:t>
      </w:r>
    </w:p>
    <w:bookmarkEnd w:id="228"/>
    <w:bookmarkEnd w:id="229"/>
    <w:p>
      <w:pPr>
        <w:pStyle w:val="5"/>
        <w:ind w:firstLine="640"/>
      </w:pPr>
      <w:r>
        <w:rPr>
          <w:rFonts w:hint="eastAsia"/>
        </w:rPr>
        <w:t>邮政设施与电信设施规划</w:t>
      </w:r>
    </w:p>
    <w:p>
      <w:pPr>
        <w:spacing w:before="48"/>
        <w:ind w:firstLine="640"/>
      </w:pPr>
      <w:bookmarkStart w:id="230" w:name="OLE_LINK46"/>
      <w:bookmarkStart w:id="231" w:name="OLE_LINK47"/>
      <w:r>
        <w:rPr>
          <w:rFonts w:hint="eastAsia"/>
        </w:rPr>
        <w:t>规划保留集镇区现状邮政支局</w:t>
      </w:r>
      <w:r>
        <w:t>1处。</w:t>
      </w:r>
      <w:bookmarkEnd w:id="230"/>
      <w:bookmarkEnd w:id="231"/>
      <w:r>
        <w:t>规划沿集镇区主干道每隔500米设信箱1个，住宅楼各单元入口处设报箱</w:t>
      </w:r>
      <w:r>
        <w:rPr>
          <w:rFonts w:hint="eastAsia"/>
        </w:rPr>
        <w:t>。</w:t>
      </w:r>
    </w:p>
    <w:p>
      <w:pPr>
        <w:pStyle w:val="5"/>
        <w:ind w:firstLine="640"/>
      </w:pPr>
      <w:r>
        <w:rPr>
          <w:rFonts w:hint="eastAsia"/>
        </w:rPr>
        <w:t>广播电视设施规划</w:t>
      </w:r>
    </w:p>
    <w:p>
      <w:pPr>
        <w:spacing w:before="48"/>
        <w:ind w:firstLine="640"/>
      </w:pPr>
      <w:r>
        <w:rPr>
          <w:rFonts w:hint="eastAsia"/>
        </w:rPr>
        <w:t>规划广播电视综合交叉覆盖率达到</w:t>
      </w:r>
      <w:r>
        <w:t>98％以上，有线电视入户实现数字化、传输线路全部采用光缆，埋户率达100％</w:t>
      </w:r>
      <w:r>
        <w:rPr>
          <w:rFonts w:hint="eastAsia"/>
        </w:rPr>
        <w:t>。</w:t>
      </w:r>
    </w:p>
    <w:p>
      <w:pPr>
        <w:pStyle w:val="4"/>
        <w:spacing w:before="195" w:after="195"/>
      </w:pPr>
      <w:r>
        <w:rPr>
          <w:rFonts w:hint="eastAsia"/>
        </w:rPr>
        <w:t>燃气工程规划</w:t>
      </w:r>
    </w:p>
    <w:p>
      <w:pPr>
        <w:pStyle w:val="5"/>
        <w:ind w:firstLine="640"/>
      </w:pPr>
      <w:r>
        <w:rPr>
          <w:rFonts w:hint="eastAsia"/>
        </w:rPr>
        <w:t>用气负荷预测</w:t>
      </w:r>
    </w:p>
    <w:p>
      <w:pPr>
        <w:spacing w:before="48"/>
        <w:ind w:firstLine="640"/>
      </w:pPr>
      <w:bookmarkStart w:id="232" w:name="OLE_LINK48"/>
      <w:r>
        <w:rPr>
          <w:rFonts w:hint="eastAsia"/>
        </w:rPr>
        <w:t>预测集镇区用气负荷约</w:t>
      </w:r>
      <w:r>
        <w:t>5040立方米/日</w:t>
      </w:r>
      <w:bookmarkEnd w:id="232"/>
      <w:r>
        <w:rPr>
          <w:rFonts w:hint="eastAsia"/>
        </w:rPr>
        <w:t>。</w:t>
      </w:r>
    </w:p>
    <w:p>
      <w:pPr>
        <w:pStyle w:val="5"/>
        <w:ind w:firstLine="640"/>
      </w:pPr>
      <w:r>
        <w:rPr>
          <w:rFonts w:hint="eastAsia"/>
        </w:rPr>
        <w:t>燃气管网规划</w:t>
      </w:r>
    </w:p>
    <w:p>
      <w:pPr>
        <w:spacing w:before="48"/>
        <w:ind w:firstLine="640"/>
      </w:pPr>
      <w:r>
        <w:rPr>
          <w:rFonts w:hint="eastAsia"/>
        </w:rPr>
        <w:t>中心城区燃气输配管网采用中压</w:t>
      </w:r>
      <w:r>
        <w:t>(A)一级管网系统，规划沿镇区道路敷设de63-de160燃气管线，燃气管线呈环状布置，局部为支状</w:t>
      </w:r>
      <w:r>
        <w:rPr>
          <w:rFonts w:hint="eastAsia"/>
          <w:bCs/>
        </w:rPr>
        <w:t>。</w:t>
      </w:r>
    </w:p>
    <w:p>
      <w:pPr>
        <w:pStyle w:val="4"/>
        <w:spacing w:before="195" w:after="195"/>
      </w:pPr>
      <w:r>
        <w:rPr>
          <w:rFonts w:hint="eastAsia"/>
        </w:rPr>
        <w:t>环卫工程规划</w:t>
      </w:r>
    </w:p>
    <w:p>
      <w:pPr>
        <w:pStyle w:val="5"/>
        <w:ind w:firstLine="640"/>
      </w:pPr>
      <w:r>
        <w:t>生活垃圾量预测</w:t>
      </w:r>
    </w:p>
    <w:p>
      <w:pPr>
        <w:spacing w:before="48"/>
        <w:ind w:firstLine="640"/>
      </w:pPr>
      <w:bookmarkStart w:id="233" w:name="_Hlk207986914"/>
      <w:r>
        <w:t>2035年，集镇区规划人口约0.80</w:t>
      </w:r>
      <w:r>
        <w:rPr>
          <w:rFonts w:hint="eastAsia"/>
        </w:rPr>
        <w:t>万</w:t>
      </w:r>
      <w:r>
        <w:t>人，人均生活垃圾产生量1.0千克/人·日进行预测。规划至2035年，集镇区预测生活垃圾产量为8吨/日</w:t>
      </w:r>
      <w:bookmarkEnd w:id="233"/>
      <w:r>
        <w:t>。</w:t>
      </w:r>
    </w:p>
    <w:p>
      <w:pPr>
        <w:pStyle w:val="5"/>
        <w:ind w:firstLine="640"/>
      </w:pPr>
      <w:r>
        <w:t>垃圾收运与处置</w:t>
      </w:r>
    </w:p>
    <w:p>
      <w:pPr>
        <w:spacing w:before="48"/>
        <w:ind w:firstLine="640"/>
      </w:pPr>
      <w:bookmarkStart w:id="234" w:name="_Hlk207986925"/>
      <w:r>
        <w:rPr>
          <w:rFonts w:hint="eastAsia"/>
        </w:rPr>
        <w:t>集镇区生活垃圾由垃圾收集点收集后运送至生活垃圾收集站，再运输至规划垃圾转运站进行压缩处理，直接送至垃圾处理场统一处理。</w:t>
      </w:r>
    </w:p>
    <w:p>
      <w:pPr>
        <w:spacing w:before="48"/>
        <w:ind w:firstLine="640"/>
      </w:pPr>
      <w:r>
        <w:rPr>
          <w:rFonts w:hint="eastAsia"/>
        </w:rPr>
        <w:t>建筑垃圾运至建筑垃圾处理厂进行处理；医疗垃圾应采用医疗卫生垃圾专用车运输，统一运输至南阳市医疗垃圾集中处理中心处理；工业一般垃圾以各厂区内部处置为主，资源化与最终处置相结合；危险废弃物纳入南阳市危废处置系统，运至南阳危废处置中心安全处置</w:t>
      </w:r>
      <w:bookmarkEnd w:id="234"/>
      <w:r>
        <w:rPr>
          <w:rFonts w:hint="eastAsia"/>
        </w:rPr>
        <w:t>。</w:t>
      </w:r>
    </w:p>
    <w:p>
      <w:pPr>
        <w:pStyle w:val="5"/>
        <w:ind w:firstLine="640"/>
      </w:pPr>
      <w:r>
        <w:t>环卫设施布局</w:t>
      </w:r>
    </w:p>
    <w:p>
      <w:pPr>
        <w:spacing w:before="48"/>
        <w:ind w:firstLine="640"/>
      </w:pPr>
      <w:bookmarkStart w:id="235" w:name="_Hlk207986933"/>
      <w:r>
        <w:rPr>
          <w:rFonts w:hint="eastAsia"/>
        </w:rPr>
        <w:t>集镇区中部西侧规划一座小型（</w:t>
      </w:r>
      <w:r>
        <w:t>V）生活垃圾转运站</w:t>
      </w:r>
      <w:r>
        <w:rPr>
          <w:rFonts w:hint="eastAsia"/>
        </w:rPr>
        <w:t>，占地0</w:t>
      </w:r>
      <w:r>
        <w:t>.07</w:t>
      </w:r>
      <w:r>
        <w:rPr>
          <w:rFonts w:hint="eastAsia"/>
        </w:rPr>
        <w:t>公顷</w:t>
      </w:r>
      <w:r>
        <w:t>，转运规模为40吨/日</w:t>
      </w:r>
      <w:bookmarkEnd w:id="235"/>
      <w:r>
        <w:t>。</w:t>
      </w:r>
    </w:p>
    <w:p>
      <w:pPr>
        <w:pStyle w:val="3"/>
      </w:pPr>
      <w:bookmarkStart w:id="236" w:name="_Toc208238304"/>
      <w:r>
        <w:rPr>
          <w:rFonts w:hint="eastAsia"/>
        </w:rPr>
        <w:t>控制线划定</w:t>
      </w:r>
      <w:bookmarkEnd w:id="236"/>
    </w:p>
    <w:p>
      <w:pPr>
        <w:pStyle w:val="4"/>
        <w:spacing w:before="195" w:after="195"/>
      </w:pPr>
      <w:bookmarkStart w:id="237" w:name="_Hlk142924641"/>
      <w:r>
        <w:rPr>
          <w:rFonts w:hint="eastAsia"/>
        </w:rPr>
        <w:t>重大基础设施和公共安全设施控制</w:t>
      </w:r>
      <w:r>
        <w:t>线</w:t>
      </w:r>
    </w:p>
    <w:bookmarkEnd w:id="237"/>
    <w:p>
      <w:pPr>
        <w:spacing w:before="48"/>
        <w:ind w:firstLine="640"/>
        <w:rPr>
          <w:u w:val="single"/>
        </w:rPr>
      </w:pPr>
      <w:bookmarkStart w:id="238" w:name="OLE_LINK51"/>
      <w:bookmarkStart w:id="239" w:name="OLE_LINK50"/>
      <w:r>
        <w:rPr>
          <w:rFonts w:hint="eastAsia"/>
          <w:u w:val="single"/>
        </w:rPr>
        <w:t>包括供水用地、排水用地、环卫用地、消防用地等</w:t>
      </w:r>
      <w:r>
        <w:rPr>
          <w:u w:val="single"/>
        </w:rPr>
        <w:t xml:space="preserve">，面积分别为0.26 </w:t>
      </w:r>
      <w:r>
        <w:rPr>
          <w:rFonts w:hint="eastAsia"/>
          <w:u w:val="single"/>
        </w:rPr>
        <w:t>公顷、</w:t>
      </w:r>
      <w:r>
        <w:rPr>
          <w:u w:val="single"/>
        </w:rPr>
        <w:t xml:space="preserve">0.34 </w:t>
      </w:r>
      <w:r>
        <w:rPr>
          <w:rFonts w:hint="eastAsia"/>
          <w:u w:val="single"/>
        </w:rPr>
        <w:t>公顷、</w:t>
      </w:r>
      <w:r>
        <w:rPr>
          <w:u w:val="single"/>
        </w:rPr>
        <w:t>0.07</w:t>
      </w:r>
      <w:r>
        <w:rPr>
          <w:rFonts w:hint="eastAsia"/>
          <w:u w:val="single"/>
        </w:rPr>
        <w:t>公顷、</w:t>
      </w:r>
      <w:r>
        <w:rPr>
          <w:u w:val="single"/>
        </w:rPr>
        <w:t>0.08</w:t>
      </w:r>
      <w:r>
        <w:rPr>
          <w:rFonts w:hint="eastAsia"/>
          <w:u w:val="single"/>
        </w:rPr>
        <w:t>公顷。</w:t>
      </w:r>
    </w:p>
    <w:bookmarkEnd w:id="238"/>
    <w:bookmarkEnd w:id="239"/>
    <w:p>
      <w:pPr>
        <w:spacing w:before="65"/>
        <w:ind w:firstLine="640"/>
        <w:rPr>
          <w:u w:val="single"/>
        </w:rPr>
      </w:pPr>
      <w:r>
        <w:rPr>
          <w:rFonts w:hint="eastAsia"/>
          <w:u w:val="single"/>
        </w:rPr>
        <w:t>重大基础设施和公共安全设施控制线内不得改作他用，不得违反法律法规、强制性标准以及批准的规划进行开发建设。</w:t>
      </w:r>
      <w:r>
        <w:rPr>
          <w:u w:val="single"/>
        </w:rPr>
        <w:t>违反国家有关技术标准和规范进行建设；未经批准，改装、迁移或拆毁原有城</w:t>
      </w:r>
      <w:r>
        <w:rPr>
          <w:rFonts w:hint="eastAsia"/>
          <w:u w:val="single"/>
        </w:rPr>
        <w:t>镇</w:t>
      </w:r>
      <w:r>
        <w:rPr>
          <w:u w:val="single"/>
        </w:rPr>
        <w:t>基础设施；其他损坏城</w:t>
      </w:r>
      <w:r>
        <w:rPr>
          <w:rFonts w:hint="eastAsia"/>
          <w:u w:val="single"/>
        </w:rPr>
        <w:t>镇</w:t>
      </w:r>
      <w:r>
        <w:rPr>
          <w:u w:val="single"/>
        </w:rPr>
        <w:t>基础设施或影响城</w:t>
      </w:r>
      <w:r>
        <w:rPr>
          <w:rFonts w:hint="eastAsia"/>
          <w:u w:val="single"/>
        </w:rPr>
        <w:t>镇</w:t>
      </w:r>
      <w:r>
        <w:rPr>
          <w:u w:val="single"/>
        </w:rPr>
        <w:t>基础设施安全和正常运转的行为。</w:t>
      </w:r>
    </w:p>
    <w:p>
      <w:pPr>
        <w:pStyle w:val="4"/>
        <w:spacing w:before="195" w:after="195"/>
      </w:pPr>
      <w:bookmarkStart w:id="240" w:name="_Hlk142924653"/>
      <w:bookmarkStart w:id="241" w:name="_Hlk142924647"/>
      <w:r>
        <w:rPr>
          <w:rFonts w:hint="eastAsia"/>
        </w:rPr>
        <w:t>公园绿地和防护绿地控制线</w:t>
      </w:r>
    </w:p>
    <w:bookmarkEnd w:id="240"/>
    <w:p>
      <w:pPr>
        <w:spacing w:before="48"/>
        <w:ind w:firstLine="640"/>
        <w:rPr>
          <w:u w:val="single"/>
        </w:rPr>
      </w:pPr>
      <w:bookmarkStart w:id="242" w:name="OLE_LINK49"/>
      <w:r>
        <w:rPr>
          <w:rFonts w:hint="eastAsia"/>
          <w:u w:val="single"/>
        </w:rPr>
        <w:t>控制范围共</w:t>
      </w:r>
      <w:r>
        <w:rPr>
          <w:u w:val="single"/>
        </w:rPr>
        <w:t>2.14公顷，为规划范围内的公园绿地和广场用地</w:t>
      </w:r>
      <w:r>
        <w:rPr>
          <w:rFonts w:hint="eastAsia"/>
          <w:u w:val="single"/>
        </w:rPr>
        <w:t>。</w:t>
      </w:r>
      <w:bookmarkEnd w:id="242"/>
    </w:p>
    <w:p>
      <w:pPr>
        <w:spacing w:before="65"/>
        <w:ind w:firstLine="640"/>
      </w:pPr>
      <w:r>
        <w:rPr>
          <w:rFonts w:hint="eastAsia"/>
          <w:u w:val="single"/>
        </w:rPr>
        <w:t>绿地控制线内的用地，不得改作他用，不得违反法律法规、强制性标准以及批准的规划进行开发建设。控制线内的用地，不得改作他用，不得违反法律法规、强制性标准以及批准的规划进行开发建设。有关部门不得违反规定，批准在城市绿线范围内进行建设。因建设或者其他特殊情况，需要临时占用城市绿线内用地的，必须依法办理相关审批手续。在城市绿线范围内，不符合规划要求的建筑物、构筑物及其他设施应当限期迁出。任何单位和个人不得在绿地控制线范围内进行拦河截溪、取土采石、设置垃圾堆场、排放污水以及其他对生态环境构成破坏的活动。近期不进行绿化建设的规划绿地范围内的建设活动，应当进行生态环境影响分析，并按照《中华人民共和国城乡规划法》的规定，予以严格控制</w:t>
      </w:r>
      <w:r>
        <w:rPr>
          <w:rFonts w:hint="eastAsia"/>
        </w:rPr>
        <w:t>。</w:t>
      </w:r>
    </w:p>
    <w:p>
      <w:pPr>
        <w:adjustRightInd/>
        <w:snapToGrid/>
        <w:spacing w:line="240" w:lineRule="auto"/>
        <w:ind w:firstLine="0" w:firstLineChars="0"/>
        <w:jc w:val="left"/>
      </w:pPr>
      <w:r>
        <w:br w:type="page"/>
      </w:r>
    </w:p>
    <w:bookmarkEnd w:id="241"/>
    <w:p>
      <w:pPr>
        <w:pStyle w:val="2"/>
        <w:spacing w:before="489" w:after="489"/>
      </w:pPr>
      <w:bookmarkStart w:id="243" w:name="_Toc212798334"/>
      <w:r>
        <w:rPr>
          <w:rFonts w:hint="eastAsia"/>
        </w:rPr>
        <w:t>土地综合整治与生态修复</w:t>
      </w:r>
      <w:bookmarkEnd w:id="243"/>
    </w:p>
    <w:p>
      <w:pPr>
        <w:pStyle w:val="3"/>
      </w:pPr>
      <w:bookmarkStart w:id="244" w:name="_Toc208238307"/>
      <w:bookmarkStart w:id="245" w:name="_Hlk142899891"/>
      <w:bookmarkStart w:id="246" w:name="_Toc11093"/>
      <w:bookmarkStart w:id="247" w:name="_Toc27152"/>
      <w:r>
        <w:rPr>
          <w:rFonts w:hint="eastAsia"/>
        </w:rPr>
        <w:t>土地综合整治</w:t>
      </w:r>
      <w:bookmarkEnd w:id="244"/>
      <w:bookmarkEnd w:id="245"/>
      <w:bookmarkEnd w:id="246"/>
    </w:p>
    <w:p>
      <w:pPr>
        <w:pStyle w:val="4"/>
        <w:spacing w:before="195" w:after="195"/>
      </w:pPr>
      <w:r>
        <w:rPr>
          <w:rFonts w:hint="eastAsia"/>
        </w:rPr>
        <w:t>落实</w:t>
      </w:r>
      <w:r>
        <w:t>整治</w:t>
      </w:r>
      <w:r>
        <w:rPr>
          <w:rFonts w:hint="eastAsia"/>
        </w:rPr>
        <w:t>任务</w:t>
      </w:r>
    </w:p>
    <w:p>
      <w:pPr>
        <w:spacing w:before="65"/>
        <w:ind w:firstLine="640"/>
        <w:rPr>
          <w:rFonts w:ascii="Times New Roman" w:hAnsi="Times New Roman"/>
        </w:rPr>
      </w:pPr>
      <w:r>
        <w:rPr>
          <w:rFonts w:hint="eastAsia"/>
        </w:rPr>
        <w:t>规划期</w:t>
      </w:r>
      <w:r>
        <w:t>内，落实</w:t>
      </w:r>
      <w:r>
        <w:rPr>
          <w:rFonts w:ascii="Times New Roman" w:hAnsi="Times New Roman"/>
          <w:lang w:bidi="ar"/>
        </w:rPr>
        <w:t>土地整治补充耕地</w:t>
      </w:r>
      <w:r>
        <w:rPr>
          <w:rFonts w:hint="eastAsia" w:ascii="Times New Roman" w:hAnsi="Times New Roman"/>
          <w:lang w:bidi="ar"/>
        </w:rPr>
        <w:t>任务</w:t>
      </w:r>
      <w:r>
        <w:rPr>
          <w:rFonts w:ascii="Times New Roman" w:hAnsi="Times New Roman"/>
          <w:lang w:bidi="ar"/>
        </w:rPr>
        <w:t>不低于111.95公顷，</w:t>
      </w:r>
      <w:r>
        <w:rPr>
          <w:rFonts w:hint="eastAsia" w:ascii="Times New Roman" w:hAnsi="Times New Roman" w:cs="宋体"/>
          <w:lang w:bidi="ar"/>
        </w:rPr>
        <w:t>其中农村建设用地整理补充耕地规模</w:t>
      </w:r>
      <w:r>
        <w:rPr>
          <w:rFonts w:ascii="Times New Roman" w:hAnsi="Times New Roman"/>
          <w:lang w:bidi="ar"/>
        </w:rPr>
        <w:t>93.64</w:t>
      </w:r>
      <w:r>
        <w:rPr>
          <w:rFonts w:hint="eastAsia" w:ascii="Times New Roman" w:hAnsi="Times New Roman" w:cs="宋体"/>
          <w:lang w:bidi="ar"/>
        </w:rPr>
        <w:t>公顷，耕地后备</w:t>
      </w:r>
      <w:r>
        <w:rPr>
          <w:rFonts w:ascii="Times New Roman" w:hAnsi="Times New Roman" w:cs="宋体"/>
          <w:lang w:bidi="ar"/>
        </w:rPr>
        <w:t>资源</w:t>
      </w:r>
      <w:r>
        <w:rPr>
          <w:rFonts w:hint="eastAsia" w:ascii="Times New Roman" w:hAnsi="Times New Roman" w:cs="宋体"/>
          <w:lang w:bidi="ar"/>
        </w:rPr>
        <w:t>开发补充耕地规模</w:t>
      </w:r>
      <w:r>
        <w:rPr>
          <w:rFonts w:ascii="Times New Roman" w:hAnsi="Times New Roman"/>
          <w:lang w:bidi="ar"/>
        </w:rPr>
        <w:t>18.31</w:t>
      </w:r>
      <w:r>
        <w:rPr>
          <w:rFonts w:hint="eastAsia" w:ascii="Times New Roman" w:hAnsi="Times New Roman" w:cs="宋体"/>
          <w:lang w:bidi="ar"/>
        </w:rPr>
        <w:t>公顷。</w:t>
      </w:r>
      <w:r>
        <w:rPr>
          <w:rFonts w:ascii="Times New Roman" w:hAnsi="Times New Roman"/>
          <w:lang w:bidi="ar"/>
        </w:rPr>
        <w:t>区域内</w:t>
      </w:r>
      <w:r>
        <w:rPr>
          <w:rFonts w:hint="eastAsia" w:ascii="Times New Roman" w:hAnsi="Times New Roman"/>
          <w:lang w:bidi="ar"/>
        </w:rPr>
        <w:t>有条件的</w:t>
      </w:r>
      <w:r>
        <w:rPr>
          <w:rFonts w:ascii="Times New Roman" w:hAnsi="Times New Roman"/>
          <w:lang w:bidi="ar"/>
        </w:rPr>
        <w:t>永久基本农田全部建成为高标准农田</w:t>
      </w:r>
      <w:r>
        <w:rPr>
          <w:rFonts w:hint="eastAsia"/>
        </w:rPr>
        <w:t>。</w:t>
      </w:r>
    </w:p>
    <w:p>
      <w:pPr>
        <w:pStyle w:val="4"/>
        <w:spacing w:before="195" w:after="195"/>
      </w:pPr>
      <w:r>
        <w:rPr>
          <w:rFonts w:hint="eastAsia"/>
        </w:rPr>
        <w:t>整治</w:t>
      </w:r>
      <w:r>
        <w:t>重点</w:t>
      </w:r>
      <w:r>
        <w:rPr>
          <w:rFonts w:hint="eastAsia"/>
        </w:rPr>
        <w:t>工程</w:t>
      </w:r>
    </w:p>
    <w:p>
      <w:pPr>
        <w:ind w:firstLine="640"/>
      </w:pPr>
      <w:r>
        <w:rPr>
          <w:rFonts w:hint="eastAsia"/>
          <w:bCs/>
        </w:rPr>
        <w:t>全域</w:t>
      </w:r>
      <w:r>
        <w:rPr>
          <w:bCs/>
        </w:rPr>
        <w:t>土地综合整治项目。</w:t>
      </w:r>
      <w:r>
        <w:rPr>
          <w:rFonts w:hint="eastAsia"/>
          <w:bCs/>
        </w:rPr>
        <w:t>以</w:t>
      </w:r>
      <w:r>
        <w:rPr>
          <w:bCs/>
        </w:rPr>
        <w:t>全乡为单元</w:t>
      </w:r>
      <w:r>
        <w:rPr>
          <w:rFonts w:hint="eastAsia"/>
          <w:bCs/>
        </w:rPr>
        <w:t>整体</w:t>
      </w:r>
      <w:r>
        <w:rPr>
          <w:bCs/>
        </w:rPr>
        <w:t>推进土地综合整治</w:t>
      </w:r>
      <w:r>
        <w:rPr>
          <w:rFonts w:hint="eastAsia"/>
          <w:bCs/>
        </w:rPr>
        <w:t>，开展</w:t>
      </w:r>
      <w:r>
        <w:rPr>
          <w:bCs/>
        </w:rPr>
        <w:t>全域土地综合整治项目，</w:t>
      </w:r>
      <w:r>
        <w:rPr>
          <w:rFonts w:hint="eastAsia"/>
          <w:bCs/>
        </w:rPr>
        <w:t>包含农用地整治、建设用地整治、乡村生态保护修复、乡村振兴及人居环境提升等。综合</w:t>
      </w:r>
      <w:r>
        <w:rPr>
          <w:bCs/>
        </w:rPr>
        <w:t>整治过程中，</w:t>
      </w:r>
      <w:r>
        <w:rPr>
          <w:rFonts w:hint="eastAsia"/>
          <w:bCs/>
        </w:rPr>
        <w:t>以</w:t>
      </w:r>
      <w:r>
        <w:rPr>
          <w:bCs/>
        </w:rPr>
        <w:t>整治重点区域为引，分别侧重</w:t>
      </w:r>
      <w:r>
        <w:rPr>
          <w:rFonts w:hint="eastAsia"/>
          <w:bCs/>
        </w:rPr>
        <w:t>综合</w:t>
      </w:r>
      <w:r>
        <w:rPr>
          <w:bCs/>
        </w:rPr>
        <w:t>整治</w:t>
      </w:r>
      <w:r>
        <w:rPr>
          <w:rFonts w:hint="eastAsia"/>
          <w:bCs/>
        </w:rPr>
        <w:t>、</w:t>
      </w:r>
      <w:r>
        <w:rPr>
          <w:bCs/>
        </w:rPr>
        <w:t>农用地整理、农村建设用地整理、耕地后备资源开发等</w:t>
      </w:r>
      <w:r>
        <w:rPr>
          <w:rFonts w:hint="eastAsia"/>
          <w:bCs/>
        </w:rPr>
        <w:t>，分解</w:t>
      </w:r>
      <w:r>
        <w:rPr>
          <w:bCs/>
        </w:rPr>
        <w:t>补充耕地任务，完成耕地保护目标</w:t>
      </w:r>
      <w:r>
        <w:rPr>
          <w:rFonts w:hint="eastAsia"/>
          <w:bCs/>
        </w:rPr>
        <w:t>。</w:t>
      </w:r>
    </w:p>
    <w:p>
      <w:pPr>
        <w:pStyle w:val="3"/>
      </w:pPr>
      <w:bookmarkStart w:id="248" w:name="_Toc208238308"/>
      <w:r>
        <w:rPr>
          <w:rFonts w:hint="eastAsia"/>
        </w:rPr>
        <w:t>国土空间生态修复</w:t>
      </w:r>
      <w:bookmarkEnd w:id="247"/>
      <w:bookmarkEnd w:id="248"/>
    </w:p>
    <w:p>
      <w:pPr>
        <w:pStyle w:val="4"/>
        <w:spacing w:before="195" w:after="195"/>
      </w:pPr>
      <w:r>
        <w:rPr>
          <w:rFonts w:hint="eastAsia"/>
        </w:rPr>
        <w:t>生态修复</w:t>
      </w:r>
    </w:p>
    <w:p>
      <w:pPr>
        <w:pStyle w:val="5"/>
        <w:ind w:firstLine="640"/>
      </w:pPr>
      <w:r>
        <w:t>水生态修复</w:t>
      </w:r>
    </w:p>
    <w:p>
      <w:pPr>
        <w:spacing w:before="48"/>
        <w:ind w:firstLine="640"/>
        <w:rPr>
          <w:rFonts w:ascii="Times New Roman" w:hAnsi="Times New Roman"/>
          <w:lang w:bidi="ar"/>
        </w:rPr>
      </w:pPr>
      <w:r>
        <w:rPr>
          <w:rFonts w:hint="eastAsia" w:ascii="Times New Roman" w:hAnsi="Times New Roman"/>
          <w:lang w:bidi="ar"/>
        </w:rPr>
        <w:t>系统推进水体生态修复和污染防治，实现水环境质量全面改善。到</w:t>
      </w:r>
      <w:r>
        <w:rPr>
          <w:rFonts w:ascii="Times New Roman" w:hAnsi="Times New Roman"/>
          <w:lang w:bidi="ar"/>
        </w:rPr>
        <w:t>2025年，重要江河湖泊水功能区水质达标率达到100%，赵店乡地表水体政府责任目标断面水质达到或优于</w:t>
      </w:r>
      <w:r>
        <w:rPr>
          <w:rFonts w:hint="eastAsia" w:cs="宋体"/>
          <w:lang w:bidi="ar"/>
        </w:rPr>
        <w:t>Ⅳ</w:t>
      </w:r>
      <w:r>
        <w:rPr>
          <w:rFonts w:ascii="Times New Roman" w:hAnsi="Times New Roman"/>
          <w:lang w:bidi="ar"/>
        </w:rPr>
        <w:t>类水质；到2035年，重要江河湖泊水功能区水质达标率达到100%，赵店乡地表水体政府责任目标断面水质达到或优于</w:t>
      </w:r>
      <w:r>
        <w:rPr>
          <w:rFonts w:hint="eastAsia" w:cs="宋体"/>
          <w:lang w:bidi="ar"/>
        </w:rPr>
        <w:t>Ⅲ</w:t>
      </w:r>
      <w:r>
        <w:rPr>
          <w:rFonts w:ascii="Times New Roman" w:hAnsi="Times New Roman"/>
          <w:lang w:bidi="ar"/>
        </w:rPr>
        <w:t>类水质。</w:t>
      </w:r>
    </w:p>
    <w:p>
      <w:pPr>
        <w:spacing w:before="48"/>
        <w:ind w:firstLine="640"/>
        <w:rPr>
          <w:rFonts w:ascii="Times New Roman" w:hAnsi="Times New Roman"/>
          <w:lang w:bidi="ar"/>
        </w:rPr>
      </w:pPr>
      <w:r>
        <w:rPr>
          <w:rFonts w:hint="eastAsia" w:ascii="Times New Roman" w:hAnsi="Times New Roman"/>
          <w:lang w:bidi="ar"/>
        </w:rPr>
        <w:t>强化湍河及连接的支流等区域修复。以河渠为骨架，在其两侧营造防护林带，河沟渠林相结合，打造内乡县水相连、林相接的生态廊道网络。重点推进内乡县母亲河湍河生态保育带建设，开展河道湿地水生态修复和生物多样性保护，推进沿线天然湿地保护；全面推进水源涵养和水质保护行动，围绕</w:t>
      </w:r>
      <w:bookmarkStart w:id="249" w:name="_Hlk207376535"/>
      <w:r>
        <w:rPr>
          <w:rFonts w:hint="eastAsia" w:ascii="Times New Roman" w:hAnsi="Times New Roman"/>
          <w:lang w:bidi="ar"/>
        </w:rPr>
        <w:t>湍河、长城河、黄水河</w:t>
      </w:r>
      <w:bookmarkEnd w:id="249"/>
      <w:r>
        <w:rPr>
          <w:rFonts w:hint="eastAsia" w:ascii="Times New Roman" w:hAnsi="Times New Roman"/>
          <w:lang w:bidi="ar"/>
        </w:rPr>
        <w:t>、螺蛳河及代军河，加快构建“互联互通、水清岸绿”的乡镇大水系，重点推进湍河、长城河、黄水河河道整治，打造伏牛水乡。</w:t>
      </w:r>
    </w:p>
    <w:p>
      <w:pPr>
        <w:spacing w:before="48"/>
        <w:ind w:firstLine="640"/>
        <w:rPr>
          <w:rFonts w:ascii="Times New Roman" w:hAnsi="Times New Roman"/>
          <w:lang w:bidi="ar"/>
        </w:rPr>
      </w:pPr>
      <w:r>
        <w:rPr>
          <w:rFonts w:hint="eastAsia" w:ascii="Times New Roman" w:hAnsi="Times New Roman"/>
          <w:lang w:bidi="ar"/>
        </w:rPr>
        <w:t>实施重点工程建设。重点开展内乡县湍河水环境综合治理项目，重点保护湍河水系湿地资源，加强水系带水源涵养林生态建设</w:t>
      </w:r>
      <w:r>
        <w:rPr>
          <w:rFonts w:ascii="Times New Roman" w:hAnsi="Times New Roman"/>
          <w:lang w:bidi="ar"/>
        </w:rPr>
        <w:t>；</w:t>
      </w:r>
      <w:r>
        <w:rPr>
          <w:rFonts w:hint="eastAsia" w:ascii="Times New Roman" w:hAnsi="Times New Roman"/>
          <w:lang w:bidi="ar"/>
        </w:rPr>
        <w:t>积极推进南水北调中线工程水源区重点区域生态修复；</w:t>
      </w:r>
      <w:r>
        <w:rPr>
          <w:rFonts w:ascii="Times New Roman" w:hAnsi="Times New Roman"/>
          <w:lang w:bidi="ar"/>
        </w:rPr>
        <w:t>加快污水处理设施及配套管网建设，积极推进海绵城市建设，改善城市综合生态环境；加强农村地区小型污水处理设施建设，全面整治农业面源污染，降低化学农药、化肥施用总量和强度；开展山地丘陵水土流失治理，系统推进小流域综合治理工程。</w:t>
      </w:r>
    </w:p>
    <w:p>
      <w:pPr>
        <w:pStyle w:val="5"/>
        <w:ind w:firstLine="640"/>
      </w:pPr>
      <w:r>
        <w:t>森林生态修复</w:t>
      </w:r>
    </w:p>
    <w:p>
      <w:pPr>
        <w:spacing w:before="48"/>
        <w:ind w:firstLine="640"/>
        <w:rPr>
          <w:rFonts w:ascii="Times New Roman" w:hAnsi="Times New Roman"/>
          <w:lang w:bidi="ar"/>
        </w:rPr>
      </w:pPr>
      <w:r>
        <w:rPr>
          <w:rFonts w:hint="eastAsia" w:ascii="Times New Roman" w:hAnsi="Times New Roman"/>
          <w:lang w:bidi="ar"/>
        </w:rPr>
        <w:t>统筹推进森林生态修复，森林质量明显提升，森林生态服务功能进一步完善。至</w:t>
      </w:r>
      <w:r>
        <w:rPr>
          <w:rFonts w:ascii="Times New Roman" w:hAnsi="Times New Roman"/>
          <w:lang w:bidi="ar"/>
        </w:rPr>
        <w:t>2035年，宜林荒山、荒地、荒滩绿化率达到90%以上，乡域高速公路、国道省道全部绿化；县乡道路、旅游通道宜绿化里程95%以上；</w:t>
      </w:r>
      <w:r>
        <w:rPr>
          <w:rFonts w:hint="eastAsia" w:ascii="Times New Roman" w:hAnsi="Times New Roman"/>
          <w:lang w:bidi="ar"/>
        </w:rPr>
        <w:t>湍</w:t>
      </w:r>
      <w:r>
        <w:rPr>
          <w:rFonts w:ascii="Times New Roman" w:hAnsi="Times New Roman"/>
          <w:lang w:bidi="ar"/>
        </w:rPr>
        <w:t>河等河流宜绿化地段95%以上；赵店乡乡村绿化示范村达标率达到80%，村庄整体绿化率达到35%以上。</w:t>
      </w:r>
    </w:p>
    <w:p>
      <w:pPr>
        <w:spacing w:before="48"/>
        <w:ind w:firstLine="640"/>
        <w:rPr>
          <w:rFonts w:ascii="Times New Roman" w:hAnsi="Times New Roman"/>
          <w:lang w:bidi="ar"/>
        </w:rPr>
      </w:pPr>
      <w:r>
        <w:rPr>
          <w:rFonts w:hint="eastAsia" w:ascii="Times New Roman" w:hAnsi="Times New Roman"/>
          <w:lang w:bidi="ar"/>
        </w:rPr>
        <w:t>强化重点区域修复。重点推进赵店乡域内高速公路、国道省道绿化带建设，加强湍河、长城河和黄水河湿地植被保护与生态修复。在赵店乡与西部低山丘陵区的宜林荒山上进行植苗造林。</w:t>
      </w:r>
    </w:p>
    <w:p>
      <w:pPr>
        <w:spacing w:before="48"/>
        <w:ind w:firstLine="640"/>
        <w:rPr>
          <w:rFonts w:ascii="Times New Roman" w:hAnsi="Times New Roman"/>
          <w:lang w:bidi="ar"/>
        </w:rPr>
      </w:pPr>
      <w:r>
        <w:rPr>
          <w:rFonts w:hint="eastAsia" w:ascii="Times New Roman" w:hAnsi="Times New Roman"/>
          <w:lang w:bidi="ar"/>
        </w:rPr>
        <w:t>实施重点工程建设。以生态廊道绿化工程为依托，重点推进县域道路绿化子项目、河道绿化子项目；抓好赵店乡等乡（镇）森林抚育项目。</w:t>
      </w:r>
    </w:p>
    <w:p>
      <w:pPr>
        <w:pStyle w:val="5"/>
        <w:ind w:firstLine="640"/>
      </w:pPr>
      <w:r>
        <w:t>矿山生态修复</w:t>
      </w:r>
    </w:p>
    <w:p>
      <w:pPr>
        <w:spacing w:before="48"/>
        <w:ind w:firstLine="640"/>
        <w:rPr>
          <w:rFonts w:ascii="Times New Roman" w:hAnsi="Times New Roman"/>
          <w:lang w:bidi="ar"/>
        </w:rPr>
      </w:pPr>
      <w:r>
        <w:rPr>
          <w:rFonts w:hint="eastAsia" w:ascii="Times New Roman" w:hAnsi="Times New Roman"/>
          <w:lang w:bidi="ar"/>
        </w:rPr>
        <w:t>系统推进矿山地质环境恢复和综合治理，全面提升矿山生态环境质量。到</w:t>
      </w:r>
      <w:r>
        <w:rPr>
          <w:rFonts w:ascii="Times New Roman" w:hAnsi="Times New Roman"/>
          <w:lang w:bidi="ar"/>
        </w:rPr>
        <w:t>2025年，历史遗留矿山治理率不低于95%，生产矿山实行边开采边治理，矿山地质环境治理率达到95%；到2035年，全面完成历史遗留矿山生态修复，历史遗留矿山治理率达到100%。全面推进绿色矿山发展示范区建设，绿色矿山建成率达到100%。</w:t>
      </w:r>
    </w:p>
    <w:p>
      <w:pPr>
        <w:spacing w:before="48"/>
        <w:ind w:firstLine="640"/>
        <w:rPr>
          <w:rFonts w:ascii="Times New Roman" w:hAnsi="Times New Roman"/>
          <w:lang w:bidi="ar"/>
        </w:rPr>
      </w:pPr>
      <w:r>
        <w:rPr>
          <w:rFonts w:hint="eastAsia" w:ascii="Times New Roman" w:hAnsi="Times New Roman"/>
          <w:lang w:bidi="ar"/>
        </w:rPr>
        <w:t>强化重点区域修复。对铁路、县级以上公路、河道两侧可视范围内现存的废弃矿山进行治理，推进废弃矿地综合利用及土地复垦，全面改善矿山生态环境。重点加强赵店乡露天矿山地质环境的恢复治理。</w:t>
      </w:r>
    </w:p>
    <w:p>
      <w:pPr>
        <w:spacing w:before="48"/>
        <w:ind w:firstLine="640"/>
        <w:rPr>
          <w:rFonts w:ascii="Times New Roman" w:hAnsi="Times New Roman"/>
          <w:lang w:bidi="ar"/>
        </w:rPr>
      </w:pPr>
      <w:r>
        <w:rPr>
          <w:rFonts w:hint="eastAsia" w:ascii="Times New Roman" w:hAnsi="Times New Roman"/>
          <w:lang w:bidi="ar"/>
        </w:rPr>
        <w:t>实施重点工程建设。重点推进历史遗留废弃矿山地质环境生态修复类重点工程，包括赵店乡大峪村内治理区；推进有责任主体露天矿山地质环境生态修复类重点工程。</w:t>
      </w:r>
    </w:p>
    <w:p>
      <w:pPr>
        <w:pStyle w:val="5"/>
        <w:ind w:firstLine="640"/>
      </w:pPr>
      <w:r>
        <w:t>地质灾害治理</w:t>
      </w:r>
    </w:p>
    <w:p>
      <w:pPr>
        <w:spacing w:before="48"/>
        <w:ind w:firstLine="640"/>
        <w:rPr>
          <w:rFonts w:ascii="Times New Roman" w:hAnsi="Times New Roman"/>
          <w:lang w:bidi="ar"/>
        </w:rPr>
      </w:pPr>
      <w:r>
        <w:rPr>
          <w:rFonts w:hint="eastAsia" w:ascii="Times New Roman" w:hAnsi="Times New Roman"/>
          <w:lang w:bidi="ar"/>
        </w:rPr>
        <w:t>明确地质灾害治理目标。地质灾害治理工程与生态措施结合，恢复地质灾害隐患点地质环境。规划目标年，全面建成赵店乡地质灾害排查评价体系、监测预警体系、防治体系和应急体系。严格执行、落实地质灾害年度巡查、排查、核查制度，全面掌握地质灾害隐患的基本信息及变动情况，实施内乡县地质灾害防治规划，落实重要地质灾害隐患点专群结合监测预警措施，完成主要地质灾害隐患点的治理工作，使地质灾害得到及时监控和有效处置，最大程度地减少因地质灾害造成的人员伤亡和财产损失。</w:t>
      </w:r>
    </w:p>
    <w:p>
      <w:pPr>
        <w:spacing w:before="48"/>
        <w:ind w:firstLine="640"/>
        <w:rPr>
          <w:rFonts w:ascii="Times New Roman" w:hAnsi="Times New Roman"/>
          <w:lang w:bidi="ar"/>
        </w:rPr>
      </w:pPr>
      <w:r>
        <w:rPr>
          <w:rFonts w:hint="eastAsia" w:ascii="Times New Roman" w:hAnsi="Times New Roman"/>
          <w:lang w:bidi="ar"/>
        </w:rPr>
        <w:t>强化重点区域治理。重点对长岭村滑坡高易发区的地质灾害隐患点进行治理。</w:t>
      </w:r>
    </w:p>
    <w:p>
      <w:pPr>
        <w:pStyle w:val="4"/>
        <w:spacing w:before="195" w:after="195"/>
      </w:pPr>
      <w:r>
        <w:t>土壤污染防治与生态修复工程</w:t>
      </w:r>
    </w:p>
    <w:p>
      <w:pPr>
        <w:spacing w:before="65" w:after="120"/>
        <w:ind w:firstLine="640"/>
      </w:pPr>
      <w:r>
        <w:rPr>
          <w:rFonts w:hint="eastAsia"/>
        </w:rPr>
        <w:t>合理</w:t>
      </w:r>
      <w:r>
        <w:t>使用</w:t>
      </w:r>
      <w:r>
        <w:rPr>
          <w:rFonts w:hint="eastAsia"/>
        </w:rPr>
        <w:t>化肥</w:t>
      </w:r>
      <w:r>
        <w:t>农药，鼓励增施</w:t>
      </w:r>
      <w:r>
        <w:rPr>
          <w:rFonts w:hint="eastAsia"/>
        </w:rPr>
        <w:t>有机肥</w:t>
      </w:r>
      <w:r>
        <w:t>，减少</w:t>
      </w:r>
      <w:r>
        <w:rPr>
          <w:rFonts w:hint="eastAsia"/>
        </w:rPr>
        <w:t>化肥施用量</w:t>
      </w:r>
      <w:r>
        <w:t>。推行</w:t>
      </w:r>
      <w:r>
        <w:rPr>
          <w:rFonts w:hint="eastAsia"/>
        </w:rPr>
        <w:t>秸秆还田</w:t>
      </w:r>
      <w:r>
        <w:t>、增加有机肥、少耕免耕、粮豆轮作、农膜减量与回收利用等措施，并加强</w:t>
      </w:r>
      <w:r>
        <w:rPr>
          <w:rFonts w:hint="eastAsia"/>
        </w:rPr>
        <w:t>灌溉</w:t>
      </w:r>
      <w:r>
        <w:t>水水质</w:t>
      </w:r>
      <w:r>
        <w:rPr>
          <w:rFonts w:hint="eastAsia"/>
        </w:rPr>
        <w:t>监测</w:t>
      </w:r>
      <w:r>
        <w:t>管理，降低耕地污染</w:t>
      </w:r>
      <w:r>
        <w:rPr>
          <w:rFonts w:hint="eastAsia"/>
        </w:rPr>
        <w:t>风险</w:t>
      </w:r>
      <w:r>
        <w:t>。</w:t>
      </w:r>
      <w:r>
        <w:rPr>
          <w:rFonts w:hint="eastAsia"/>
        </w:rPr>
        <w:t>同时</w:t>
      </w:r>
      <w:r>
        <w:t>结合当地主要</w:t>
      </w:r>
      <w:r>
        <w:rPr>
          <w:rFonts w:hint="eastAsia"/>
        </w:rPr>
        <w:t>作物</w:t>
      </w:r>
      <w:r>
        <w:t>品种和</w:t>
      </w:r>
      <w:r>
        <w:rPr>
          <w:rFonts w:hint="eastAsia"/>
        </w:rPr>
        <w:t>种植</w:t>
      </w:r>
      <w:r>
        <w:t>习惯，对受污染耕地采取土壤调酸、水分管控、喷施</w:t>
      </w:r>
      <w:r>
        <w:rPr>
          <w:rFonts w:hint="eastAsia"/>
        </w:rPr>
        <w:t>叶面</w:t>
      </w:r>
      <w:r>
        <w:t>阻</w:t>
      </w:r>
      <w:r>
        <w:rPr>
          <w:rFonts w:hint="eastAsia"/>
        </w:rPr>
        <w:t>控剂等</w:t>
      </w:r>
      <w:r>
        <w:t>农艺综合调控措施，撒施</w:t>
      </w:r>
      <w:r>
        <w:rPr>
          <w:rFonts w:hint="eastAsia"/>
        </w:rPr>
        <w:t>土壤</w:t>
      </w:r>
      <w:r>
        <w:t>调理剂等土壤改良措施，</w:t>
      </w:r>
      <w:r>
        <w:rPr>
          <w:rFonts w:hint="eastAsia"/>
        </w:rPr>
        <w:t>以及</w:t>
      </w:r>
      <w:r>
        <w:t>种植业结构调整、培</w:t>
      </w:r>
      <w:r>
        <w:rPr>
          <w:rFonts w:hint="eastAsia"/>
        </w:rPr>
        <w:t>肥</w:t>
      </w:r>
      <w:r>
        <w:t>式休耕等措施进行综合修复。</w:t>
      </w:r>
    </w:p>
    <w:p>
      <w:pPr>
        <w:spacing w:before="65"/>
        <w:ind w:firstLine="640"/>
      </w:pPr>
      <w:r>
        <w:br w:type="page"/>
      </w:r>
    </w:p>
    <w:p>
      <w:pPr>
        <w:pStyle w:val="2"/>
        <w:spacing w:before="489" w:after="489"/>
      </w:pPr>
      <w:bookmarkStart w:id="250" w:name="_Toc212798335"/>
      <w:r>
        <w:rPr>
          <w:rFonts w:hint="eastAsia"/>
        </w:rPr>
        <w:t>规划传导</w:t>
      </w:r>
      <w:bookmarkEnd w:id="250"/>
    </w:p>
    <w:p>
      <w:pPr>
        <w:pStyle w:val="3"/>
      </w:pPr>
      <w:bookmarkStart w:id="251" w:name="_Toc208238310"/>
      <w:r>
        <w:rPr>
          <w:rFonts w:hint="eastAsia"/>
        </w:rPr>
        <w:t>集镇区详细规划单元与指引</w:t>
      </w:r>
      <w:bookmarkEnd w:id="251"/>
    </w:p>
    <w:p>
      <w:pPr>
        <w:pStyle w:val="4"/>
        <w:spacing w:before="195" w:after="195"/>
      </w:pPr>
      <w:r>
        <w:rPr>
          <w:rFonts w:hint="eastAsia"/>
        </w:rPr>
        <w:t>划分集镇区详规单元</w:t>
      </w:r>
    </w:p>
    <w:p>
      <w:pPr>
        <w:spacing w:before="65"/>
        <w:ind w:firstLine="640"/>
      </w:pPr>
      <w:r>
        <w:rPr>
          <w:rFonts w:hint="eastAsia"/>
        </w:rPr>
        <w:t>根据用地功能、集镇区更新和发展需求，以城镇村道路等为界，划分为两个详细规划管理单元；集镇区划定一</w:t>
      </w:r>
      <w:r>
        <w:t>个详细规划单元</w:t>
      </w:r>
      <w:r>
        <w:rPr>
          <w:rFonts w:hint="eastAsia"/>
        </w:rPr>
        <w:t>、中心城区（赵店乡部分）一</w:t>
      </w:r>
      <w:r>
        <w:t>个详细规划单元。</w:t>
      </w:r>
    </w:p>
    <w:p>
      <w:pPr>
        <w:pStyle w:val="4"/>
        <w:spacing w:before="195" w:after="195"/>
      </w:pPr>
      <w:r>
        <w:rPr>
          <w:rFonts w:hint="eastAsia"/>
        </w:rPr>
        <w:t>单元规划指引</w:t>
      </w:r>
    </w:p>
    <w:p>
      <w:pPr>
        <w:spacing w:before="163" w:beforeLines="50"/>
        <w:ind w:firstLine="640"/>
      </w:pPr>
      <w:bookmarkStart w:id="252" w:name="_Hlk149900601"/>
      <w:r>
        <w:rPr>
          <w:rFonts w:hint="eastAsia"/>
        </w:rPr>
        <w:t>赵店村ZD01组团单元：以提供商业商务、居民服务、文体中心、医疗卫生等为主要功能导向的区域，传导乡镇国土空间总体规划功能分区中商业商务区和综合服务区的功能，在统筹考虑主导功能、服务能级、服务人口、市政承载力、功能特色的基础上，坚持核心带动、集约高效、功能复合、绿色低碳的原则，打造开放复合、尺度宜人、富有活力的功能片区。</w:t>
      </w:r>
      <w:r>
        <w:t xml:space="preserve"> </w:t>
      </w:r>
    </w:p>
    <w:p>
      <w:pPr>
        <w:spacing w:before="163" w:beforeLines="50"/>
        <w:ind w:firstLine="640"/>
      </w:pPr>
      <w:r>
        <w:rPr>
          <w:rFonts w:hint="eastAsia"/>
        </w:rPr>
        <w:t>莲花村ZD0</w:t>
      </w:r>
      <w:r>
        <w:t>2</w:t>
      </w:r>
      <w:r>
        <w:rPr>
          <w:rFonts w:hint="eastAsia"/>
        </w:rPr>
        <w:t>组团单元：规划落实中心城区的规划内容。</w:t>
      </w:r>
    </w:p>
    <w:bookmarkEnd w:id="252"/>
    <w:p>
      <w:pPr>
        <w:pStyle w:val="3"/>
      </w:pPr>
      <w:bookmarkStart w:id="253" w:name="_Toc208238311"/>
      <w:r>
        <w:rPr>
          <w:rFonts w:hint="eastAsia"/>
        </w:rPr>
        <w:t>详细规划编制单元与指引</w:t>
      </w:r>
      <w:bookmarkEnd w:id="253"/>
    </w:p>
    <w:p>
      <w:pPr>
        <w:pStyle w:val="4"/>
        <w:spacing w:before="195" w:after="195"/>
      </w:pPr>
      <w:r>
        <w:rPr>
          <w:rFonts w:hint="eastAsia"/>
        </w:rPr>
        <w:t>划定乡域详细规划编制单元</w:t>
      </w:r>
    </w:p>
    <w:p>
      <w:pPr>
        <w:spacing w:before="65"/>
        <w:ind w:firstLine="640"/>
      </w:pPr>
      <w:r>
        <w:rPr>
          <w:rFonts w:hint="eastAsia"/>
        </w:rPr>
        <w:t>全乡共划定</w:t>
      </w:r>
      <w:r>
        <w:t>17个详细规划编制单元，包括集镇区1个编制单元</w:t>
      </w:r>
      <w:r>
        <w:rPr>
          <w:rFonts w:hint="eastAsia"/>
        </w:rPr>
        <w:t>，中心城区1个</w:t>
      </w:r>
      <w:r>
        <w:t>。以赵店乡集镇区</w:t>
      </w:r>
      <w:r>
        <w:rPr>
          <w:rFonts w:hint="eastAsia"/>
        </w:rPr>
        <w:t>村庄建设用地</w:t>
      </w:r>
      <w:r>
        <w:t>为依据，确定为赵店乡集镇区编制单元,分别为赵店组团ZD01；</w:t>
      </w:r>
      <w:r>
        <w:rPr>
          <w:rFonts w:hint="eastAsia"/>
        </w:rPr>
        <w:t>以城镇开发边界为依据</w:t>
      </w:r>
      <w:r>
        <w:t>，</w:t>
      </w:r>
      <w:r>
        <w:rPr>
          <w:rFonts w:hint="eastAsia"/>
        </w:rPr>
        <w:t>确定莲花</w:t>
      </w:r>
      <w:r>
        <w:t>组团ZD02</w:t>
      </w:r>
      <w:r>
        <w:rPr>
          <w:rFonts w:hint="eastAsia"/>
        </w:rPr>
        <w:t>；</w:t>
      </w:r>
      <w:r>
        <w:t>其余为以行政村界限为边界的详规单元，分别为</w:t>
      </w:r>
      <w:r>
        <w:rPr>
          <w:rFonts w:hint="eastAsia"/>
        </w:rPr>
        <w:t>赵店</w:t>
      </w:r>
      <w:r>
        <w:t>村编制单元ZD03、</w:t>
      </w:r>
      <w:r>
        <w:rPr>
          <w:rFonts w:hint="eastAsia"/>
        </w:rPr>
        <w:t>长岭</w:t>
      </w:r>
      <w:r>
        <w:t>村编制单元ZD04、</w:t>
      </w:r>
      <w:r>
        <w:rPr>
          <w:rFonts w:hint="eastAsia"/>
        </w:rPr>
        <w:t>张庄</w:t>
      </w:r>
      <w:r>
        <w:t>村编制单元ZD05、</w:t>
      </w:r>
      <w:r>
        <w:rPr>
          <w:rFonts w:hint="eastAsia"/>
        </w:rPr>
        <w:t>袁寨</w:t>
      </w:r>
      <w:r>
        <w:t>村编制单元ZD06、</w:t>
      </w:r>
      <w:r>
        <w:rPr>
          <w:rFonts w:hint="eastAsia"/>
        </w:rPr>
        <w:t>聂庄村</w:t>
      </w:r>
      <w:r>
        <w:t>编制单元ZD07、</w:t>
      </w:r>
      <w:r>
        <w:rPr>
          <w:rFonts w:hint="eastAsia"/>
        </w:rPr>
        <w:t>楼房</w:t>
      </w:r>
      <w:r>
        <w:t>村编制单元ZD08、</w:t>
      </w:r>
      <w:r>
        <w:rPr>
          <w:rFonts w:hint="eastAsia"/>
        </w:rPr>
        <w:t>莲花</w:t>
      </w:r>
      <w:r>
        <w:t>村编制单元ZD09、</w:t>
      </w:r>
      <w:r>
        <w:rPr>
          <w:rFonts w:hint="eastAsia"/>
        </w:rPr>
        <w:t>郦城</w:t>
      </w:r>
      <w:r>
        <w:t>村编制单元ZD10、</w:t>
      </w:r>
      <w:r>
        <w:rPr>
          <w:rFonts w:hint="eastAsia"/>
        </w:rPr>
        <w:t>黄营</w:t>
      </w:r>
      <w:r>
        <w:t>村编制单元ZD11、</w:t>
      </w:r>
      <w:r>
        <w:rPr>
          <w:rFonts w:hint="eastAsia"/>
        </w:rPr>
        <w:t>花凹</w:t>
      </w:r>
      <w:r>
        <w:t>村编制单元ZD12、</w:t>
      </w:r>
      <w:r>
        <w:rPr>
          <w:rFonts w:hint="eastAsia"/>
        </w:rPr>
        <w:t>红堰</w:t>
      </w:r>
      <w:r>
        <w:t>村编制单元ZD13、</w:t>
      </w:r>
      <w:r>
        <w:rPr>
          <w:rFonts w:hint="eastAsia"/>
        </w:rPr>
        <w:t>岗堤</w:t>
      </w:r>
      <w:r>
        <w:t>村编制</w:t>
      </w:r>
      <w:r>
        <w:rPr>
          <w:rFonts w:hint="eastAsia"/>
        </w:rPr>
        <w:t>单元</w:t>
      </w:r>
      <w:r>
        <w:t>ZD14、</w:t>
      </w:r>
      <w:r>
        <w:rPr>
          <w:rFonts w:hint="eastAsia"/>
        </w:rPr>
        <w:t>范营</w:t>
      </w:r>
      <w:r>
        <w:t>村编制单元ZD15、</w:t>
      </w:r>
      <w:r>
        <w:rPr>
          <w:rFonts w:hint="eastAsia"/>
        </w:rPr>
        <w:t>杜沟</w:t>
      </w:r>
      <w:r>
        <w:t>村编制单元ZD16、</w:t>
      </w:r>
      <w:r>
        <w:rPr>
          <w:rFonts w:hint="eastAsia"/>
        </w:rPr>
        <w:t>大峪</w:t>
      </w:r>
      <w:r>
        <w:t>村编制单元ZD17</w:t>
      </w:r>
      <w:r>
        <w:rPr>
          <w:rFonts w:hint="eastAsia"/>
        </w:rPr>
        <w:t>。</w:t>
      </w:r>
    </w:p>
    <w:p>
      <w:pPr>
        <w:pStyle w:val="4"/>
        <w:spacing w:before="195" w:after="195"/>
      </w:pPr>
      <w:r>
        <w:t>村庄编制单元详细规划编制</w:t>
      </w:r>
      <w:r>
        <w:rPr>
          <w:rFonts w:hint="eastAsia"/>
        </w:rPr>
        <w:t>指引</w:t>
      </w:r>
    </w:p>
    <w:p>
      <w:pPr>
        <w:spacing w:before="48"/>
        <w:ind w:firstLine="640"/>
        <w:rPr>
          <w:lang w:bidi="ar"/>
        </w:rPr>
      </w:pPr>
      <w:r>
        <w:rPr>
          <w:rFonts w:hint="eastAsia"/>
          <w:lang w:bidi="ar"/>
        </w:rPr>
        <w:t>全乡集镇区范围外，城镇开发边界外共涉及</w:t>
      </w:r>
      <w:r>
        <w:rPr>
          <w:lang w:bidi="ar"/>
        </w:rPr>
        <w:t>15个详细规划编制单元，根据村庄类型和发展需求选择编制“实用性”村庄规划或“通则式”村庄规划，“通则式”村庄规划管理规定，纳入镇总规报批，作为乡村地区实施国土空间用途管制、核发乡村建设规划许可证的依据。在赵店乡国土空间总体规划中确定的各项目标、约束性指标、空间布局和重大任务落实分解到村庄，加强对详细规划的管控与指引。从刚性落实、弹性引导两个方面，提出对详细规划的传导要求。村庄规划需严格落实乡镇级规划确定的刚性管控要求，可在不突破底线约束的前提下对乡镇规划提出的引导性要求进</w:t>
      </w:r>
      <w:r>
        <w:rPr>
          <w:rFonts w:hint="eastAsia"/>
          <w:lang w:bidi="ar"/>
        </w:rPr>
        <w:t>行深化与细化。</w:t>
      </w:r>
    </w:p>
    <w:p>
      <w:pPr>
        <w:adjustRightInd/>
        <w:snapToGrid/>
        <w:spacing w:line="240" w:lineRule="auto"/>
        <w:ind w:firstLine="0" w:firstLineChars="0"/>
        <w:jc w:val="left"/>
        <w:rPr>
          <w:lang w:bidi="ar"/>
        </w:rPr>
      </w:pPr>
      <w:r>
        <w:rPr>
          <w:lang w:bidi="ar"/>
        </w:rPr>
        <w:br w:type="page"/>
      </w:r>
    </w:p>
    <w:p>
      <w:pPr>
        <w:pStyle w:val="2"/>
        <w:spacing w:before="489" w:after="489"/>
      </w:pPr>
      <w:bookmarkStart w:id="254" w:name="_Toc212798336"/>
      <w:r>
        <w:rPr>
          <w:rFonts w:hint="eastAsia"/>
        </w:rPr>
        <w:t>规划实施</w:t>
      </w:r>
      <w:bookmarkEnd w:id="254"/>
    </w:p>
    <w:p>
      <w:pPr>
        <w:pStyle w:val="3"/>
      </w:pPr>
      <w:r>
        <w:rPr>
          <w:rFonts w:hint="eastAsia"/>
        </w:rPr>
        <w:t>行动计划制定</w:t>
      </w:r>
    </w:p>
    <w:p>
      <w:pPr>
        <w:pStyle w:val="4"/>
        <w:spacing w:before="195" w:after="195"/>
      </w:pPr>
      <w:r>
        <w:rPr>
          <w:rFonts w:hint="eastAsia"/>
        </w:rPr>
        <w:t>近期实施重点任务</w:t>
      </w:r>
    </w:p>
    <w:p>
      <w:pPr>
        <w:spacing w:before="65"/>
        <w:ind w:firstLine="640"/>
      </w:pPr>
      <w:r>
        <w:rPr>
          <w:rFonts w:hint="eastAsia"/>
        </w:rPr>
        <w:t>编制国土空间五年行动规划和年度实施计划。衔接十五五规划，加强对于国土空间规划目标任务的分解落实和实施推动，统筹各类专项行动，落实重大项目推进要求，滚动编制近期行动以及年度实施计划。</w:t>
      </w:r>
    </w:p>
    <w:p>
      <w:pPr>
        <w:pStyle w:val="4"/>
        <w:spacing w:before="195" w:after="195"/>
      </w:pPr>
      <w:r>
        <w:rPr>
          <w:rFonts w:hint="eastAsia"/>
        </w:rPr>
        <w:t>重点项目</w:t>
      </w:r>
    </w:p>
    <w:p>
      <w:pPr>
        <w:pStyle w:val="5"/>
        <w:numPr>
          <w:ilvl w:val="3"/>
          <w:numId w:val="3"/>
        </w:numPr>
        <w:spacing w:before="97" w:after="97"/>
        <w:ind w:firstLine="640"/>
      </w:pPr>
      <w:r>
        <w:rPr>
          <w:rFonts w:hint="eastAsia"/>
        </w:rPr>
        <w:t>生态修复类项目</w:t>
      </w:r>
    </w:p>
    <w:p>
      <w:pPr>
        <w:spacing w:before="65"/>
        <w:ind w:firstLine="640"/>
      </w:pPr>
      <w:r>
        <w:rPr>
          <w:rFonts w:hint="eastAsia"/>
        </w:rPr>
        <w:t>重点</w:t>
      </w:r>
      <w:r>
        <w:t>推进</w:t>
      </w:r>
      <w:r>
        <w:rPr>
          <w:rFonts w:hint="eastAsia"/>
        </w:rPr>
        <w:t>规划造林绿化、湍河治理等</w:t>
      </w:r>
      <w:r>
        <w:t>2</w:t>
      </w:r>
      <w:r>
        <w:rPr>
          <w:rFonts w:hint="eastAsia"/>
        </w:rPr>
        <w:t>个生态修复类项目。</w:t>
      </w:r>
    </w:p>
    <w:p>
      <w:pPr>
        <w:pStyle w:val="5"/>
        <w:numPr>
          <w:ilvl w:val="3"/>
          <w:numId w:val="3"/>
        </w:numPr>
        <w:spacing w:before="97" w:after="97"/>
        <w:ind w:firstLine="640"/>
      </w:pPr>
      <w:r>
        <w:rPr>
          <w:rFonts w:hint="eastAsia"/>
        </w:rPr>
        <w:t>产业发展类项目</w:t>
      </w:r>
    </w:p>
    <w:p>
      <w:pPr>
        <w:spacing w:before="65"/>
        <w:ind w:firstLine="640"/>
      </w:pPr>
      <w:r>
        <w:rPr>
          <w:rFonts w:hint="eastAsia"/>
        </w:rPr>
        <w:t>重点牧原猪场新选地块</w:t>
      </w:r>
      <w:r>
        <w:t>余关</w:t>
      </w:r>
      <w:r>
        <w:rPr>
          <w:rFonts w:hint="eastAsia"/>
        </w:rPr>
        <w:t>点1</w:t>
      </w:r>
      <w:r>
        <w:t>7</w:t>
      </w:r>
      <w:r>
        <w:rPr>
          <w:rFonts w:hint="eastAsia"/>
        </w:rPr>
        <w:t>号、牧原猪场</w:t>
      </w:r>
      <w:r>
        <w:t>综合体检疫检验隔离点</w:t>
      </w:r>
      <w:r>
        <w:rPr>
          <w:rFonts w:hint="eastAsia"/>
        </w:rPr>
        <w:t>1号、牧原</w:t>
      </w:r>
      <w:r>
        <w:t>综合体检疫检验隔离点</w:t>
      </w:r>
      <w:r>
        <w:rPr>
          <w:rFonts w:hint="eastAsia"/>
        </w:rPr>
        <w:t>2号、牧原市级项目余关镇5号、牧原市级项目余关镇</w:t>
      </w:r>
      <w:r>
        <w:t>8</w:t>
      </w:r>
      <w:r>
        <w:rPr>
          <w:rFonts w:hint="eastAsia"/>
        </w:rPr>
        <w:t>号、金银花基地等</w:t>
      </w:r>
      <w:r>
        <w:t>6</w:t>
      </w:r>
      <w:r>
        <w:rPr>
          <w:rFonts w:hint="eastAsia"/>
        </w:rPr>
        <w:t>个产业发展类项目。</w:t>
      </w:r>
    </w:p>
    <w:p>
      <w:pPr>
        <w:pStyle w:val="5"/>
        <w:numPr>
          <w:ilvl w:val="3"/>
          <w:numId w:val="3"/>
        </w:numPr>
        <w:spacing w:before="97" w:after="97"/>
        <w:ind w:firstLine="640"/>
      </w:pPr>
      <w:r>
        <w:rPr>
          <w:rFonts w:hint="eastAsia"/>
        </w:rPr>
        <w:t>交通类项目</w:t>
      </w:r>
    </w:p>
    <w:p>
      <w:pPr>
        <w:spacing w:before="65"/>
        <w:ind w:firstLine="640"/>
      </w:pPr>
      <w:r>
        <w:rPr>
          <w:rFonts w:hint="eastAsia"/>
        </w:rPr>
        <w:t>重点推进</w:t>
      </w:r>
      <w:r>
        <w:t>G241城区段改线</w:t>
      </w:r>
      <w:r>
        <w:rPr>
          <w:rFonts w:hint="eastAsia"/>
        </w:rPr>
        <w:t>、</w:t>
      </w:r>
      <w:r>
        <w:t>G241大谢岗至五里堡北段</w:t>
      </w:r>
      <w:r>
        <w:rPr>
          <w:rFonts w:hint="eastAsia"/>
        </w:rPr>
        <w:t>、红堰河</w:t>
      </w:r>
      <w:r>
        <w:t>-长岭段道路提升工程</w:t>
      </w:r>
      <w:r>
        <w:rPr>
          <w:rFonts w:hint="eastAsia"/>
        </w:rPr>
        <w:t>火车西站快速通道段道路提升工程、蒙华铁路连接线段道路提升工程、镇平枣园</w:t>
      </w:r>
      <w:r>
        <w:t>-西夏田关段道路提升工程</w:t>
      </w:r>
      <w:r>
        <w:rPr>
          <w:rFonts w:hint="eastAsia"/>
        </w:rPr>
        <w:t>等</w:t>
      </w:r>
      <w:r>
        <w:t>6</w:t>
      </w:r>
      <w:r>
        <w:rPr>
          <w:rFonts w:hint="eastAsia"/>
        </w:rPr>
        <w:t>个基础设施类项目。</w:t>
      </w:r>
    </w:p>
    <w:p>
      <w:pPr>
        <w:pStyle w:val="5"/>
        <w:numPr>
          <w:ilvl w:val="3"/>
          <w:numId w:val="3"/>
        </w:numPr>
        <w:spacing w:before="97" w:after="97"/>
        <w:ind w:firstLine="640"/>
      </w:pPr>
      <w:r>
        <w:rPr>
          <w:rFonts w:hint="eastAsia"/>
        </w:rPr>
        <w:t>电力类项目</w:t>
      </w:r>
    </w:p>
    <w:p>
      <w:pPr>
        <w:spacing w:before="65"/>
        <w:ind w:firstLine="640"/>
      </w:pPr>
      <w:r>
        <w:rPr>
          <w:rFonts w:hint="eastAsia"/>
        </w:rPr>
        <w:t>重点推进电力局黄营站区、电力局赵店站区等</w:t>
      </w:r>
      <w:r>
        <w:t>2</w:t>
      </w:r>
      <w:r>
        <w:rPr>
          <w:rFonts w:hint="eastAsia"/>
        </w:rPr>
        <w:t>个基础设施类项目。</w:t>
      </w:r>
    </w:p>
    <w:p>
      <w:pPr>
        <w:pStyle w:val="5"/>
        <w:numPr>
          <w:ilvl w:val="3"/>
          <w:numId w:val="3"/>
        </w:numPr>
        <w:spacing w:before="97" w:after="97"/>
        <w:ind w:firstLine="640"/>
      </w:pPr>
      <w:r>
        <w:rPr>
          <w:rFonts w:hint="eastAsia"/>
        </w:rPr>
        <w:t>民生类项目</w:t>
      </w:r>
    </w:p>
    <w:p>
      <w:pPr>
        <w:spacing w:before="65"/>
        <w:ind w:firstLine="640"/>
      </w:pPr>
      <w:r>
        <w:rPr>
          <w:rFonts w:hint="eastAsia"/>
        </w:rPr>
        <w:t>重点推进赵店乡污水处理厂等</w:t>
      </w:r>
      <w:r>
        <w:t>1</w:t>
      </w:r>
      <w:r>
        <w:rPr>
          <w:rFonts w:hint="eastAsia"/>
        </w:rPr>
        <w:t>个基础设施类项目。</w:t>
      </w:r>
    </w:p>
    <w:p>
      <w:pPr>
        <w:pStyle w:val="5"/>
        <w:numPr>
          <w:ilvl w:val="3"/>
          <w:numId w:val="3"/>
        </w:numPr>
        <w:spacing w:before="97" w:after="97"/>
        <w:ind w:firstLine="640"/>
      </w:pPr>
      <w:r>
        <w:rPr>
          <w:rFonts w:hint="eastAsia"/>
        </w:rPr>
        <w:t>其他类项目</w:t>
      </w:r>
    </w:p>
    <w:p>
      <w:pPr>
        <w:spacing w:before="65"/>
        <w:ind w:firstLine="640"/>
      </w:pPr>
      <w:r>
        <w:rPr>
          <w:rFonts w:hint="eastAsia"/>
        </w:rPr>
        <w:t>重点推进赵店乡加气站、赵店永祥阆苑公墓、赵店乡公墓建设项目等</w:t>
      </w:r>
      <w:r>
        <w:t>3</w:t>
      </w:r>
      <w:r>
        <w:rPr>
          <w:rFonts w:hint="eastAsia"/>
        </w:rPr>
        <w:t>个其他类项目。</w:t>
      </w:r>
    </w:p>
    <w:p>
      <w:pPr>
        <w:pStyle w:val="3"/>
      </w:pPr>
      <w:r>
        <w:rPr>
          <w:rFonts w:hint="eastAsia"/>
        </w:rPr>
        <w:t>规划全周期实施监督管理</w:t>
      </w:r>
    </w:p>
    <w:p>
      <w:pPr>
        <w:pStyle w:val="4"/>
        <w:spacing w:before="195" w:after="195"/>
      </w:pPr>
      <w:r>
        <w:rPr>
          <w:rFonts w:hint="eastAsia"/>
        </w:rPr>
        <w:t>提升规划信息化水平</w:t>
      </w:r>
    </w:p>
    <w:p>
      <w:pPr>
        <w:spacing w:before="65"/>
        <w:ind w:firstLine="640"/>
        <w:rPr>
          <w:lang w:bidi="ar"/>
        </w:rPr>
      </w:pPr>
      <w:r>
        <w:rPr>
          <w:rFonts w:hint="eastAsia"/>
          <w:lang w:bidi="ar"/>
        </w:rPr>
        <w:t>形成国土空间规划数据库，数据成果应同步上报，纳入国土空间规划“一张图”实施监督信息系统。</w:t>
      </w:r>
    </w:p>
    <w:p>
      <w:pPr>
        <w:pStyle w:val="4"/>
        <w:spacing w:before="195" w:after="195"/>
      </w:pPr>
      <w:r>
        <w:rPr>
          <w:rFonts w:hint="eastAsia"/>
        </w:rPr>
        <w:t>落实国土空间用途管制制度</w:t>
      </w:r>
    </w:p>
    <w:p>
      <w:pPr>
        <w:spacing w:before="65"/>
        <w:ind w:firstLine="640"/>
        <w:rPr>
          <w:lang w:bidi="ar"/>
        </w:rPr>
      </w:pPr>
      <w:r>
        <w:rPr>
          <w:rFonts w:hint="eastAsia"/>
          <w:lang w:bidi="ar"/>
        </w:rPr>
        <w:t>对所有国土空间分区分类实施用途管制，落实分区准入、用途转换等管制规则。城镇开发边界内实行“详细规划+规划许可”；城镇开发边界外按照主导用途分区，实行“详细规划+规划许可”和“约束指标+分区准入”。严格耕地、自然保护地、生态保护红线、生态敏感脆弱区等特殊区域的用途管制。</w:t>
      </w:r>
    </w:p>
    <w:p>
      <w:pPr>
        <w:pStyle w:val="4"/>
        <w:spacing w:before="195" w:after="195"/>
      </w:pPr>
      <w:r>
        <w:rPr>
          <w:rFonts w:hint="eastAsia"/>
        </w:rPr>
        <w:t>加强规划实施监测评估</w:t>
      </w:r>
    </w:p>
    <w:p>
      <w:pPr>
        <w:spacing w:before="65"/>
        <w:ind w:firstLine="640"/>
        <w:rPr>
          <w:lang w:bidi="ar"/>
        </w:rPr>
      </w:pPr>
      <w:r>
        <w:rPr>
          <w:rFonts w:hint="eastAsia"/>
          <w:lang w:bidi="ar"/>
        </w:rPr>
        <w:t>建立规划实施评估指标体系和“体检评估”机制，落实国土空间规划监测评估预警系统，为市、县开展城市体检和规划全周期管理提供支撑。</w:t>
      </w:r>
    </w:p>
    <w:p>
      <w:pPr>
        <w:adjustRightInd/>
        <w:snapToGrid/>
        <w:spacing w:line="240" w:lineRule="auto"/>
        <w:ind w:firstLine="0" w:firstLineChars="0"/>
        <w:jc w:val="left"/>
        <w:rPr>
          <w:lang w:bidi="ar"/>
        </w:rPr>
      </w:pPr>
      <w:r>
        <w:rPr>
          <w:lang w:bidi="ar"/>
        </w:rPr>
        <w:br w:type="page"/>
      </w:r>
    </w:p>
    <w:p>
      <w:pPr>
        <w:pStyle w:val="2"/>
        <w:spacing w:before="489" w:after="489"/>
      </w:pPr>
      <w:bookmarkStart w:id="255" w:name="_Toc208238312"/>
      <w:r>
        <w:t xml:space="preserve"> </w:t>
      </w:r>
      <w:bookmarkStart w:id="256" w:name="_Toc212798337"/>
      <w:r>
        <w:t>“</w:t>
      </w:r>
      <w:r>
        <w:rPr>
          <w:rFonts w:hint="eastAsia"/>
        </w:rPr>
        <w:t>通则式</w:t>
      </w:r>
      <w:r>
        <w:t>”</w:t>
      </w:r>
      <w:r>
        <w:rPr>
          <w:rFonts w:hint="eastAsia"/>
        </w:rPr>
        <w:t>村庄规划管理规定</w:t>
      </w:r>
      <w:bookmarkEnd w:id="255"/>
      <w:bookmarkEnd w:id="256"/>
    </w:p>
    <w:p>
      <w:pPr>
        <w:pStyle w:val="3"/>
      </w:pPr>
      <w:r>
        <w:rPr>
          <w:rFonts w:hint="eastAsia"/>
        </w:rPr>
        <w:t>适用范围</w:t>
      </w:r>
    </w:p>
    <w:p>
      <w:pPr>
        <w:pStyle w:val="4"/>
      </w:pPr>
      <w:r>
        <w:rPr>
          <w:rFonts w:hint="eastAsia"/>
        </w:rPr>
        <w:t>适用范围</w:t>
      </w:r>
    </w:p>
    <w:p>
      <w:pPr>
        <w:ind w:firstLine="640"/>
      </w:pPr>
      <w:r>
        <w:rPr>
          <w:rFonts w:hint="eastAsia"/>
        </w:rPr>
        <w:t>本管理规定适用于赵店乡城镇开发边界和集镇区外，村庄规划未覆盖的乡村地区。符合条件的农民建房（新建、改建、扩建）、乡村公共服务设施、公用设施和产业项目的建设，可依据通则式村庄规划管理规定，按相关规定办理规划许可手续。已单独编制村庄规划的，可参照执行。</w:t>
      </w:r>
    </w:p>
    <w:p>
      <w:pPr>
        <w:pStyle w:val="3"/>
      </w:pPr>
      <w:r>
        <w:rPr>
          <w:rFonts w:hint="eastAsia"/>
        </w:rPr>
        <w:t>开发保护底线管控</w:t>
      </w:r>
    </w:p>
    <w:p>
      <w:pPr>
        <w:pStyle w:val="4"/>
      </w:pPr>
      <w:r>
        <w:rPr>
          <w:rFonts w:hint="eastAsia"/>
        </w:rPr>
        <w:t>永久基本农田控制线</w:t>
      </w:r>
    </w:p>
    <w:p>
      <w:pPr>
        <w:ind w:firstLine="640"/>
      </w:pPr>
      <w:r>
        <w:rPr>
          <w:rFonts w:hint="eastAsia"/>
        </w:rPr>
        <w:t>乡村建设不得擅自占用永久基本农田和永久基本农田储备区。严格耕地用途管制，全面落实耕地占补平衡制度。</w:t>
      </w:r>
    </w:p>
    <w:p>
      <w:pPr>
        <w:pStyle w:val="4"/>
      </w:pPr>
      <w:r>
        <w:rPr>
          <w:rFonts w:hint="eastAsia"/>
        </w:rPr>
        <w:t>生态保护红线</w:t>
      </w:r>
    </w:p>
    <w:p>
      <w:pPr>
        <w:ind w:firstLine="640"/>
      </w:pPr>
      <w:r>
        <w:rPr>
          <w:rFonts w:hint="eastAsia"/>
        </w:rPr>
        <w:t>加强生态保护红线管理，严守自然生态安全边界</w:t>
      </w:r>
      <w:r>
        <w:t>。</w:t>
      </w:r>
    </w:p>
    <w:p>
      <w:pPr>
        <w:pStyle w:val="4"/>
      </w:pPr>
      <w:r>
        <w:t>洪涝风险控制线</w:t>
      </w:r>
    </w:p>
    <w:p>
      <w:pPr>
        <w:ind w:firstLine="640"/>
      </w:pPr>
      <w:r>
        <w:rPr>
          <w:rFonts w:hint="eastAsia"/>
        </w:rPr>
        <w:t>根据《</w:t>
      </w:r>
      <w:bookmarkStart w:id="257" w:name="OLE_LINK13"/>
      <w:bookmarkStart w:id="258" w:name="OLE_LINK11"/>
      <w:r>
        <w:rPr>
          <w:rFonts w:hint="eastAsia"/>
        </w:rPr>
        <w:t>内乡县赵店乡</w:t>
      </w:r>
      <w:bookmarkEnd w:id="257"/>
      <w:bookmarkEnd w:id="258"/>
      <w:r>
        <w:rPr>
          <w:rFonts w:hint="eastAsia"/>
        </w:rPr>
        <w:t>国土空间总体规划（</w:t>
      </w:r>
      <w:r>
        <w:t>2021-2035年）》划定的洪涝风险控制线进行管控，遵守《</w:t>
      </w:r>
      <w:r>
        <w:rPr>
          <w:rFonts w:hint="eastAsia"/>
        </w:rPr>
        <w:t>内乡县赵店乡</w:t>
      </w:r>
      <w:r>
        <w:t>国土空间总体规划（2021-2035年）》关于洪涝风险控制线的管控要求。</w:t>
      </w:r>
    </w:p>
    <w:p>
      <w:pPr>
        <w:pStyle w:val="4"/>
      </w:pPr>
      <w:r>
        <w:t>村庄建设边界</w:t>
      </w:r>
    </w:p>
    <w:p>
      <w:pPr>
        <w:ind w:firstLine="640"/>
      </w:pPr>
      <w:r>
        <w:rPr>
          <w:rFonts w:hint="eastAsia"/>
        </w:rPr>
        <w:t>不得突破《内乡县赵店乡国土空间总体规划（</w:t>
      </w:r>
      <w:r>
        <w:t>2021-2035年）》划定的村庄建设边界，村庄建设边界内主要包括以下建设用地类型：</w:t>
      </w:r>
    </w:p>
    <w:p>
      <w:pPr>
        <w:ind w:firstLine="640"/>
      </w:pPr>
      <w:r>
        <w:rPr>
          <w:rFonts w:hint="eastAsia"/>
        </w:rPr>
        <w:t>农村宅基地、农村社区服务设施用地、公共管理与公共服务用地、商业服务业用地、工矿用地、仓储用地、交通运输用地、公用设施用地、绿地与开敞空间用地和特殊用地。</w:t>
      </w:r>
    </w:p>
    <w:p>
      <w:pPr>
        <w:ind w:firstLine="640"/>
      </w:pPr>
      <w:r>
        <w:rPr>
          <w:rFonts w:hint="eastAsia"/>
        </w:rPr>
        <w:t>村庄建设活动原则上应位于村庄建设边界范围内。</w:t>
      </w:r>
    </w:p>
    <w:p>
      <w:pPr>
        <w:ind w:firstLine="640"/>
      </w:pPr>
      <w:r>
        <w:rPr>
          <w:rFonts w:hint="eastAsia"/>
        </w:rPr>
        <w:t>村庄建设边界外的存量建设用地，通过土地整理、置换、整治等方式逐渐向村庄建设边界内集中，原土地可根据实际需要调整为非建设用地。</w:t>
      </w:r>
    </w:p>
    <w:p>
      <w:pPr>
        <w:pStyle w:val="3"/>
      </w:pPr>
      <w:r>
        <w:t>建设空间管控</w:t>
      </w:r>
    </w:p>
    <w:p>
      <w:pPr>
        <w:pStyle w:val="4"/>
      </w:pPr>
      <w:r>
        <w:rPr>
          <w:rFonts w:hint="eastAsia"/>
        </w:rPr>
        <w:t>村庄建设用地管控</w:t>
      </w:r>
    </w:p>
    <w:p>
      <w:pPr>
        <w:ind w:firstLine="640"/>
      </w:pPr>
      <w:r>
        <w:rPr>
          <w:rFonts w:hint="eastAsia"/>
        </w:rPr>
        <w:t>村庄建设项目应当位于村庄建设边界内，符合镇国土空间规划明确的国土空间用途管制规则和建设管控要求。</w:t>
      </w:r>
    </w:p>
    <w:p>
      <w:pPr>
        <w:ind w:firstLine="640"/>
      </w:pPr>
      <w:r>
        <w:rPr>
          <w:rFonts w:hint="eastAsia"/>
        </w:rPr>
        <w:t>位于村庄建设边界外拟撤并搬迁村庄部分，不得进行翻建、扩建、改建。</w:t>
      </w:r>
    </w:p>
    <w:p>
      <w:pPr>
        <w:ind w:firstLine="640"/>
      </w:pPr>
      <w:r>
        <w:rPr>
          <w:rFonts w:hint="eastAsia"/>
        </w:rPr>
        <w:t>位于村庄建设边界内但属于撤并搬迁类村庄部分，可以进行加固、维修，但不能进行翻建、扩建、改建。</w:t>
      </w:r>
    </w:p>
    <w:p>
      <w:pPr>
        <w:ind w:firstLine="640"/>
      </w:pPr>
      <w:r>
        <w:t>村庄建设项目位于自然保护地、风景名胜区、文物保护范围和建设控制地带、历史文化名村、传统村落等区域的,还须符合相关专项规划。</w:t>
      </w:r>
    </w:p>
    <w:p>
      <w:pPr>
        <w:ind w:firstLine="640"/>
      </w:pPr>
      <w:r>
        <w:t>村庄建设项目选址位置应当遵循的一般原则：</w:t>
      </w:r>
      <w:r>
        <w:rPr>
          <w:rFonts w:hint="eastAsia"/>
        </w:rPr>
        <w:t>应选址在地质条件较好、环境适宜、交通方便的地段。坚持节约集约用地，充分利用村内空闲地、废弃地，满足消防、抗震、防洪要求，不得阻碍交通、侵占公共用地和邻里通道，妥善处理给水、排水、日照、采光、通风等方面的相邻关系。严格控制切坡建房，确因用地因难需要切坡的，应当在乡政府指导下，按照有关技术规范做好坡体防护工作，确保安全。</w:t>
      </w:r>
    </w:p>
    <w:p>
      <w:pPr>
        <w:ind w:firstLine="640"/>
      </w:pPr>
      <w:r>
        <w:t>村庄建设项目不得在下列地点或地段选址：</w:t>
      </w:r>
      <w:r>
        <w:rPr>
          <w:rFonts w:hint="eastAsia"/>
        </w:rPr>
        <w:t>山体滑坡、泥石流、危岩、塌陷等地质灾害易发区或次生灾害隐患易发地段。洪涝灾害危险地段。文物保护区。生态保护红线、永久基本农田保护区、永久基本农田储备区、生态资源保护区、饮用水源一级保护区、风景名胜区核心保护区、自然保护区核心区和缓冲区、历史文化核心保护范围内。输油、输气管道上、高压供电走廊下。危险化学品生产企业、危险化学品储存仓库或危房旁边。河道管理范围和水库、渠道的控制区范围内。法律、法规禁止建设建（构）筑物的其他区域。</w:t>
      </w:r>
    </w:p>
    <w:p>
      <w:pPr>
        <w:ind w:firstLine="640"/>
        <w:rPr>
          <w:lang w:bidi="ar"/>
        </w:rPr>
      </w:pPr>
      <w:r>
        <w:rPr>
          <w:lang w:bidi="ar"/>
        </w:rPr>
        <w:t>在高铁、国道、省道等交通干线两侧新建农村建筑，必须满足以下铁路、公路</w:t>
      </w:r>
      <w:r>
        <w:rPr>
          <w:rFonts w:hint="eastAsia"/>
          <w:lang w:bidi="ar"/>
        </w:rPr>
        <w:t>控制距离</w:t>
      </w:r>
      <w:r>
        <w:rPr>
          <w:lang w:bidi="ar"/>
        </w:rPr>
        <w:t>要求</w:t>
      </w:r>
      <w:r>
        <w:rPr>
          <w:rFonts w:hint="eastAsia"/>
          <w:lang w:bidi="ar"/>
        </w:rPr>
        <w:t>。</w:t>
      </w:r>
    </w:p>
    <w:p>
      <w:pPr>
        <w:ind w:firstLine="640"/>
      </w:pPr>
      <w:r>
        <w:t>乡村范围内各类建筑退河道（水库）管护范围线不得小于5米，且应结合防洪、生态、水系及其他专项规划进行合理控制。</w:t>
      </w:r>
    </w:p>
    <w:p>
      <w:pPr>
        <w:pStyle w:val="4"/>
      </w:pPr>
      <w:r>
        <w:t>农村村民自建住房管控</w:t>
      </w:r>
    </w:p>
    <w:p>
      <w:pPr>
        <w:ind w:firstLine="640"/>
      </w:pPr>
      <w:r>
        <w:t>村庄建设边界内建设用地优先保障村民自建住房用地，住宅用地不足的不得安排其他产业用地。</w:t>
      </w:r>
      <w:r>
        <w:rPr>
          <w:rFonts w:hint="eastAsia"/>
        </w:rPr>
        <w:t>村庄用地规划按住宅用地、村庄公共设施、公益事业、产业用地顺序保障。</w:t>
      </w:r>
    </w:p>
    <w:p>
      <w:pPr>
        <w:ind w:firstLine="640"/>
      </w:pPr>
      <w:r>
        <w:t>农村村民自建住房建设主体应符合农村宅基地申请条件。</w:t>
      </w:r>
      <w:r>
        <w:rPr>
          <w:rFonts w:hint="eastAsia"/>
        </w:rPr>
        <w:t>农村村民一户只能拥有一处宅基地。新建宅基地</w:t>
      </w:r>
      <w:r>
        <w:t>每户宅基地面积不得超过167平方米。</w:t>
      </w:r>
    </w:p>
    <w:p>
      <w:pPr>
        <w:ind w:firstLine="640"/>
      </w:pPr>
      <w:r>
        <w:rPr>
          <w:rFonts w:hint="eastAsia"/>
        </w:rPr>
        <w:t>利用村内原宅基地改造、翻建的，应符合村规民约，与周边住宅建筑对齐，不得扩大用地规模。涉及妨碍村庄道路等公共空间的，须按村规民约退出。</w:t>
      </w:r>
    </w:p>
    <w:p>
      <w:pPr>
        <w:ind w:firstLine="640"/>
      </w:pPr>
      <w:r>
        <w:rPr>
          <w:rFonts w:hint="eastAsia"/>
        </w:rPr>
        <w:t>村民按照规划另选址建房的，无偿退回原有宅基地。</w:t>
      </w:r>
    </w:p>
    <w:p>
      <w:pPr>
        <w:ind w:firstLine="640"/>
      </w:pPr>
      <w:r>
        <w:t>村村民自建住房建筑一般以两层为主，最高不超过三层，建筑限高12米。</w:t>
      </w:r>
    </w:p>
    <w:p>
      <w:pPr>
        <w:ind w:firstLine="640"/>
      </w:pPr>
      <w:r>
        <w:rPr>
          <w:rFonts w:hint="eastAsia"/>
        </w:rPr>
        <w:t>各村村民自建住房在不超建筑限高</w:t>
      </w:r>
      <w:r>
        <w:t>12米的前提下，可根据本村规民约、风土人情、地理环境特点等因素合理确定各村住宅层高及限高，并体现在本村村庄规划或村规民约中。</w:t>
      </w:r>
    </w:p>
    <w:p>
      <w:pPr>
        <w:ind w:firstLine="640"/>
      </w:pPr>
      <w:r>
        <w:rPr>
          <w:rFonts w:hint="eastAsia"/>
        </w:rPr>
        <w:t>对于机场、风景名胜区、文物保护区、传统村落保护区等特殊地段的村民自建住宅，建筑限高还须符合其他相关部门的专项规定。</w:t>
      </w:r>
    </w:p>
    <w:p>
      <w:pPr>
        <w:ind w:firstLine="640"/>
      </w:pPr>
      <w:r>
        <w:rPr>
          <w:rFonts w:hint="eastAsia"/>
        </w:rPr>
        <w:t>平原地区室内外高差不宜大于</w:t>
      </w:r>
      <w:r>
        <w:t>0.45米、院落和街巷高差不宜大于0.3米</w:t>
      </w:r>
      <w:r>
        <w:rPr>
          <w:rFonts w:hint="eastAsia" w:ascii="仿宋_GB2312" w:hAnsi="仿宋_GB2312" w:cs="仿宋_GB2312"/>
        </w:rPr>
        <w:t>。</w:t>
      </w:r>
    </w:p>
    <w:p>
      <w:pPr>
        <w:ind w:firstLine="640"/>
      </w:pPr>
      <w:r>
        <w:t>农村村民自建住宅建筑临距应符合村规民约，不妨害相邻权、地役权，应保证相邻利益方房屋的正常采光和通行要求，并符合《农村防火规范（GB50039-2010）》规定。</w:t>
      </w:r>
      <w:r>
        <w:rPr>
          <w:rFonts w:hint="eastAsia"/>
        </w:rPr>
        <w:t>村民联排自建住房（并山）可不考虑山墙建筑间距。</w:t>
      </w:r>
    </w:p>
    <w:p>
      <w:pPr>
        <w:ind w:firstLine="640"/>
      </w:pPr>
      <w:r>
        <w:t>农村村民自建住宅临村内道路进行住宅建设，宜按下列原则退让道路。</w:t>
      </w:r>
      <w:r>
        <w:rPr>
          <w:rFonts w:hint="eastAsia"/>
        </w:rPr>
        <w:t>新建村民自建住房临路方向应与同侧相邻建筑外墙面边界齐平，保证沿路建筑的整齐美观。临路方向退缩距离如有村规民约的，按照村规民约约定退让距离执行。村规民约没有约定的，按照正向临路方向退缩不宜小于</w:t>
      </w:r>
      <w:r>
        <w:t>2米(以道路边线为基准)，侧向临路方向退缩不宜小于1米(以道路中边线为基准)规定执行。</w:t>
      </w:r>
      <w:r>
        <w:rPr>
          <w:rFonts w:hint="eastAsia"/>
        </w:rPr>
        <w:t>村民自建住房与其他公共建筑、企业、仓储等建筑间距离，须符合建筑防火规范。</w:t>
      </w:r>
    </w:p>
    <w:p>
      <w:pPr>
        <w:ind w:firstLine="640"/>
      </w:pPr>
      <w:r>
        <w:t>农村村民自建住房可按照</w:t>
      </w:r>
      <w:r>
        <w:rPr>
          <w:rFonts w:hint="eastAsia"/>
        </w:rPr>
        <w:t>村庄规划推荐</w:t>
      </w:r>
      <w:r>
        <w:t>的</w:t>
      </w:r>
      <w:bookmarkStart w:id="259" w:name="OLE_LINK1"/>
      <w:bookmarkStart w:id="260" w:name="OLE_LINK2"/>
      <w:r>
        <w:t>农村住房设计图集</w:t>
      </w:r>
      <w:bookmarkEnd w:id="259"/>
      <w:bookmarkEnd w:id="260"/>
      <w:r>
        <w:t>建设或自行聘请设计单位进行。自行设计的，建筑风貌应与本村建筑风貌一致，符合村规民约，尊重本村居民居住习惯。村民自建低层经营性建筑或三层（含）以上住宅的，必须由有资质建筑设计单位进行设计，并按有关建筑规范要求施工。</w:t>
      </w:r>
    </w:p>
    <w:p>
      <w:pPr>
        <w:ind w:firstLine="640"/>
      </w:pPr>
      <w:r>
        <w:t>鼓励开展“空心村”、闲置用地整治，集约节约用地。为节约集约用地，对宅基地特别紧张的村庄，集体经济组织可通过综合整治，本着村民自愿的原则，统筹建设多层村民集中住宅楼，实现户有所居。</w:t>
      </w:r>
      <w:r>
        <w:rPr>
          <w:rFonts w:hint="eastAsia"/>
        </w:rPr>
        <w:t>村民集中住宅楼只限本村村民，不得对外销售、租赁。</w:t>
      </w:r>
    </w:p>
    <w:p>
      <w:pPr>
        <w:ind w:firstLine="640"/>
      </w:pPr>
      <w:r>
        <w:t>村民集中住宅楼、保障性租赁住房建筑间距、建筑退让及其他配套设施设置可参照城市居住区有关标准执行。</w:t>
      </w:r>
    </w:p>
    <w:p>
      <w:pPr>
        <w:pStyle w:val="4"/>
      </w:pPr>
      <w:r>
        <w:rPr>
          <w:rFonts w:hint="eastAsia"/>
        </w:rPr>
        <w:t>村庄基础设施</w:t>
      </w:r>
    </w:p>
    <w:p>
      <w:pPr>
        <w:ind w:firstLine="640"/>
      </w:pPr>
      <w:r>
        <w:t>落实镇国土空间规划规划确定的区域性基础设施，在梳理村庄现状设施的基础上，结合实际需求，明确道路、给排水、环卫等设施的设置要求。</w:t>
      </w:r>
    </w:p>
    <w:p>
      <w:pPr>
        <w:pStyle w:val="4"/>
        <w:rPr>
          <w:lang w:bidi="ar"/>
        </w:rPr>
      </w:pPr>
      <w:r>
        <w:rPr>
          <w:rFonts w:hint="eastAsia"/>
          <w:lang w:bidi="ar"/>
        </w:rPr>
        <w:t>村庄公共服务设施</w:t>
      </w:r>
    </w:p>
    <w:p>
      <w:pPr>
        <w:ind w:firstLine="640"/>
      </w:pPr>
      <w:r>
        <w:rPr>
          <w:rFonts w:hint="eastAsia"/>
        </w:rPr>
        <w:t>公共服务设施应根据村庄分类、当地村民的生产生活习惯和地域乡土风貌特色设置。</w:t>
      </w:r>
    </w:p>
    <w:p>
      <w:pPr>
        <w:ind w:firstLine="640"/>
      </w:pPr>
      <w:r>
        <w:rPr>
          <w:rFonts w:hint="eastAsia"/>
        </w:rPr>
        <w:t>配置标准应根据村庄类别配置村庄公共设施，村庄主要公共设施的单项设施用地面积参考相关标准执行。村庄公共服务建筑建设强度控制指标可参照城镇公服要求执行。</w:t>
      </w:r>
    </w:p>
    <w:p>
      <w:pPr>
        <w:ind w:firstLine="640"/>
      </w:pPr>
      <w:r>
        <w:rPr>
          <w:rFonts w:hint="eastAsia"/>
        </w:rPr>
        <w:t>公共服务建筑</w:t>
      </w:r>
      <w:r>
        <w:rPr>
          <w:rFonts w:hint="eastAsia"/>
          <w:color w:val="000000"/>
          <w:kern w:val="0"/>
          <w:lang w:bidi="ar"/>
        </w:rPr>
        <w:t>间距、道路退让、边界退让须符合建筑防火消防安全和日照标准。</w:t>
      </w:r>
      <w:r>
        <w:rPr>
          <w:rFonts w:hint="eastAsia"/>
        </w:rPr>
        <w:t>公共服务建筑原址翻建、改造的，建筑面积不作限制，但须符合地块建设强度控制指标要求。</w:t>
      </w:r>
    </w:p>
    <w:p>
      <w:pPr>
        <w:ind w:firstLine="640"/>
      </w:pPr>
      <w:r>
        <w:rPr>
          <w:rFonts w:hint="eastAsia"/>
        </w:rPr>
        <w:t>鼓励利用村内空闲地、边角地，因地制宜，建设点式分散的小型绿地游园、活动</w:t>
      </w:r>
      <w:r>
        <w:t>广场</w:t>
      </w:r>
      <w:r>
        <w:rPr>
          <w:rFonts w:hint="eastAsia"/>
        </w:rPr>
        <w:t>、停车场等。游园、</w:t>
      </w:r>
      <w:r>
        <w:t>广场</w:t>
      </w:r>
      <w:r>
        <w:rPr>
          <w:rFonts w:hint="eastAsia"/>
        </w:rPr>
        <w:t>应</w:t>
      </w:r>
      <w:r>
        <w:t>当配备健身活动器材、儿童娱乐设施、休闲座椅等</w:t>
      </w:r>
      <w:r>
        <w:rPr>
          <w:rFonts w:hint="eastAsia"/>
        </w:rPr>
        <w:t>活动设施，</w:t>
      </w:r>
      <w:r>
        <w:t>提升村庄环境品质，增加村民休闲场所。</w:t>
      </w:r>
      <w:r>
        <w:rPr>
          <w:rFonts w:hint="eastAsia"/>
        </w:rPr>
        <w:t>村内游园、广场、停车场最大面积一般不超过2000平米；位于旅游景区或特色保护类游客较多的村庄，面积可适当增加。</w:t>
      </w:r>
    </w:p>
    <w:p>
      <w:pPr>
        <w:pStyle w:val="4"/>
      </w:pPr>
      <w:r>
        <w:rPr>
          <w:rFonts w:hint="eastAsia"/>
        </w:rPr>
        <w:t>乡村产业管控</w:t>
      </w:r>
    </w:p>
    <w:p>
      <w:pPr>
        <w:ind w:firstLine="640"/>
      </w:pPr>
      <w:r>
        <w:rPr>
          <w:rFonts w:hint="eastAsia"/>
        </w:rPr>
        <w:t>乡村产业主要包括农业产业融合相关类项目和其他产业项目。</w:t>
      </w:r>
    </w:p>
    <w:p>
      <w:pPr>
        <w:ind w:firstLine="640"/>
      </w:pPr>
      <w:r>
        <w:rPr>
          <w:rFonts w:hint="eastAsia"/>
        </w:rPr>
        <w:t>农业产业融合相关类项目主要以农业农村资源为依托，拓展农业农村功能，延伸产业链条，涵盖农产品生产、加工、流通、就地消费等环节，用于农产品加工流通、农村休闲观光旅游、电子商务等混合融合的农村产业融合发展用地，土地用途可确定为工业用地、商业用地、物流仓储用地等。主要包括：农产品加工产业用地（包括农产品烘干、贮藏、保鲜、畜禽屠宰、冷链、净化、分捡、包装等产业）、生产性服务产业用地（包括农资配送、病虫害防治、农机作业服务、畜禽无害化处理与收集转运、畜禽粪污资源化利用、农产品流通、农产品仓储保鲜冷链物流设施、农业废弃物处理等产业）、生活性服务产业用地（包括乡村综合性服务网点、电商、快递、物流、商贸批发和零售等产业）、新产业新业态用地（包括“互联网+”现代农业、农产品电子商务、休闲农业和乡村旅游、民族风情旅游、红色文化与民俗文化、非遗传承、传统手工业、文化创意等新型业态用地；依托乡村资源优势，培育的农业特色小镇、地方特色产业用地）。</w:t>
      </w:r>
    </w:p>
    <w:p>
      <w:pPr>
        <w:ind w:firstLine="640"/>
      </w:pPr>
      <w:r>
        <w:rPr>
          <w:rFonts w:hint="eastAsia"/>
        </w:rPr>
        <w:t>农村产业融合相关类发展用地不得用于商品住宅、别墅、酒店、公寓等房地产开发，不得擅自改变用途或分割转让转租。</w:t>
      </w:r>
    </w:p>
    <w:p>
      <w:pPr>
        <w:ind w:firstLine="640"/>
      </w:pPr>
      <w:r>
        <w:rPr>
          <w:rFonts w:hint="eastAsia"/>
        </w:rPr>
        <w:t>农村产业融合类项目布局要求。项目规模较大、工业化程度高、分散布局配套设施成本高的产业项目要进产业园区。具有一定规模的农产品加工要向中心城区或有条件的乡镇城镇开发边界内集聚。直接服务种植养殖业的农产品加工、电子商务、仓储保鲜冷链、产地低温直销配送等产业，原则上应集中在行政村村庄建设边界内。利用农村本地资源开展农产品初加工、发展休闲观光旅游而必须的配套设施建设，可在不占用永久基本农田和生态保护红线、不突破国土空间规划建设用地指标等约束条件、不破坏生态环境和乡村风貌的前提下，在村庄建设边界外安排少量建设用地，实行比例和面积控制。符合环保政策的其他产业类项目，在不新建、扩建的条件下，可暂予以保留。集体经营性建设用地可以用于工业、商业、仓储、保障性租赁住房等经营性项目，不得用于房（地）产类开发、别墅类、私人会所等项目建设。</w:t>
      </w:r>
    </w:p>
    <w:p>
      <w:pPr>
        <w:ind w:firstLine="640"/>
      </w:pPr>
      <w:r>
        <w:rPr>
          <w:rFonts w:hint="eastAsia"/>
        </w:rPr>
        <w:t>对于远离村庄居民点的产业类项目，在符合国家相关规定且不影响周边相邻方相关权益的情况下，建筑限高可适当提高，最高不超过24（不包括）米。畜牧养殖类产业须符合环保有关政策规定。</w:t>
      </w:r>
    </w:p>
    <w:p>
      <w:pPr>
        <w:ind w:firstLine="640"/>
      </w:pPr>
      <w:r>
        <w:rPr>
          <w:rFonts w:hint="eastAsia"/>
        </w:rPr>
        <w:t>产业类项目建筑间距、建筑退界须满消防规范规定，不影响周边相邻权益的日照采光要求。</w:t>
      </w:r>
    </w:p>
    <w:p>
      <w:pPr>
        <w:ind w:firstLine="640"/>
      </w:pPr>
      <w:r>
        <w:rPr>
          <w:rFonts w:hint="eastAsia"/>
        </w:rPr>
        <w:t>鼓励产业空间用地实行复合利用。他产业用地在符合环保、安全条件下，用地性质可兼容。</w:t>
      </w:r>
    </w:p>
    <w:p>
      <w:pPr>
        <w:ind w:firstLine="640"/>
      </w:pPr>
      <w:r>
        <w:rPr>
          <w:rFonts w:hint="eastAsia"/>
        </w:rPr>
        <w:t>乡国土空间规划或村庄规划中的“预留机动指标”，可用于保障暂时无法确定位置的村民居住、农村公共公益设施以及零星公散的农（矿）产品初加工、乡村文旅设施、农村新产业新业态等一二三产业融合发展用地需求。机动指标不得超过本镇预留机动指标。</w:t>
      </w:r>
    </w:p>
    <w:p>
      <w:pPr>
        <w:ind w:firstLine="640"/>
      </w:pPr>
      <w:r>
        <w:rPr>
          <w:rFonts w:hint="eastAsia"/>
        </w:rPr>
        <w:t>村庄规划确定的“留白”用地，经村民委会员讨论、镇乡村规划委员会审议通过，报自然资源和规划局同意后，可按程序报建相应项目。</w:t>
      </w:r>
    </w:p>
    <w:p>
      <w:pPr>
        <w:ind w:firstLine="640"/>
      </w:pPr>
      <w:r>
        <w:rPr>
          <w:rFonts w:hint="eastAsia"/>
        </w:rPr>
        <w:t>使用预留机动指标或留白用地的，除符合国土产业相关政策外，经县规划委员会审议。</w:t>
      </w:r>
    </w:p>
    <w:p>
      <w:pPr>
        <w:ind w:firstLine="640"/>
      </w:pPr>
      <w:r>
        <w:rPr>
          <w:rFonts w:hint="eastAsia"/>
        </w:rPr>
        <w:t>在产业类项目实施过程中，在不突破镇国土空间规划或村庄规划强制性指标情况下，为实现更好管控，可独立编制地块管控图则，报县规划委员会审议同意后实施。</w:t>
      </w:r>
    </w:p>
    <w:p>
      <w:pPr>
        <w:ind w:firstLine="640"/>
      </w:pPr>
      <w:r>
        <w:rPr>
          <w:rFonts w:hint="eastAsia"/>
        </w:rPr>
        <w:t>使用按程序使用“留白”或“预留机动指标”的，待用地手续批准后，更新国土空间“一张图”。</w:t>
      </w:r>
    </w:p>
    <w:p>
      <w:pPr>
        <w:pStyle w:val="4"/>
      </w:pPr>
      <w:r>
        <w:rPr>
          <w:rFonts w:hint="eastAsia"/>
        </w:rPr>
        <w:t>历史文化保护</w:t>
      </w:r>
    </w:p>
    <w:p>
      <w:pPr>
        <w:ind w:firstLine="640"/>
      </w:pPr>
      <w:r>
        <w:rPr>
          <w:rFonts w:hint="eastAsia"/>
        </w:rPr>
        <w:t>落实市县、乡镇规划确定的历史文化保护控制线，加强</w:t>
      </w:r>
      <w:r>
        <w:rPr>
          <w:rFonts w:hint="eastAsia"/>
          <w:color w:val="000000"/>
          <w:kern w:val="0"/>
          <w:lang w:bidi="ar"/>
        </w:rPr>
        <w:t>历史文化要素管控。</w:t>
      </w:r>
    </w:p>
    <w:p>
      <w:pPr>
        <w:ind w:firstLine="640"/>
      </w:pPr>
      <w:r>
        <w:rPr>
          <w:rFonts w:hint="eastAsia"/>
        </w:rPr>
        <w:t>切实加强保护。保护范围内禁止新建其他无关建（构）筑物；不得损害历史文化街区、历史建筑、传统村落的原真性和完整性；不得破坏历史文化街区的历史肌理、历史街巷、空间尺度和景观环境 ,以及古井、古桥、古树等环境要素。</w:t>
      </w:r>
    </w:p>
    <w:p>
      <w:pPr>
        <w:ind w:firstLine="640"/>
      </w:pPr>
      <w:r>
        <w:rPr>
          <w:rFonts w:hint="eastAsia"/>
        </w:rPr>
        <w:t>全面修缮维护。采用“绣花”“织补”等微改造方式，充分利用修缮技艺传承人和传统工匠,结合建筑原有形制、结构、材料，运用传统工艺和现代技术，进行修缮加固，保护、延续传统建筑组群的传统格局特征和风貌特色，让不同时代的建筑完整保留城乡发展变迁的脉络，体现价值特色。</w:t>
      </w:r>
    </w:p>
    <w:p>
      <w:pPr>
        <w:ind w:firstLine="640"/>
      </w:pPr>
      <w:r>
        <w:rPr>
          <w:rFonts w:hint="eastAsia"/>
        </w:rPr>
        <w:t>合理开发利用。在风貌协调区，积极引进新业态，利用市场营销的手段，将新兴产业和传统商业引入历史文化街区和历史建筑中，把历史文化街区开发成为保存城乡记忆、延续历史文脉、滋养地域风格的重要载体和平台。坚持“留、改、拆”并举，以“保护、利用、提升”为主的原则,严防大拆大建、拆真建假。在保持历史建筑原有外观风貌、典型构件的基础上，改善内部空间品质，合理增设厨卫设施、适老化设施、消防安全设施等，通过加建、改建和添加设施等方式使之适应现代生产生活需要。保护开发传统村落,建设文化活动场地、老年活动场所、中小学社会实践教育基地、文创基地等公共服务设施，促进生态农业、乡村旅游发展，推动乡村振兴。系统梳理文物资源，深入挖掘其历史价值和旅游资源禀赋，将文物保护与乡村建设统筹结合。鼓励历史文化名城名镇博物馆建设，有条件的名村设立村史馆，通过专项陈列展览和各类教育活动，强化基本公共文化服务功能。</w:t>
      </w:r>
    </w:p>
    <w:p>
      <w:pPr>
        <w:pStyle w:val="4"/>
      </w:pPr>
      <w:r>
        <w:t>防灾减灾管控</w:t>
      </w:r>
    </w:p>
    <w:p>
      <w:pPr>
        <w:ind w:firstLine="640"/>
      </w:pPr>
      <w:r>
        <w:t>加强村庄消防设施建设。根据村庄规模、区域条件、经济发展状况等因素设置消防点。消防点应满足如下要求：</w:t>
      </w:r>
      <w:r>
        <w:rPr>
          <w:rFonts w:hint="eastAsia"/>
        </w:rPr>
        <w:t>有固定的地点和房屋建筑，并有明显标识。配备消防车、手抬机动泵、水枪、水带、灭火器、破拆工具等全部或部分消防设备。设置火警电话和消防值班人员。有专职、义务或志愿消防队员。</w:t>
      </w:r>
    </w:p>
    <w:p>
      <w:pPr>
        <w:ind w:firstLine="640"/>
      </w:pPr>
      <w:r>
        <w:t>村庄应配备消防水源、消防设备。消防水源可结合村庄实际环境条件，充分利用给水管网、水池、坑塘天然水源和消防水池等作为消防水源。充分利用满足一定灭火要求的农用车、洒水车、灌溉机动泵等农用设施作为消防装备的补充。</w:t>
      </w:r>
    </w:p>
    <w:p>
      <w:pPr>
        <w:ind w:firstLine="640"/>
      </w:pPr>
      <w:r>
        <w:t>各行政村应建立相应的消防安全组织，确定消防安全人员，制定防火安全制度，进行消防安全检查，开展消防安全教育，落实消防安全责任，配备必要的消防力量和消防器材装备。</w:t>
      </w:r>
    </w:p>
    <w:p>
      <w:pPr>
        <w:ind w:firstLine="640"/>
      </w:pPr>
      <w:r>
        <w:t>村庄范围内的建筑一般按照7度抗震烈度设防；供水供电等生命线工程按照8度抗震烈度设防，确保震时供水、供电、通讯、医务室等生命线工程设施的有效供给。</w:t>
      </w:r>
    </w:p>
    <w:p>
      <w:pPr>
        <w:ind w:firstLine="640"/>
      </w:pPr>
      <w:r>
        <w:t>村庄防洪及排涝标准按10年一遇设防。</w:t>
      </w:r>
    </w:p>
    <w:p>
      <w:pPr>
        <w:ind w:firstLine="640"/>
      </w:pPr>
      <w:r>
        <w:t>农村建设项目不得在地质灾害危险区、洪涝灾害频发区、河道管理范围内、地下采空区和地展断裂带等危险区域建设，应当避让蓄滞洪区等低洼地区。</w:t>
      </w:r>
    </w:p>
    <w:p>
      <w:pPr>
        <w:pStyle w:val="4"/>
      </w:pPr>
      <w:r>
        <w:t>环境综合整治管控</w:t>
      </w:r>
    </w:p>
    <w:p>
      <w:pPr>
        <w:ind w:firstLine="640"/>
      </w:pPr>
      <w:r>
        <w:t>加大村庄交通、供水、绿化、公共照明、医疗、垃圾处理、厕所、污水处理等基础设施和公共服务设施建设与整治，持续改善农村人居环境。</w:t>
      </w:r>
    </w:p>
    <w:p>
      <w:pPr>
        <w:ind w:firstLine="640"/>
      </w:pPr>
      <w:r>
        <w:t>围绕村庄道路、建筑风貌、村庄院落、坑塘水面、残垣断壁、环境卫生等重点，开展村庄环境综合整治，构建干净、整洁、有序的乡村空间，提升村庄整体品位。</w:t>
      </w:r>
    </w:p>
    <w:p>
      <w:pPr>
        <w:ind w:firstLine="640"/>
      </w:pPr>
      <w:r>
        <w:t>遵循村庄现有道路网格局，尊重原有道路肌理，避免大拆大建，对村庄道路进行改造、整治和提升。对破损的路面进行修整，对未硬化道路进行硬化，对未亮化的道路进行亮化，对空中凌乱线路进行整治整合提升，敷设各类管线，同步建设燃气、给、排水设施，营造良好的村庄交通环境，方便村民生活与出行。</w:t>
      </w:r>
    </w:p>
    <w:p>
      <w:pPr>
        <w:ind w:firstLine="640"/>
      </w:pPr>
      <w:r>
        <w:t>持续开展农村4G网络优化，加快推进农村5G网络建设，加强农村广电和移动基站建设与维护，提升农村网络覆盖质量，打造数字乡村、智慧乡村。</w:t>
      </w:r>
    </w:p>
    <w:p>
      <w:pPr>
        <w:ind w:firstLine="640"/>
      </w:pPr>
      <w:r>
        <w:t>重点清理侵街占道、私搭乱建等违章建筑和残垣断壁，街巷两侧禁止随意堆放物品，柴草、杂物、建筑材料等。有效利用村内空闲地、边角地等闲置建设用地，开展水旁、路旁、宅旁、村旁绿化，沿村庄主要道路种植乔木、灌木、地被等乡土植物，对重要节点进行整治绿化，建设小微游园、小微广场，提升村庄“颜值”。</w:t>
      </w:r>
    </w:p>
    <w:p>
      <w:pPr>
        <w:ind w:firstLine="640"/>
      </w:pPr>
      <w:r>
        <w:t>加大农村环卫设施建设，每村70-100米规划设置一个垃圾筒，集中设置一个垃圾收集点，建立一支专业环卫保洁队全，实现农村垃圾“村收、镇运、</w:t>
      </w:r>
      <w:r>
        <w:rPr>
          <w:rFonts w:hint="eastAsia"/>
        </w:rPr>
        <w:t>县</w:t>
      </w:r>
      <w:r>
        <w:t>处”。</w:t>
      </w:r>
    </w:p>
    <w:p>
      <w:pPr>
        <w:ind w:firstLine="640"/>
      </w:pPr>
      <w:r>
        <w:t>加快农村污水管网建设，因村制宜，整治废旧坑塘、河道、黑臭水体。推动生活污水治理、厕所粪污与绿色农业发展有机结合，提升农村治污水平。</w:t>
      </w:r>
    </w:p>
    <w:p>
      <w:pPr>
        <w:ind w:firstLine="640"/>
      </w:pPr>
      <w:r>
        <w:t>农村生活污水不得直接外排，宜经过化粪池或沼气池等污水处理设施处理达标后排放。</w:t>
      </w:r>
    </w:p>
    <w:p>
      <w:pPr>
        <w:ind w:firstLine="640"/>
      </w:pPr>
      <w:r>
        <w:t>围绕“去危房、整旧房、治违房、提风貌”的目的，重点开展房前屋后整治提升。对与村庄整体风貌不完全一致的建筑外观加以整修；对影响环境的危旧房和乱搭乱建的附房进行整治和拆除，消除安全隐患，提升村容村貌。</w:t>
      </w:r>
    </w:p>
    <w:p>
      <w:pPr>
        <w:spacing w:line="240" w:lineRule="auto"/>
        <w:ind w:firstLine="640"/>
        <w:rPr>
          <w:rFonts w:hint="default"/>
          <w:lang w:val="en"/>
        </w:rPr>
      </w:pPr>
      <w:r>
        <w:rPr>
          <w:rFonts w:hint="default"/>
          <w:lang w:val="en"/>
        </w:rPr>
        <w:drawing>
          <wp:inline distT="0" distB="0" distL="114300" distR="114300">
            <wp:extent cx="5272405" cy="3730625"/>
            <wp:effectExtent l="0" t="0" r="4445" b="3175"/>
            <wp:docPr id="6" name="图片 6" descr="13-赵店乡-01-乡域国土空间用地现状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descr="13-赵店乡-01-乡域国土空间用地现状图"/>
                    <pic:cNvPicPr>
                      <a:picLocks noChangeAspect="true"/>
                    </pic:cNvPicPr>
                  </pic:nvPicPr>
                  <pic:blipFill>
                    <a:blip r:embed="rId14"/>
                    <a:stretch>
                      <a:fillRect/>
                    </a:stretch>
                  </pic:blipFill>
                  <pic:spPr>
                    <a:xfrm>
                      <a:off x="0" y="0"/>
                      <a:ext cx="5272405" cy="3730625"/>
                    </a:xfrm>
                    <a:prstGeom prst="rect">
                      <a:avLst/>
                    </a:prstGeom>
                  </pic:spPr>
                </pic:pic>
              </a:graphicData>
            </a:graphic>
          </wp:inline>
        </w:drawing>
      </w:r>
      <w:r>
        <w:rPr>
          <w:rFonts w:hint="default"/>
          <w:lang w:val="en"/>
        </w:rPr>
        <w:drawing>
          <wp:inline distT="0" distB="0" distL="114300" distR="114300">
            <wp:extent cx="5260340" cy="3722370"/>
            <wp:effectExtent l="0" t="0" r="16510" b="11430"/>
            <wp:docPr id="5" name="图片 5" descr="13-赵店乡-02-乡域国土空间总体格局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5" descr="13-赵店乡-02-乡域国土空间总体格局规划图"/>
                    <pic:cNvPicPr>
                      <a:picLocks noChangeAspect="true"/>
                    </pic:cNvPicPr>
                  </pic:nvPicPr>
                  <pic:blipFill>
                    <a:blip r:embed="rId15"/>
                    <a:stretch>
                      <a:fillRect/>
                    </a:stretch>
                  </pic:blipFill>
                  <pic:spPr>
                    <a:xfrm>
                      <a:off x="0" y="0"/>
                      <a:ext cx="5260340" cy="3722370"/>
                    </a:xfrm>
                    <a:prstGeom prst="rect">
                      <a:avLst/>
                    </a:prstGeom>
                  </pic:spPr>
                </pic:pic>
              </a:graphicData>
            </a:graphic>
          </wp:inline>
        </w:drawing>
      </w:r>
      <w:r>
        <w:rPr>
          <w:rFonts w:hint="default"/>
          <w:lang w:val="en"/>
        </w:rPr>
        <w:drawing>
          <wp:inline distT="0" distB="0" distL="114300" distR="114300">
            <wp:extent cx="5259705" cy="3721735"/>
            <wp:effectExtent l="0" t="0" r="17145" b="12065"/>
            <wp:docPr id="4" name="图片 4" descr="13-赵店乡-03-乡域国土空间控制线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descr="13-赵店乡-03-乡域国土空间控制线规划图"/>
                    <pic:cNvPicPr>
                      <a:picLocks noChangeAspect="true"/>
                    </pic:cNvPicPr>
                  </pic:nvPicPr>
                  <pic:blipFill>
                    <a:blip r:embed="rId16"/>
                    <a:stretch>
                      <a:fillRect/>
                    </a:stretch>
                  </pic:blipFill>
                  <pic:spPr>
                    <a:xfrm>
                      <a:off x="0" y="0"/>
                      <a:ext cx="5259705" cy="3721735"/>
                    </a:xfrm>
                    <a:prstGeom prst="rect">
                      <a:avLst/>
                    </a:prstGeom>
                  </pic:spPr>
                </pic:pic>
              </a:graphicData>
            </a:graphic>
          </wp:inline>
        </w:drawing>
      </w:r>
      <w:r>
        <w:rPr>
          <w:rFonts w:hint="default"/>
          <w:lang w:val="en"/>
        </w:rPr>
        <w:drawing>
          <wp:inline distT="0" distB="0" distL="114300" distR="114300">
            <wp:extent cx="5259705" cy="3721735"/>
            <wp:effectExtent l="0" t="0" r="17145" b="12065"/>
            <wp:docPr id="3" name="图片 3" descr="13-赵店乡-04-乡域村庄布点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descr="13-赵店乡-04-乡域村庄布点规划图"/>
                    <pic:cNvPicPr>
                      <a:picLocks noChangeAspect="true"/>
                    </pic:cNvPicPr>
                  </pic:nvPicPr>
                  <pic:blipFill>
                    <a:blip r:embed="rId17"/>
                    <a:stretch>
                      <a:fillRect/>
                    </a:stretch>
                  </pic:blipFill>
                  <pic:spPr>
                    <a:xfrm>
                      <a:off x="0" y="0"/>
                      <a:ext cx="5259705" cy="3721735"/>
                    </a:xfrm>
                    <a:prstGeom prst="rect">
                      <a:avLst/>
                    </a:prstGeom>
                  </pic:spPr>
                </pic:pic>
              </a:graphicData>
            </a:graphic>
          </wp:inline>
        </w:drawing>
      </w:r>
      <w:r>
        <w:rPr>
          <w:rFonts w:hint="default"/>
          <w:lang w:val="en"/>
        </w:rPr>
        <w:drawing>
          <wp:inline distT="0" distB="0" distL="114300" distR="114300">
            <wp:extent cx="5259705" cy="3721735"/>
            <wp:effectExtent l="0" t="0" r="17145" b="12065"/>
            <wp:docPr id="2" name="图片 2" descr="13-赵店乡-05-乡域综合交通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descr="13-赵店乡-05-乡域综合交通规划图"/>
                    <pic:cNvPicPr>
                      <a:picLocks noChangeAspect="true"/>
                    </pic:cNvPicPr>
                  </pic:nvPicPr>
                  <pic:blipFill>
                    <a:blip r:embed="rId18"/>
                    <a:stretch>
                      <a:fillRect/>
                    </a:stretch>
                  </pic:blipFill>
                  <pic:spPr>
                    <a:xfrm>
                      <a:off x="0" y="0"/>
                      <a:ext cx="5259705" cy="3721735"/>
                    </a:xfrm>
                    <a:prstGeom prst="rect">
                      <a:avLst/>
                    </a:prstGeom>
                  </pic:spPr>
                </pic:pic>
              </a:graphicData>
            </a:graphic>
          </wp:inline>
        </w:drawing>
      </w:r>
      <w:bookmarkStart w:id="261" w:name="_GoBack"/>
      <w:r>
        <w:rPr>
          <w:rFonts w:hint="default"/>
          <w:lang w:val="en"/>
        </w:rPr>
        <w:drawing>
          <wp:inline distT="0" distB="0" distL="114300" distR="114300">
            <wp:extent cx="5264150" cy="7445375"/>
            <wp:effectExtent l="0" t="0" r="12700" b="3175"/>
            <wp:docPr id="1" name="图片 1" descr="13-赵店乡-06-集镇区国土空间用地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descr="13-赵店乡-06-集镇区国土空间用地规划图"/>
                    <pic:cNvPicPr>
                      <a:picLocks noChangeAspect="true"/>
                    </pic:cNvPicPr>
                  </pic:nvPicPr>
                  <pic:blipFill>
                    <a:blip r:embed="rId19"/>
                    <a:stretch>
                      <a:fillRect/>
                    </a:stretch>
                  </pic:blipFill>
                  <pic:spPr>
                    <a:xfrm>
                      <a:off x="0" y="0"/>
                      <a:ext cx="5264150" cy="7445375"/>
                    </a:xfrm>
                    <a:prstGeom prst="rect">
                      <a:avLst/>
                    </a:prstGeom>
                  </pic:spPr>
                </pic:pic>
              </a:graphicData>
            </a:graphic>
          </wp:inline>
        </w:drawing>
      </w:r>
      <w:bookmarkEnd w:id="261"/>
    </w:p>
    <w:p>
      <w:pPr>
        <w:ind w:firstLine="0" w:firstLineChars="0"/>
      </w:pPr>
    </w:p>
    <w:sectPr>
      <w:headerReference r:id="rId11" w:type="default"/>
      <w:footerReference r:id="rId12" w:type="default"/>
      <w:pgSz w:w="11907" w:h="16839"/>
      <w:pgMar w:top="1440" w:right="1800" w:bottom="1440" w:left="1800" w:header="851" w:footer="680" w:gutter="0"/>
      <w:pgNumType w:start="1"/>
      <w:cols w:space="113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40"/>
      </w:pPr>
      <w:r>
        <w:separator/>
      </w:r>
    </w:p>
  </w:endnote>
  <w:endnote w:type="continuationSeparator" w:id="1">
    <w:p>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_GB2312">
    <w:panose1 w:val="02010609030101010101"/>
    <w:charset w:val="86"/>
    <w:family w:val="modern"/>
    <w:pitch w:val="default"/>
    <w:sig w:usb0="00000001" w:usb1="080E0000" w:usb2="00000000" w:usb3="00000000" w:csb0="00040000" w:csb1="00000000"/>
  </w:font>
  <w:font w:name="方正小标宋简体">
    <w:panose1 w:val="02000000000000000000"/>
    <w:charset w:val="86"/>
    <w:family w:val="auto"/>
    <w:pitch w:val="default"/>
    <w:sig w:usb0="A00002BF" w:usb1="184F6CFA" w:usb2="00000012"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Cambria">
    <w:altName w:val="FreeSerif"/>
    <w:panose1 w:val="02040503050406030204"/>
    <w:charset w:val="00"/>
    <w:family w:val="roman"/>
    <w:pitch w:val="default"/>
    <w:sig w:usb0="00000000" w:usb1="00000000" w:usb2="00000000" w:usb3="00000000" w:csb0="0000019F" w:csb1="00000000"/>
  </w:font>
  <w:font w:name="楷体">
    <w:panose1 w:val="02010609060101010101"/>
    <w:charset w:val="86"/>
    <w:family w:val="modern"/>
    <w:pitch w:val="default"/>
    <w:sig w:usb0="800002BF" w:usb1="38CF7CFA" w:usb2="00000016" w:usb3="00000000" w:csb0="00040001" w:csb1="00000000"/>
  </w:font>
  <w:font w:name="等线">
    <w:altName w:val="华文仿宋"/>
    <w:panose1 w:val="02010600030101010101"/>
    <w:charset w:val="86"/>
    <w:family w:val="auto"/>
    <w:pitch w:val="default"/>
    <w:sig w:usb0="00000000" w:usb1="00000000" w:usb2="00000016" w:usb3="00000000" w:csb0="0004000F" w:csb1="00000000"/>
  </w:font>
  <w:font w:name="等线 Light">
    <w:altName w:val="汉仪仿宋S"/>
    <w:panose1 w:val="00000000000000000000"/>
    <w:charset w:val="86"/>
    <w:family w:val="auto"/>
    <w:pitch w:val="default"/>
    <w:sig w:usb0="00000000" w:usb1="00000000" w:usb2="00000016" w:usb3="00000000" w:csb0="0004000F" w:csb1="00000000"/>
  </w:font>
  <w:font w:name="微软雅黑">
    <w:altName w:val="黑体"/>
    <w:panose1 w:val="020B0503020204020204"/>
    <w:charset w:val="86"/>
    <w:family w:val="swiss"/>
    <w:pitch w:val="default"/>
    <w:sig w:usb0="00000000" w:usb1="00000000" w:usb2="00000016" w:usb3="00000000" w:csb0="0004001F" w:csb1="00000000"/>
  </w:font>
  <w:font w:name="方正书宋_GBK">
    <w:panose1 w:val="02000000000000000000"/>
    <w:charset w:val="86"/>
    <w:family w:val="auto"/>
    <w:pitch w:val="default"/>
    <w:sig w:usb0="00000001" w:usb1="08000000" w:usb2="00000000" w:usb3="00000000" w:csb0="00040000" w:csb1="00000000"/>
  </w:font>
  <w:font w:name="等线">
    <w:altName w:val="汉仪仿宋S"/>
    <w:panose1 w:val="00000000000000000000"/>
    <w:charset w:val="00"/>
    <w:family w:val="auto"/>
    <w:pitch w:val="default"/>
    <w:sig w:usb0="00000000" w:usb1="00000000" w:usb2="00000000" w:usb3="00000000" w:csb0="00000000" w:csb1="00000000"/>
  </w:font>
  <w:font w:name="汉仪仿宋S">
    <w:panose1 w:val="00020600040101000101"/>
    <w:charset w:val="86"/>
    <w:family w:val="auto"/>
    <w:pitch w:val="default"/>
    <w:sig w:usb0="A00002BF" w:usb1="38CF7CFA" w:usb2="00000016" w:usb3="00000000" w:csb0="0004009F" w:csb1="00000000"/>
  </w:font>
  <w:font w:name="DejaVu Sans">
    <w:panose1 w:val="020B0603030804020204"/>
    <w:charset w:val="00"/>
    <w:family w:val="auto"/>
    <w:pitch w:val="default"/>
    <w:sig w:usb0="E7006EFF" w:usb1="D200FDFF" w:usb2="0A246029" w:usb3="0400200C" w:csb0="600001FF" w:csb1="DFFF0000"/>
  </w:font>
  <w:font w:name="Liberation Serif">
    <w:panose1 w:val="02020603050405020304"/>
    <w:charset w:val="00"/>
    <w:family w:val="auto"/>
    <w:pitch w:val="default"/>
    <w:sig w:usb0="A00002AF" w:usb1="500078FB" w:usb2="00000000" w:usb3="00000000" w:csb0="6000009F" w:csb1="DFD70000"/>
  </w:font>
  <w:font w:name="Nimbus Roman No9 L">
    <w:panose1 w:val="00000000000000000000"/>
    <w:charset w:val="00"/>
    <w:family w:val="auto"/>
    <w:pitch w:val="default"/>
    <w:sig w:usb0="00000000" w:usb1="00000000" w:usb2="00000000" w:usb3="00000000" w:csb0="00000000" w:csb1="00000000"/>
  </w:font>
  <w:font w:name="FreeSerif">
    <w:panose1 w:val="02020603050405020304"/>
    <w:charset w:val="00"/>
    <w:family w:val="auto"/>
    <w:pitch w:val="default"/>
    <w:sig w:usb0="E59FAFFF" w:usb1="C200FDFF" w:usb2="43501B29" w:usb3="04000043" w:csb0="600101FF" w:csb1="FFFF0000"/>
  </w:font>
  <w:font w:name="华文仿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line="240" w:lineRule="auto"/>
      <w:ind w:firstLine="0" w:firstLineChars="0"/>
      <w:jc w:val="center"/>
    </w:pPr>
  </w:p>
  <w:p>
    <w:pPr>
      <w:pStyle w:val="20"/>
      <w:spacing w:before="48" w:after="120"/>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48" w:after="12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48" w:after="12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28189101"/>
    </w:sdtPr>
    <w:sdtContent>
      <w:p>
        <w:pPr>
          <w:pStyle w:val="20"/>
          <w:spacing w:line="240" w:lineRule="auto"/>
          <w:ind w:firstLine="0" w:firstLineChars="0"/>
          <w:jc w:val="center"/>
        </w:pPr>
        <w:r>
          <w:rPr>
            <w:rFonts w:ascii="宋体" w:hAnsi="宋体" w:eastAsia="宋体"/>
          </w:rPr>
          <w:fldChar w:fldCharType="begin"/>
        </w:r>
        <w:r>
          <w:rPr>
            <w:rFonts w:ascii="宋体" w:hAnsi="宋体" w:eastAsia="宋体"/>
          </w:rPr>
          <w:instrText xml:space="preserve">PAGE   \* MERGEFORMAT</w:instrText>
        </w:r>
        <w:r>
          <w:rPr>
            <w:rFonts w:ascii="宋体" w:hAnsi="宋体" w:eastAsia="宋体"/>
          </w:rPr>
          <w:fldChar w:fldCharType="separate"/>
        </w:r>
        <w:r>
          <w:rPr>
            <w:rFonts w:ascii="宋体" w:hAnsi="宋体" w:eastAsia="宋体"/>
          </w:rPr>
          <w:t>7</w:t>
        </w:r>
        <w:r>
          <w:rPr>
            <w:rFonts w:ascii="宋体" w:hAnsi="宋体" w:eastAsia="宋体"/>
          </w:rPr>
          <w:fldChar w:fldCharType="end"/>
        </w:r>
      </w:p>
    </w:sdtContent>
  </w:sdt>
  <w:p>
    <w:pPr>
      <w:pStyle w:val="20"/>
      <w:spacing w:before="48" w:after="120"/>
      <w:ind w:firstLineChars="11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640"/>
      </w:pPr>
      <w:r>
        <w:separator/>
      </w:r>
    </w:p>
  </w:footnote>
  <w:footnote w:type="continuationSeparator" w:id="1">
    <w:p>
      <w:pPr>
        <w:spacing w:line="240" w:lineRule="auto"/>
        <w:ind w:firstLine="64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spacing w:before="120" w:after="1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spacing w:before="120" w:after="12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pP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AC20270"/>
    <w:multiLevelType w:val="multilevel"/>
    <w:tmpl w:val="FAC20270"/>
    <w:lvl w:ilvl="0" w:tentative="0">
      <w:start w:val="1"/>
      <w:numFmt w:val="chineseCountingThousand"/>
      <w:suff w:val="space"/>
      <w:lvlText w:val="第%1章 "/>
      <w:lvlJc w:val="left"/>
      <w:pPr>
        <w:ind w:left="0" w:firstLine="0"/>
      </w:pPr>
      <w:rPr>
        <w:rFonts w:hint="eastAsia" w:ascii="黑体" w:hAnsi="Times New Roman" w:eastAsia="黑体" w:cs="黑体"/>
      </w:rPr>
    </w:lvl>
    <w:lvl w:ilvl="1" w:tentative="0">
      <w:start w:val="1"/>
      <w:numFmt w:val="chineseCountingThousand"/>
      <w:suff w:val="space"/>
      <w:lvlText w:val="第%2节 "/>
      <w:lvlJc w:val="left"/>
      <w:pPr>
        <w:ind w:left="0" w:firstLine="0"/>
      </w:pPr>
      <w:rPr>
        <w:rFonts w:hint="eastAsia" w:ascii="黑体" w:hAnsi="Times New Roman" w:eastAsia="黑体" w:cs="黑体"/>
      </w:rPr>
    </w:lvl>
    <w:lvl w:ilvl="2" w:tentative="0">
      <w:start w:val="1"/>
      <w:numFmt w:val="decimal"/>
      <w:isLgl/>
      <w:suff w:val="space"/>
      <w:lvlText w:val="第%3条 "/>
      <w:lvlJc w:val="left"/>
      <w:pPr>
        <w:ind w:left="0" w:firstLine="0"/>
      </w:pPr>
      <w:rPr>
        <w:rFonts w:hint="eastAsia" w:ascii="黑体" w:hAnsi="Times New Roman" w:eastAsia="黑体" w:cs="黑体"/>
      </w:rPr>
    </w:lvl>
    <w:lvl w:ilvl="3" w:tentative="0">
      <w:start w:val="1"/>
      <w:numFmt w:val="decimal"/>
      <w:isLgl/>
      <w:suff w:val="nothing"/>
      <w:lvlText w:val="%4."/>
      <w:lvlJc w:val="left"/>
      <w:pPr>
        <w:ind w:left="-141" w:firstLine="425"/>
      </w:pPr>
    </w:lvl>
    <w:lvl w:ilvl="4" w:tentative="0">
      <w:start w:val="1"/>
      <w:numFmt w:val="decimal"/>
      <w:isLgl/>
      <w:suff w:val="nothing"/>
      <w:lvlText w:val="（%5）"/>
      <w:lvlJc w:val="left"/>
      <w:pPr>
        <w:ind w:left="0" w:firstLine="340"/>
      </w:pPr>
      <w:rPr>
        <w:rFonts w:hint="eastAsia" w:ascii="宋体" w:hAnsi="Times New Roman" w:eastAsia="宋体" w:cs="宋体"/>
      </w:rPr>
    </w:lvl>
    <w:lvl w:ilvl="5" w:tentative="0">
      <w:start w:val="1"/>
      <w:numFmt w:val="decimal"/>
      <w:isLgl/>
      <w:suff w:val="nothing"/>
      <w:lvlText w:val="附表%6："/>
      <w:lvlJc w:val="left"/>
      <w:pPr>
        <w:ind w:left="0" w:firstLine="0"/>
      </w:pPr>
      <w:rPr>
        <w:rFonts w:hint="eastAsia" w:ascii="黑体" w:hAnsi="Times New Roman" w:eastAsia="黑体" w:cs="黑体"/>
        <w:u w:val="none"/>
        <w:lang w:val="en-US"/>
      </w:rPr>
    </w:lvl>
    <w:lvl w:ilvl="6" w:tentative="0">
      <w:start w:val="1"/>
      <w:numFmt w:val="decimal"/>
      <w:isLgl/>
      <w:suff w:val="nothing"/>
      <w:lvlText w:val="（%7）"/>
      <w:lvlJc w:val="left"/>
      <w:pPr>
        <w:ind w:left="0" w:firstLine="340"/>
      </w:pPr>
      <w:rPr>
        <w:rFonts w:hint="eastAsia" w:ascii="宋体" w:hAnsi="Times New Roman" w:eastAsia="宋体" w:cs="宋体"/>
        <w:u w:val="single"/>
      </w:r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abstractNum w:abstractNumId="1">
    <w:nsid w:val="1175581F"/>
    <w:multiLevelType w:val="multilevel"/>
    <w:tmpl w:val="1175581F"/>
    <w:lvl w:ilvl="0" w:tentative="0">
      <w:start w:val="1"/>
      <w:numFmt w:val="chineseCountingThousand"/>
      <w:suff w:val="space"/>
      <w:lvlText w:val="第%1章 "/>
      <w:lvlJc w:val="left"/>
      <w:pPr>
        <w:ind w:left="0" w:firstLine="0"/>
      </w:pPr>
      <w:rPr>
        <w:rFonts w:hint="eastAsia" w:ascii="黑体" w:hAnsi="Times New Roman" w:eastAsia="黑体" w:cs="黑体"/>
      </w:rPr>
    </w:lvl>
    <w:lvl w:ilvl="1" w:tentative="0">
      <w:start w:val="1"/>
      <w:numFmt w:val="chineseCountingThousand"/>
      <w:suff w:val="space"/>
      <w:lvlText w:val="第%2节 "/>
      <w:lvlJc w:val="left"/>
      <w:pPr>
        <w:ind w:left="0" w:firstLine="0"/>
      </w:pPr>
      <w:rPr>
        <w:rFonts w:hint="eastAsia" w:ascii="黑体" w:hAnsi="Times New Roman" w:eastAsia="黑体" w:cs="黑体"/>
        <w:lang w:val="en-US"/>
      </w:rPr>
    </w:lvl>
    <w:lvl w:ilvl="2" w:tentative="0">
      <w:start w:val="1"/>
      <w:numFmt w:val="decimal"/>
      <w:isLgl/>
      <w:suff w:val="space"/>
      <w:lvlText w:val="第%3条 "/>
      <w:lvlJc w:val="left"/>
      <w:pPr>
        <w:ind w:left="0" w:firstLine="0"/>
      </w:pPr>
      <w:rPr>
        <w:rFonts w:hint="eastAsia" w:ascii="黑体" w:hAnsi="Times New Roman" w:eastAsia="黑体" w:cs="黑体"/>
      </w:rPr>
    </w:lvl>
    <w:lvl w:ilvl="3" w:tentative="0">
      <w:start w:val="1"/>
      <w:numFmt w:val="decimal"/>
      <w:isLgl/>
      <w:suff w:val="nothing"/>
      <w:lvlText w:val="%4."/>
      <w:lvlJc w:val="left"/>
      <w:pPr>
        <w:ind w:left="-141" w:firstLine="425"/>
      </w:pPr>
    </w:lvl>
    <w:lvl w:ilvl="4" w:tentative="0">
      <w:start w:val="1"/>
      <w:numFmt w:val="decimal"/>
      <w:isLgl/>
      <w:suff w:val="nothing"/>
      <w:lvlText w:val="（%5）"/>
      <w:lvlJc w:val="left"/>
      <w:pPr>
        <w:ind w:left="0" w:firstLine="340"/>
      </w:pPr>
      <w:rPr>
        <w:rFonts w:hint="eastAsia" w:ascii="宋体" w:hAnsi="Times New Roman" w:eastAsia="宋体" w:cs="宋体"/>
      </w:rPr>
    </w:lvl>
    <w:lvl w:ilvl="5" w:tentative="0">
      <w:start w:val="1"/>
      <w:numFmt w:val="decimal"/>
      <w:isLgl/>
      <w:suff w:val="nothing"/>
      <w:lvlText w:val="附表%6："/>
      <w:lvlJc w:val="left"/>
      <w:pPr>
        <w:ind w:left="8223" w:firstLine="0"/>
      </w:pPr>
      <w:rPr>
        <w:rFonts w:hint="eastAsia" w:ascii="黑体" w:hAnsi="Times New Roman" w:eastAsia="黑体" w:cs="黑体"/>
        <w:u w:val="none"/>
        <w:lang w:val="en-US"/>
      </w:rPr>
    </w:lvl>
    <w:lvl w:ilvl="6" w:tentative="0">
      <w:start w:val="1"/>
      <w:numFmt w:val="decimal"/>
      <w:isLgl/>
      <w:suff w:val="nothing"/>
      <w:lvlText w:val="（%7）"/>
      <w:lvlJc w:val="left"/>
      <w:pPr>
        <w:ind w:left="0" w:firstLine="340"/>
      </w:pPr>
      <w:rPr>
        <w:rFonts w:hint="eastAsia" w:ascii="宋体" w:hAnsi="Times New Roman" w:eastAsia="宋体" w:cs="宋体"/>
        <w:u w:val="single"/>
      </w:r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abstractNum w:abstractNumId="2">
    <w:nsid w:val="78EF3348"/>
    <w:multiLevelType w:val="multilevel"/>
    <w:tmpl w:val="78EF3348"/>
    <w:lvl w:ilvl="0" w:tentative="0">
      <w:start w:val="1"/>
      <w:numFmt w:val="chineseCountingThousand"/>
      <w:pStyle w:val="2"/>
      <w:suff w:val="space"/>
      <w:lvlText w:val="第%1章 "/>
      <w:lvlJc w:val="left"/>
      <w:pPr>
        <w:ind w:left="1135" w:firstLine="0"/>
      </w:pPr>
      <w:rPr>
        <w:rFonts w:hint="eastAsia" w:ascii="方正小标宋简体" w:eastAsia="方正小标宋简体"/>
      </w:rPr>
    </w:lvl>
    <w:lvl w:ilvl="1" w:tentative="0">
      <w:start w:val="1"/>
      <w:numFmt w:val="chineseCountingThousand"/>
      <w:pStyle w:val="3"/>
      <w:suff w:val="space"/>
      <w:lvlText w:val="第%2节 "/>
      <w:lvlJc w:val="left"/>
      <w:pPr>
        <w:ind w:left="1702" w:firstLine="0"/>
      </w:pPr>
      <w:rPr>
        <w:rFonts w:hint="eastAsia" w:ascii="黑体" w:eastAsia="黑体"/>
        <w:lang w:val="en-US"/>
      </w:rPr>
    </w:lvl>
    <w:lvl w:ilvl="2" w:tentative="0">
      <w:start w:val="1"/>
      <w:numFmt w:val="decimal"/>
      <w:lvlRestart w:val="0"/>
      <w:pStyle w:val="4"/>
      <w:isLgl/>
      <w:suff w:val="space"/>
      <w:lvlText w:val="第%3条 "/>
      <w:lvlJc w:val="left"/>
      <w:pPr>
        <w:ind w:left="568" w:firstLine="0"/>
      </w:pPr>
      <w:rPr>
        <w:rFonts w:hint="eastAsia" w:ascii="楷体_GB2312" w:eastAsia="楷体_GB2312"/>
      </w:rPr>
    </w:lvl>
    <w:lvl w:ilvl="3" w:tentative="0">
      <w:start w:val="1"/>
      <w:numFmt w:val="decimal"/>
      <w:pStyle w:val="5"/>
      <w:isLgl/>
      <w:suff w:val="nothing"/>
      <w:lvlText w:val="%4."/>
      <w:lvlJc w:val="left"/>
      <w:pPr>
        <w:ind w:left="-141" w:firstLine="425"/>
      </w:pPr>
      <w:rPr>
        <w:rFonts w:hint="eastAsia"/>
      </w:rPr>
    </w:lvl>
    <w:lvl w:ilvl="4" w:tentative="0">
      <w:start w:val="1"/>
      <w:numFmt w:val="decimal"/>
      <w:pStyle w:val="6"/>
      <w:isLgl/>
      <w:suff w:val="nothing"/>
      <w:lvlText w:val="（%5）"/>
      <w:lvlJc w:val="left"/>
      <w:pPr>
        <w:ind w:left="0" w:firstLine="340"/>
      </w:pPr>
      <w:rPr>
        <w:rFonts w:hint="eastAsia" w:ascii="宋体" w:eastAsia="宋体"/>
      </w:rPr>
    </w:lvl>
    <w:lvl w:ilvl="5" w:tentative="0">
      <w:start w:val="1"/>
      <w:numFmt w:val="decimal"/>
      <w:lvlRestart w:val="1"/>
      <w:isLgl/>
      <w:suff w:val="nothing"/>
      <w:lvlText w:val="附表%6："/>
      <w:lvlJc w:val="left"/>
      <w:pPr>
        <w:ind w:left="0" w:firstLine="0"/>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shd w:val="clear" w:color="000000" w:fill="000000"/>
        <w:vertAlign w:val="baseline"/>
        <w:lang w:val="zh-CN"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14:cntxtalts w14:val="0"/>
      </w:rPr>
    </w:lvl>
    <w:lvl w:ilvl="6" w:tentative="0">
      <w:start w:val="1"/>
      <w:numFmt w:val="decimal"/>
      <w:lvlRestart w:val="4"/>
      <w:isLgl/>
      <w:suff w:val="nothing"/>
      <w:lvlText w:val="（%7）"/>
      <w:lvlJc w:val="left"/>
      <w:pPr>
        <w:ind w:left="0" w:firstLine="340"/>
      </w:pPr>
      <w:rPr>
        <w:rFonts w:hint="eastAsia" w:ascii="宋体" w:eastAsia="宋体"/>
        <w:u w:val="single"/>
      </w:rPr>
    </w:lvl>
    <w:lvl w:ilvl="7" w:tentative="0">
      <w:start w:val="1"/>
      <w:numFmt w:val="decimal"/>
      <w:pStyle w:val="9"/>
      <w:lvlText w:val="%1.%2.%3.%4.%5.%6.%7.%8"/>
      <w:lvlJc w:val="left"/>
      <w:pPr>
        <w:ind w:left="1440" w:hanging="1440"/>
      </w:pPr>
      <w:rPr>
        <w:rFonts w:hint="eastAsia"/>
      </w:rPr>
    </w:lvl>
    <w:lvl w:ilvl="8" w:tentative="0">
      <w:start w:val="1"/>
      <w:numFmt w:val="decimal"/>
      <w:pStyle w:val="10"/>
      <w:lvlText w:val="%1.%2.%3.%4.%5.%6.%7.%8.%9"/>
      <w:lvlJc w:val="left"/>
      <w:pPr>
        <w:ind w:left="1584" w:hanging="1584"/>
      </w:pPr>
      <w:rPr>
        <w:rFonts w:hint="eastAsia"/>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true"/>
  <w:bordersDoNotSurroundFooter w:val="true"/>
  <w:hideSpellingErrors/>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ViOWEyNjAzNzYyNzgyMzM5MmY0MTE1MzYzYmY1MDUifQ=="/>
  </w:docVars>
  <w:rsids>
    <w:rsidRoot w:val="00A67F34"/>
    <w:rsid w:val="00000C06"/>
    <w:rsid w:val="00001621"/>
    <w:rsid w:val="00004538"/>
    <w:rsid w:val="000045B8"/>
    <w:rsid w:val="000046C4"/>
    <w:rsid w:val="00005598"/>
    <w:rsid w:val="00007CD2"/>
    <w:rsid w:val="00010B56"/>
    <w:rsid w:val="00014FFC"/>
    <w:rsid w:val="00015277"/>
    <w:rsid w:val="0001672B"/>
    <w:rsid w:val="000173D5"/>
    <w:rsid w:val="000175E4"/>
    <w:rsid w:val="00021B08"/>
    <w:rsid w:val="000228A2"/>
    <w:rsid w:val="00022C14"/>
    <w:rsid w:val="00023887"/>
    <w:rsid w:val="00024593"/>
    <w:rsid w:val="00024C74"/>
    <w:rsid w:val="00025921"/>
    <w:rsid w:val="00025FB7"/>
    <w:rsid w:val="000263B1"/>
    <w:rsid w:val="00026494"/>
    <w:rsid w:val="00026ED4"/>
    <w:rsid w:val="00027C74"/>
    <w:rsid w:val="00027CDC"/>
    <w:rsid w:val="000300ED"/>
    <w:rsid w:val="000312F7"/>
    <w:rsid w:val="00031CCA"/>
    <w:rsid w:val="00033FEA"/>
    <w:rsid w:val="00034FBB"/>
    <w:rsid w:val="00035379"/>
    <w:rsid w:val="0003547A"/>
    <w:rsid w:val="0003614B"/>
    <w:rsid w:val="000401C8"/>
    <w:rsid w:val="00042AF6"/>
    <w:rsid w:val="00043914"/>
    <w:rsid w:val="00043D07"/>
    <w:rsid w:val="00044269"/>
    <w:rsid w:val="00044A6C"/>
    <w:rsid w:val="00044E71"/>
    <w:rsid w:val="00046257"/>
    <w:rsid w:val="00046BBF"/>
    <w:rsid w:val="00046E46"/>
    <w:rsid w:val="00047001"/>
    <w:rsid w:val="0004772B"/>
    <w:rsid w:val="00047C4D"/>
    <w:rsid w:val="0005003D"/>
    <w:rsid w:val="00051283"/>
    <w:rsid w:val="0005170E"/>
    <w:rsid w:val="000522AA"/>
    <w:rsid w:val="00053AE7"/>
    <w:rsid w:val="00053B04"/>
    <w:rsid w:val="0005560F"/>
    <w:rsid w:val="00056EF1"/>
    <w:rsid w:val="0005723A"/>
    <w:rsid w:val="0005724D"/>
    <w:rsid w:val="00060DAE"/>
    <w:rsid w:val="00063F69"/>
    <w:rsid w:val="000646D8"/>
    <w:rsid w:val="00065C66"/>
    <w:rsid w:val="0006602B"/>
    <w:rsid w:val="00066343"/>
    <w:rsid w:val="000672D0"/>
    <w:rsid w:val="00067C49"/>
    <w:rsid w:val="00067F9B"/>
    <w:rsid w:val="000708D8"/>
    <w:rsid w:val="0007111B"/>
    <w:rsid w:val="00071B6F"/>
    <w:rsid w:val="00072F6E"/>
    <w:rsid w:val="00073CFB"/>
    <w:rsid w:val="000743DC"/>
    <w:rsid w:val="000744A6"/>
    <w:rsid w:val="0007497D"/>
    <w:rsid w:val="00074C23"/>
    <w:rsid w:val="00075670"/>
    <w:rsid w:val="00075AC8"/>
    <w:rsid w:val="00075E93"/>
    <w:rsid w:val="00076004"/>
    <w:rsid w:val="00077498"/>
    <w:rsid w:val="00080705"/>
    <w:rsid w:val="00080CA3"/>
    <w:rsid w:val="00080F04"/>
    <w:rsid w:val="00082E8A"/>
    <w:rsid w:val="00083B0D"/>
    <w:rsid w:val="00084F13"/>
    <w:rsid w:val="00085C91"/>
    <w:rsid w:val="00085E68"/>
    <w:rsid w:val="00085F2C"/>
    <w:rsid w:val="000868E7"/>
    <w:rsid w:val="00087434"/>
    <w:rsid w:val="00087F2A"/>
    <w:rsid w:val="000905F0"/>
    <w:rsid w:val="00091ADE"/>
    <w:rsid w:val="000921DD"/>
    <w:rsid w:val="000945D7"/>
    <w:rsid w:val="00094975"/>
    <w:rsid w:val="000951DD"/>
    <w:rsid w:val="00095B0E"/>
    <w:rsid w:val="00097133"/>
    <w:rsid w:val="00097FB2"/>
    <w:rsid w:val="000A2C0B"/>
    <w:rsid w:val="000A3B02"/>
    <w:rsid w:val="000A4529"/>
    <w:rsid w:val="000A5030"/>
    <w:rsid w:val="000A50E0"/>
    <w:rsid w:val="000A52E7"/>
    <w:rsid w:val="000A534F"/>
    <w:rsid w:val="000A5430"/>
    <w:rsid w:val="000A6201"/>
    <w:rsid w:val="000A6E7D"/>
    <w:rsid w:val="000A74E3"/>
    <w:rsid w:val="000B1B6C"/>
    <w:rsid w:val="000B257F"/>
    <w:rsid w:val="000B2770"/>
    <w:rsid w:val="000B27FF"/>
    <w:rsid w:val="000B3238"/>
    <w:rsid w:val="000B46A4"/>
    <w:rsid w:val="000B53B7"/>
    <w:rsid w:val="000B591B"/>
    <w:rsid w:val="000B5C66"/>
    <w:rsid w:val="000B64A5"/>
    <w:rsid w:val="000B7014"/>
    <w:rsid w:val="000B72AE"/>
    <w:rsid w:val="000C0616"/>
    <w:rsid w:val="000C0C7A"/>
    <w:rsid w:val="000C2A41"/>
    <w:rsid w:val="000C3573"/>
    <w:rsid w:val="000C3D14"/>
    <w:rsid w:val="000C5282"/>
    <w:rsid w:val="000C559D"/>
    <w:rsid w:val="000C5B95"/>
    <w:rsid w:val="000C6324"/>
    <w:rsid w:val="000C78E4"/>
    <w:rsid w:val="000C7DE1"/>
    <w:rsid w:val="000D00FC"/>
    <w:rsid w:val="000D046C"/>
    <w:rsid w:val="000D336A"/>
    <w:rsid w:val="000D34BC"/>
    <w:rsid w:val="000D4DBE"/>
    <w:rsid w:val="000D53BD"/>
    <w:rsid w:val="000D5D58"/>
    <w:rsid w:val="000D6692"/>
    <w:rsid w:val="000E0444"/>
    <w:rsid w:val="000E0F8D"/>
    <w:rsid w:val="000E1E0F"/>
    <w:rsid w:val="000E22D7"/>
    <w:rsid w:val="000E2A07"/>
    <w:rsid w:val="000E2A20"/>
    <w:rsid w:val="000E324F"/>
    <w:rsid w:val="000E35FD"/>
    <w:rsid w:val="000E4456"/>
    <w:rsid w:val="000E498F"/>
    <w:rsid w:val="000E5601"/>
    <w:rsid w:val="000E5D6D"/>
    <w:rsid w:val="000E6D24"/>
    <w:rsid w:val="000E7FEF"/>
    <w:rsid w:val="000F011D"/>
    <w:rsid w:val="000F04B5"/>
    <w:rsid w:val="000F0809"/>
    <w:rsid w:val="000F0AFD"/>
    <w:rsid w:val="000F1ED6"/>
    <w:rsid w:val="000F2221"/>
    <w:rsid w:val="000F2547"/>
    <w:rsid w:val="000F2B37"/>
    <w:rsid w:val="000F2E81"/>
    <w:rsid w:val="000F302E"/>
    <w:rsid w:val="000F3B1E"/>
    <w:rsid w:val="000F5DA8"/>
    <w:rsid w:val="000F659E"/>
    <w:rsid w:val="000F6939"/>
    <w:rsid w:val="000F6CCC"/>
    <w:rsid w:val="000F7E30"/>
    <w:rsid w:val="001004B9"/>
    <w:rsid w:val="00100A59"/>
    <w:rsid w:val="00101788"/>
    <w:rsid w:val="001022DD"/>
    <w:rsid w:val="00102D32"/>
    <w:rsid w:val="00103A77"/>
    <w:rsid w:val="00104C7B"/>
    <w:rsid w:val="00105261"/>
    <w:rsid w:val="001053A7"/>
    <w:rsid w:val="00105DBB"/>
    <w:rsid w:val="00106AE3"/>
    <w:rsid w:val="00110059"/>
    <w:rsid w:val="001105F1"/>
    <w:rsid w:val="00110ED6"/>
    <w:rsid w:val="00111100"/>
    <w:rsid w:val="001129D8"/>
    <w:rsid w:val="00113B52"/>
    <w:rsid w:val="00113C92"/>
    <w:rsid w:val="00114E92"/>
    <w:rsid w:val="00116D01"/>
    <w:rsid w:val="00120488"/>
    <w:rsid w:val="001204CF"/>
    <w:rsid w:val="00120A43"/>
    <w:rsid w:val="00120A85"/>
    <w:rsid w:val="001212B2"/>
    <w:rsid w:val="0012136A"/>
    <w:rsid w:val="001216CE"/>
    <w:rsid w:val="00121CDA"/>
    <w:rsid w:val="00122DC8"/>
    <w:rsid w:val="00125070"/>
    <w:rsid w:val="00125577"/>
    <w:rsid w:val="001255B3"/>
    <w:rsid w:val="001265A8"/>
    <w:rsid w:val="0012676D"/>
    <w:rsid w:val="00127388"/>
    <w:rsid w:val="001276D2"/>
    <w:rsid w:val="00130C20"/>
    <w:rsid w:val="00130F68"/>
    <w:rsid w:val="001317CE"/>
    <w:rsid w:val="0013180C"/>
    <w:rsid w:val="00131983"/>
    <w:rsid w:val="00131CE1"/>
    <w:rsid w:val="0013381F"/>
    <w:rsid w:val="00134387"/>
    <w:rsid w:val="00136B98"/>
    <w:rsid w:val="00137CBC"/>
    <w:rsid w:val="00140D28"/>
    <w:rsid w:val="00141074"/>
    <w:rsid w:val="001419C1"/>
    <w:rsid w:val="00142730"/>
    <w:rsid w:val="00143B0C"/>
    <w:rsid w:val="00143E65"/>
    <w:rsid w:val="0014413C"/>
    <w:rsid w:val="00144466"/>
    <w:rsid w:val="001451AB"/>
    <w:rsid w:val="00145F08"/>
    <w:rsid w:val="001469C5"/>
    <w:rsid w:val="00147AEC"/>
    <w:rsid w:val="00150074"/>
    <w:rsid w:val="00150232"/>
    <w:rsid w:val="00152322"/>
    <w:rsid w:val="00152930"/>
    <w:rsid w:val="001548F2"/>
    <w:rsid w:val="00154F53"/>
    <w:rsid w:val="00156A88"/>
    <w:rsid w:val="0015738E"/>
    <w:rsid w:val="0016018D"/>
    <w:rsid w:val="0016071B"/>
    <w:rsid w:val="00160A7E"/>
    <w:rsid w:val="001617AD"/>
    <w:rsid w:val="00161BD4"/>
    <w:rsid w:val="00161CCC"/>
    <w:rsid w:val="001660B7"/>
    <w:rsid w:val="001674E7"/>
    <w:rsid w:val="00167698"/>
    <w:rsid w:val="00170A73"/>
    <w:rsid w:val="00170F66"/>
    <w:rsid w:val="00171038"/>
    <w:rsid w:val="0017172C"/>
    <w:rsid w:val="00171AAE"/>
    <w:rsid w:val="00172637"/>
    <w:rsid w:val="001737F0"/>
    <w:rsid w:val="00173B83"/>
    <w:rsid w:val="001756E1"/>
    <w:rsid w:val="001807AA"/>
    <w:rsid w:val="0018107B"/>
    <w:rsid w:val="00181721"/>
    <w:rsid w:val="001818EE"/>
    <w:rsid w:val="001830A0"/>
    <w:rsid w:val="00183912"/>
    <w:rsid w:val="0018447A"/>
    <w:rsid w:val="00185303"/>
    <w:rsid w:val="001870AF"/>
    <w:rsid w:val="001872D8"/>
    <w:rsid w:val="00187C7C"/>
    <w:rsid w:val="00191C19"/>
    <w:rsid w:val="0019232D"/>
    <w:rsid w:val="001935F5"/>
    <w:rsid w:val="001937E5"/>
    <w:rsid w:val="00194C1F"/>
    <w:rsid w:val="00194D15"/>
    <w:rsid w:val="00196C51"/>
    <w:rsid w:val="00197EB3"/>
    <w:rsid w:val="001A0300"/>
    <w:rsid w:val="001A074B"/>
    <w:rsid w:val="001A1369"/>
    <w:rsid w:val="001A1B39"/>
    <w:rsid w:val="001A1F69"/>
    <w:rsid w:val="001A4ECF"/>
    <w:rsid w:val="001A5251"/>
    <w:rsid w:val="001A5315"/>
    <w:rsid w:val="001B01F9"/>
    <w:rsid w:val="001B0309"/>
    <w:rsid w:val="001B1BF6"/>
    <w:rsid w:val="001B337A"/>
    <w:rsid w:val="001B37ED"/>
    <w:rsid w:val="001B5251"/>
    <w:rsid w:val="001B5628"/>
    <w:rsid w:val="001B6117"/>
    <w:rsid w:val="001B621A"/>
    <w:rsid w:val="001B73C7"/>
    <w:rsid w:val="001C0BB2"/>
    <w:rsid w:val="001C0F1D"/>
    <w:rsid w:val="001C1416"/>
    <w:rsid w:val="001C1AAB"/>
    <w:rsid w:val="001C216E"/>
    <w:rsid w:val="001C28BC"/>
    <w:rsid w:val="001C2B6B"/>
    <w:rsid w:val="001C4927"/>
    <w:rsid w:val="001C68A6"/>
    <w:rsid w:val="001C7E81"/>
    <w:rsid w:val="001D0529"/>
    <w:rsid w:val="001D0D58"/>
    <w:rsid w:val="001D1506"/>
    <w:rsid w:val="001D208F"/>
    <w:rsid w:val="001D3525"/>
    <w:rsid w:val="001D35C4"/>
    <w:rsid w:val="001D385D"/>
    <w:rsid w:val="001D4B6D"/>
    <w:rsid w:val="001D5261"/>
    <w:rsid w:val="001D6832"/>
    <w:rsid w:val="001D719B"/>
    <w:rsid w:val="001D7F34"/>
    <w:rsid w:val="001E14DD"/>
    <w:rsid w:val="001E186A"/>
    <w:rsid w:val="001E2A0F"/>
    <w:rsid w:val="001E3503"/>
    <w:rsid w:val="001E359F"/>
    <w:rsid w:val="001E3A75"/>
    <w:rsid w:val="001E436F"/>
    <w:rsid w:val="001E44D5"/>
    <w:rsid w:val="001E54F2"/>
    <w:rsid w:val="001E71D9"/>
    <w:rsid w:val="001E7955"/>
    <w:rsid w:val="001E7D07"/>
    <w:rsid w:val="001F03E4"/>
    <w:rsid w:val="001F0DB9"/>
    <w:rsid w:val="001F111E"/>
    <w:rsid w:val="001F189C"/>
    <w:rsid w:val="001F2214"/>
    <w:rsid w:val="001F2E42"/>
    <w:rsid w:val="001F5C6A"/>
    <w:rsid w:val="001F5D26"/>
    <w:rsid w:val="001F614A"/>
    <w:rsid w:val="001F749F"/>
    <w:rsid w:val="001F7A86"/>
    <w:rsid w:val="00200FBD"/>
    <w:rsid w:val="00201631"/>
    <w:rsid w:val="00201F70"/>
    <w:rsid w:val="002023C0"/>
    <w:rsid w:val="0020243D"/>
    <w:rsid w:val="00202D2C"/>
    <w:rsid w:val="002040CD"/>
    <w:rsid w:val="00204C4D"/>
    <w:rsid w:val="00206376"/>
    <w:rsid w:val="0020668E"/>
    <w:rsid w:val="002078F2"/>
    <w:rsid w:val="00210701"/>
    <w:rsid w:val="00210B2B"/>
    <w:rsid w:val="0021225F"/>
    <w:rsid w:val="00212C80"/>
    <w:rsid w:val="00212ECA"/>
    <w:rsid w:val="0021329A"/>
    <w:rsid w:val="00213801"/>
    <w:rsid w:val="00213AA9"/>
    <w:rsid w:val="002143B3"/>
    <w:rsid w:val="00215079"/>
    <w:rsid w:val="002153F1"/>
    <w:rsid w:val="00215A9A"/>
    <w:rsid w:val="00215F98"/>
    <w:rsid w:val="002174F4"/>
    <w:rsid w:val="0022036E"/>
    <w:rsid w:val="002208D0"/>
    <w:rsid w:val="00220B43"/>
    <w:rsid w:val="0022120E"/>
    <w:rsid w:val="00221961"/>
    <w:rsid w:val="00221E4E"/>
    <w:rsid w:val="00224EF3"/>
    <w:rsid w:val="0022590C"/>
    <w:rsid w:val="00225B9A"/>
    <w:rsid w:val="00226AA9"/>
    <w:rsid w:val="00226B3C"/>
    <w:rsid w:val="00226B4A"/>
    <w:rsid w:val="00227032"/>
    <w:rsid w:val="0022722C"/>
    <w:rsid w:val="0022746F"/>
    <w:rsid w:val="00227754"/>
    <w:rsid w:val="00227F15"/>
    <w:rsid w:val="002318CC"/>
    <w:rsid w:val="0023322C"/>
    <w:rsid w:val="00234BF6"/>
    <w:rsid w:val="002357AA"/>
    <w:rsid w:val="00235B3B"/>
    <w:rsid w:val="00235EFC"/>
    <w:rsid w:val="00237CD9"/>
    <w:rsid w:val="00240413"/>
    <w:rsid w:val="002413EE"/>
    <w:rsid w:val="0024154E"/>
    <w:rsid w:val="00241DCC"/>
    <w:rsid w:val="00242391"/>
    <w:rsid w:val="002466B6"/>
    <w:rsid w:val="002519E5"/>
    <w:rsid w:val="002522BE"/>
    <w:rsid w:val="0025290E"/>
    <w:rsid w:val="00253CAE"/>
    <w:rsid w:val="0025432E"/>
    <w:rsid w:val="00256485"/>
    <w:rsid w:val="002579A8"/>
    <w:rsid w:val="00260EA9"/>
    <w:rsid w:val="002611BC"/>
    <w:rsid w:val="00261A81"/>
    <w:rsid w:val="0026390F"/>
    <w:rsid w:val="00263D89"/>
    <w:rsid w:val="002649E9"/>
    <w:rsid w:val="00266A10"/>
    <w:rsid w:val="0026767C"/>
    <w:rsid w:val="00267805"/>
    <w:rsid w:val="0027000F"/>
    <w:rsid w:val="002715A5"/>
    <w:rsid w:val="00271E06"/>
    <w:rsid w:val="00272763"/>
    <w:rsid w:val="002730E2"/>
    <w:rsid w:val="0027483B"/>
    <w:rsid w:val="00274AB8"/>
    <w:rsid w:val="00275466"/>
    <w:rsid w:val="002809B3"/>
    <w:rsid w:val="00280A41"/>
    <w:rsid w:val="00282A78"/>
    <w:rsid w:val="00284F77"/>
    <w:rsid w:val="00285171"/>
    <w:rsid w:val="002858A9"/>
    <w:rsid w:val="00286B85"/>
    <w:rsid w:val="00287750"/>
    <w:rsid w:val="002909DB"/>
    <w:rsid w:val="002927A2"/>
    <w:rsid w:val="00293283"/>
    <w:rsid w:val="00293304"/>
    <w:rsid w:val="00294EE5"/>
    <w:rsid w:val="00294FE5"/>
    <w:rsid w:val="0029563F"/>
    <w:rsid w:val="0029594D"/>
    <w:rsid w:val="00295CF8"/>
    <w:rsid w:val="00296C9A"/>
    <w:rsid w:val="00296F9B"/>
    <w:rsid w:val="002971CF"/>
    <w:rsid w:val="00297F42"/>
    <w:rsid w:val="002A0B80"/>
    <w:rsid w:val="002A0F24"/>
    <w:rsid w:val="002A34BA"/>
    <w:rsid w:val="002A7C4B"/>
    <w:rsid w:val="002B077C"/>
    <w:rsid w:val="002B0B71"/>
    <w:rsid w:val="002B1F62"/>
    <w:rsid w:val="002B2015"/>
    <w:rsid w:val="002B3BBA"/>
    <w:rsid w:val="002B44B7"/>
    <w:rsid w:val="002B50D5"/>
    <w:rsid w:val="002B5A99"/>
    <w:rsid w:val="002B5C8C"/>
    <w:rsid w:val="002B5FF8"/>
    <w:rsid w:val="002B6573"/>
    <w:rsid w:val="002B6DBA"/>
    <w:rsid w:val="002B6F86"/>
    <w:rsid w:val="002B7317"/>
    <w:rsid w:val="002B7AA6"/>
    <w:rsid w:val="002B7E47"/>
    <w:rsid w:val="002C11EE"/>
    <w:rsid w:val="002C2A13"/>
    <w:rsid w:val="002C2E92"/>
    <w:rsid w:val="002C3825"/>
    <w:rsid w:val="002C398A"/>
    <w:rsid w:val="002C3FB6"/>
    <w:rsid w:val="002C42F2"/>
    <w:rsid w:val="002C51F4"/>
    <w:rsid w:val="002C6201"/>
    <w:rsid w:val="002C6630"/>
    <w:rsid w:val="002C6673"/>
    <w:rsid w:val="002C719A"/>
    <w:rsid w:val="002C786B"/>
    <w:rsid w:val="002C7CBE"/>
    <w:rsid w:val="002D05EF"/>
    <w:rsid w:val="002D06EE"/>
    <w:rsid w:val="002D0767"/>
    <w:rsid w:val="002D157C"/>
    <w:rsid w:val="002D1C3F"/>
    <w:rsid w:val="002D278A"/>
    <w:rsid w:val="002D36AE"/>
    <w:rsid w:val="002D3839"/>
    <w:rsid w:val="002D3FFB"/>
    <w:rsid w:val="002D5611"/>
    <w:rsid w:val="002D6047"/>
    <w:rsid w:val="002D6C30"/>
    <w:rsid w:val="002D6E59"/>
    <w:rsid w:val="002D7CD8"/>
    <w:rsid w:val="002D7FB1"/>
    <w:rsid w:val="002E00A6"/>
    <w:rsid w:val="002E0B3B"/>
    <w:rsid w:val="002E0F64"/>
    <w:rsid w:val="002E109B"/>
    <w:rsid w:val="002E2692"/>
    <w:rsid w:val="002E3241"/>
    <w:rsid w:val="002E3399"/>
    <w:rsid w:val="002E38BB"/>
    <w:rsid w:val="002E612C"/>
    <w:rsid w:val="002E649B"/>
    <w:rsid w:val="002E6677"/>
    <w:rsid w:val="002E7314"/>
    <w:rsid w:val="002E7F35"/>
    <w:rsid w:val="002F1618"/>
    <w:rsid w:val="002F1D37"/>
    <w:rsid w:val="002F36E8"/>
    <w:rsid w:val="002F3735"/>
    <w:rsid w:val="002F529A"/>
    <w:rsid w:val="002F5BB5"/>
    <w:rsid w:val="002F6661"/>
    <w:rsid w:val="002F6D93"/>
    <w:rsid w:val="002F7EE7"/>
    <w:rsid w:val="0030002A"/>
    <w:rsid w:val="003008FB"/>
    <w:rsid w:val="00300F45"/>
    <w:rsid w:val="003013C3"/>
    <w:rsid w:val="003014F3"/>
    <w:rsid w:val="00301643"/>
    <w:rsid w:val="00301649"/>
    <w:rsid w:val="0030170C"/>
    <w:rsid w:val="00301A91"/>
    <w:rsid w:val="0030248B"/>
    <w:rsid w:val="00303548"/>
    <w:rsid w:val="00303E87"/>
    <w:rsid w:val="003045A0"/>
    <w:rsid w:val="00305B38"/>
    <w:rsid w:val="00306DA5"/>
    <w:rsid w:val="003074D3"/>
    <w:rsid w:val="003104F2"/>
    <w:rsid w:val="00311CA9"/>
    <w:rsid w:val="0031292D"/>
    <w:rsid w:val="0031367A"/>
    <w:rsid w:val="003137CF"/>
    <w:rsid w:val="00313A14"/>
    <w:rsid w:val="00313AE2"/>
    <w:rsid w:val="003146D1"/>
    <w:rsid w:val="0031528B"/>
    <w:rsid w:val="0031556D"/>
    <w:rsid w:val="00315DB0"/>
    <w:rsid w:val="0031620E"/>
    <w:rsid w:val="003172BE"/>
    <w:rsid w:val="00320E3F"/>
    <w:rsid w:val="00322AAC"/>
    <w:rsid w:val="00322C47"/>
    <w:rsid w:val="00322E71"/>
    <w:rsid w:val="003230B5"/>
    <w:rsid w:val="00323FE4"/>
    <w:rsid w:val="003240BE"/>
    <w:rsid w:val="003243A5"/>
    <w:rsid w:val="00324F0C"/>
    <w:rsid w:val="003257DB"/>
    <w:rsid w:val="00325EDE"/>
    <w:rsid w:val="00326DBA"/>
    <w:rsid w:val="0033096C"/>
    <w:rsid w:val="00330AEE"/>
    <w:rsid w:val="00331549"/>
    <w:rsid w:val="00331604"/>
    <w:rsid w:val="00332088"/>
    <w:rsid w:val="00333450"/>
    <w:rsid w:val="003335ED"/>
    <w:rsid w:val="00333E51"/>
    <w:rsid w:val="00333EC9"/>
    <w:rsid w:val="00334478"/>
    <w:rsid w:val="003344E5"/>
    <w:rsid w:val="00341862"/>
    <w:rsid w:val="0034203C"/>
    <w:rsid w:val="00342ED0"/>
    <w:rsid w:val="00343111"/>
    <w:rsid w:val="00344BB4"/>
    <w:rsid w:val="003457C2"/>
    <w:rsid w:val="00345BAA"/>
    <w:rsid w:val="00346168"/>
    <w:rsid w:val="003479E8"/>
    <w:rsid w:val="00347BFE"/>
    <w:rsid w:val="0035227D"/>
    <w:rsid w:val="003533FF"/>
    <w:rsid w:val="00353EB6"/>
    <w:rsid w:val="0035508E"/>
    <w:rsid w:val="00355BA4"/>
    <w:rsid w:val="00355DE7"/>
    <w:rsid w:val="003605D5"/>
    <w:rsid w:val="0036078C"/>
    <w:rsid w:val="00361606"/>
    <w:rsid w:val="0036180A"/>
    <w:rsid w:val="00361890"/>
    <w:rsid w:val="00361EC8"/>
    <w:rsid w:val="00362090"/>
    <w:rsid w:val="00363503"/>
    <w:rsid w:val="00364050"/>
    <w:rsid w:val="0036413A"/>
    <w:rsid w:val="0036493E"/>
    <w:rsid w:val="00364EA4"/>
    <w:rsid w:val="00365625"/>
    <w:rsid w:val="003715FA"/>
    <w:rsid w:val="00371710"/>
    <w:rsid w:val="00372354"/>
    <w:rsid w:val="003723B0"/>
    <w:rsid w:val="00372E59"/>
    <w:rsid w:val="00373AFF"/>
    <w:rsid w:val="00373D30"/>
    <w:rsid w:val="003747BD"/>
    <w:rsid w:val="003757D0"/>
    <w:rsid w:val="00375CB6"/>
    <w:rsid w:val="003777F2"/>
    <w:rsid w:val="003819CB"/>
    <w:rsid w:val="00381A96"/>
    <w:rsid w:val="00383792"/>
    <w:rsid w:val="00383ED6"/>
    <w:rsid w:val="00385823"/>
    <w:rsid w:val="0038737D"/>
    <w:rsid w:val="00390487"/>
    <w:rsid w:val="003928A6"/>
    <w:rsid w:val="00392949"/>
    <w:rsid w:val="00393988"/>
    <w:rsid w:val="00393D8A"/>
    <w:rsid w:val="00394A69"/>
    <w:rsid w:val="00394CC7"/>
    <w:rsid w:val="003950B7"/>
    <w:rsid w:val="00395BA6"/>
    <w:rsid w:val="00396205"/>
    <w:rsid w:val="0039649B"/>
    <w:rsid w:val="0039775C"/>
    <w:rsid w:val="003978C3"/>
    <w:rsid w:val="00397B19"/>
    <w:rsid w:val="00397E6B"/>
    <w:rsid w:val="00397F96"/>
    <w:rsid w:val="003A04CD"/>
    <w:rsid w:val="003A059D"/>
    <w:rsid w:val="003A07B0"/>
    <w:rsid w:val="003A114F"/>
    <w:rsid w:val="003A299B"/>
    <w:rsid w:val="003A38AA"/>
    <w:rsid w:val="003A39DD"/>
    <w:rsid w:val="003A535B"/>
    <w:rsid w:val="003A5419"/>
    <w:rsid w:val="003A596E"/>
    <w:rsid w:val="003B0168"/>
    <w:rsid w:val="003B04E8"/>
    <w:rsid w:val="003B079D"/>
    <w:rsid w:val="003B0873"/>
    <w:rsid w:val="003B0E02"/>
    <w:rsid w:val="003B2BD1"/>
    <w:rsid w:val="003B2DED"/>
    <w:rsid w:val="003B4B9B"/>
    <w:rsid w:val="003B52B9"/>
    <w:rsid w:val="003B60A1"/>
    <w:rsid w:val="003B6113"/>
    <w:rsid w:val="003B64C7"/>
    <w:rsid w:val="003B6FE0"/>
    <w:rsid w:val="003B78BD"/>
    <w:rsid w:val="003C0206"/>
    <w:rsid w:val="003C02DA"/>
    <w:rsid w:val="003C1846"/>
    <w:rsid w:val="003C1D78"/>
    <w:rsid w:val="003C2CDB"/>
    <w:rsid w:val="003C38B5"/>
    <w:rsid w:val="003C3E17"/>
    <w:rsid w:val="003C3E5B"/>
    <w:rsid w:val="003C445A"/>
    <w:rsid w:val="003C545E"/>
    <w:rsid w:val="003C54EF"/>
    <w:rsid w:val="003C55CE"/>
    <w:rsid w:val="003C5616"/>
    <w:rsid w:val="003C6B26"/>
    <w:rsid w:val="003C72FC"/>
    <w:rsid w:val="003D00C7"/>
    <w:rsid w:val="003D058C"/>
    <w:rsid w:val="003D0AD5"/>
    <w:rsid w:val="003D157E"/>
    <w:rsid w:val="003D2089"/>
    <w:rsid w:val="003D256E"/>
    <w:rsid w:val="003D35DA"/>
    <w:rsid w:val="003D3613"/>
    <w:rsid w:val="003D3EE8"/>
    <w:rsid w:val="003D4BF0"/>
    <w:rsid w:val="003D6530"/>
    <w:rsid w:val="003D6C0D"/>
    <w:rsid w:val="003D7D09"/>
    <w:rsid w:val="003D7F97"/>
    <w:rsid w:val="003E1257"/>
    <w:rsid w:val="003E1A59"/>
    <w:rsid w:val="003E261A"/>
    <w:rsid w:val="003E2CD9"/>
    <w:rsid w:val="003E31CE"/>
    <w:rsid w:val="003E3A2B"/>
    <w:rsid w:val="003E4235"/>
    <w:rsid w:val="003E46EF"/>
    <w:rsid w:val="003E51C3"/>
    <w:rsid w:val="003E5E33"/>
    <w:rsid w:val="003E61FC"/>
    <w:rsid w:val="003F00D2"/>
    <w:rsid w:val="003F0397"/>
    <w:rsid w:val="003F0869"/>
    <w:rsid w:val="003F177F"/>
    <w:rsid w:val="003F22B0"/>
    <w:rsid w:val="003F24C5"/>
    <w:rsid w:val="003F2713"/>
    <w:rsid w:val="003F2FCF"/>
    <w:rsid w:val="003F30F5"/>
    <w:rsid w:val="003F329A"/>
    <w:rsid w:val="003F353C"/>
    <w:rsid w:val="003F3815"/>
    <w:rsid w:val="003F3CDE"/>
    <w:rsid w:val="003F5AFF"/>
    <w:rsid w:val="003F67FF"/>
    <w:rsid w:val="003F6B11"/>
    <w:rsid w:val="003F7648"/>
    <w:rsid w:val="00400878"/>
    <w:rsid w:val="00401497"/>
    <w:rsid w:val="004015C8"/>
    <w:rsid w:val="00402217"/>
    <w:rsid w:val="00402A62"/>
    <w:rsid w:val="00403BB6"/>
    <w:rsid w:val="00404033"/>
    <w:rsid w:val="004052DE"/>
    <w:rsid w:val="0040535C"/>
    <w:rsid w:val="00405CE5"/>
    <w:rsid w:val="00405DEB"/>
    <w:rsid w:val="00406085"/>
    <w:rsid w:val="00406E3A"/>
    <w:rsid w:val="00410E74"/>
    <w:rsid w:val="00411589"/>
    <w:rsid w:val="00411D37"/>
    <w:rsid w:val="00411DDD"/>
    <w:rsid w:val="00413292"/>
    <w:rsid w:val="00413E45"/>
    <w:rsid w:val="0041436E"/>
    <w:rsid w:val="0041582C"/>
    <w:rsid w:val="0041650A"/>
    <w:rsid w:val="00416D1D"/>
    <w:rsid w:val="00417A28"/>
    <w:rsid w:val="00421E2B"/>
    <w:rsid w:val="00422025"/>
    <w:rsid w:val="0042204D"/>
    <w:rsid w:val="0042237D"/>
    <w:rsid w:val="0042350B"/>
    <w:rsid w:val="004239C3"/>
    <w:rsid w:val="00424578"/>
    <w:rsid w:val="00424DE1"/>
    <w:rsid w:val="0042608D"/>
    <w:rsid w:val="00427916"/>
    <w:rsid w:val="00427EE6"/>
    <w:rsid w:val="00431F22"/>
    <w:rsid w:val="00433217"/>
    <w:rsid w:val="004353C1"/>
    <w:rsid w:val="00436D72"/>
    <w:rsid w:val="00437936"/>
    <w:rsid w:val="004406DF"/>
    <w:rsid w:val="0044075D"/>
    <w:rsid w:val="004428C6"/>
    <w:rsid w:val="004429D3"/>
    <w:rsid w:val="004429FC"/>
    <w:rsid w:val="00442CAA"/>
    <w:rsid w:val="00444C58"/>
    <w:rsid w:val="00445125"/>
    <w:rsid w:val="00445CA2"/>
    <w:rsid w:val="00446B13"/>
    <w:rsid w:val="004473DB"/>
    <w:rsid w:val="00447D3F"/>
    <w:rsid w:val="00450F69"/>
    <w:rsid w:val="00451163"/>
    <w:rsid w:val="00453CB9"/>
    <w:rsid w:val="00453D17"/>
    <w:rsid w:val="00454BB3"/>
    <w:rsid w:val="00455B41"/>
    <w:rsid w:val="00455B7B"/>
    <w:rsid w:val="004563BB"/>
    <w:rsid w:val="00457530"/>
    <w:rsid w:val="00457668"/>
    <w:rsid w:val="004576AC"/>
    <w:rsid w:val="00460E75"/>
    <w:rsid w:val="00461586"/>
    <w:rsid w:val="00463148"/>
    <w:rsid w:val="00463153"/>
    <w:rsid w:val="00463983"/>
    <w:rsid w:val="00463D68"/>
    <w:rsid w:val="004640C5"/>
    <w:rsid w:val="00465924"/>
    <w:rsid w:val="00466189"/>
    <w:rsid w:val="00466F2F"/>
    <w:rsid w:val="00467D06"/>
    <w:rsid w:val="00472422"/>
    <w:rsid w:val="00472430"/>
    <w:rsid w:val="004729FE"/>
    <w:rsid w:val="00473711"/>
    <w:rsid w:val="00474027"/>
    <w:rsid w:val="0047419C"/>
    <w:rsid w:val="00474445"/>
    <w:rsid w:val="00474F0B"/>
    <w:rsid w:val="004752DD"/>
    <w:rsid w:val="00475B27"/>
    <w:rsid w:val="00476A7E"/>
    <w:rsid w:val="00476D75"/>
    <w:rsid w:val="00476F5B"/>
    <w:rsid w:val="00477649"/>
    <w:rsid w:val="00480090"/>
    <w:rsid w:val="004811C8"/>
    <w:rsid w:val="00481207"/>
    <w:rsid w:val="0048136F"/>
    <w:rsid w:val="00481B2F"/>
    <w:rsid w:val="00482721"/>
    <w:rsid w:val="00482BB8"/>
    <w:rsid w:val="00484529"/>
    <w:rsid w:val="00484C57"/>
    <w:rsid w:val="00485AFD"/>
    <w:rsid w:val="00491D05"/>
    <w:rsid w:val="0049319B"/>
    <w:rsid w:val="0049478D"/>
    <w:rsid w:val="00495008"/>
    <w:rsid w:val="0049507C"/>
    <w:rsid w:val="004971C9"/>
    <w:rsid w:val="004974D0"/>
    <w:rsid w:val="004A0A0B"/>
    <w:rsid w:val="004A111B"/>
    <w:rsid w:val="004A1477"/>
    <w:rsid w:val="004A2F7B"/>
    <w:rsid w:val="004A3B63"/>
    <w:rsid w:val="004A4DDE"/>
    <w:rsid w:val="004A4EFE"/>
    <w:rsid w:val="004A5FC1"/>
    <w:rsid w:val="004A6049"/>
    <w:rsid w:val="004A7ED5"/>
    <w:rsid w:val="004B0176"/>
    <w:rsid w:val="004B45EC"/>
    <w:rsid w:val="004B5146"/>
    <w:rsid w:val="004B57A2"/>
    <w:rsid w:val="004B57D8"/>
    <w:rsid w:val="004B6008"/>
    <w:rsid w:val="004B7133"/>
    <w:rsid w:val="004B7991"/>
    <w:rsid w:val="004B7FA1"/>
    <w:rsid w:val="004C0079"/>
    <w:rsid w:val="004C0375"/>
    <w:rsid w:val="004C0463"/>
    <w:rsid w:val="004C1211"/>
    <w:rsid w:val="004C18D6"/>
    <w:rsid w:val="004C21DE"/>
    <w:rsid w:val="004C227D"/>
    <w:rsid w:val="004C3DE3"/>
    <w:rsid w:val="004C46AF"/>
    <w:rsid w:val="004C4A5C"/>
    <w:rsid w:val="004C4C19"/>
    <w:rsid w:val="004C4DE6"/>
    <w:rsid w:val="004C58B8"/>
    <w:rsid w:val="004C5A67"/>
    <w:rsid w:val="004C5DD9"/>
    <w:rsid w:val="004C7888"/>
    <w:rsid w:val="004C7967"/>
    <w:rsid w:val="004C7F19"/>
    <w:rsid w:val="004D0140"/>
    <w:rsid w:val="004D11F1"/>
    <w:rsid w:val="004D347D"/>
    <w:rsid w:val="004D3BF9"/>
    <w:rsid w:val="004D4A9D"/>
    <w:rsid w:val="004D509D"/>
    <w:rsid w:val="004D61AC"/>
    <w:rsid w:val="004D6376"/>
    <w:rsid w:val="004D78C7"/>
    <w:rsid w:val="004E1BA7"/>
    <w:rsid w:val="004E22C8"/>
    <w:rsid w:val="004E25C8"/>
    <w:rsid w:val="004E2B64"/>
    <w:rsid w:val="004E302D"/>
    <w:rsid w:val="004E3C56"/>
    <w:rsid w:val="004E41D6"/>
    <w:rsid w:val="004E4AB2"/>
    <w:rsid w:val="004E54C8"/>
    <w:rsid w:val="004E72BD"/>
    <w:rsid w:val="004F1E54"/>
    <w:rsid w:val="004F2393"/>
    <w:rsid w:val="004F3B6F"/>
    <w:rsid w:val="004F3E94"/>
    <w:rsid w:val="004F62AF"/>
    <w:rsid w:val="004F6E8B"/>
    <w:rsid w:val="004F6F2D"/>
    <w:rsid w:val="004F75C3"/>
    <w:rsid w:val="004F7E67"/>
    <w:rsid w:val="0050023A"/>
    <w:rsid w:val="0050097C"/>
    <w:rsid w:val="00502176"/>
    <w:rsid w:val="00502391"/>
    <w:rsid w:val="005034A0"/>
    <w:rsid w:val="00503AFF"/>
    <w:rsid w:val="00503D38"/>
    <w:rsid w:val="00504503"/>
    <w:rsid w:val="005050FF"/>
    <w:rsid w:val="005058C3"/>
    <w:rsid w:val="00507218"/>
    <w:rsid w:val="0051006C"/>
    <w:rsid w:val="00510C53"/>
    <w:rsid w:val="00511B6B"/>
    <w:rsid w:val="00512741"/>
    <w:rsid w:val="0051403E"/>
    <w:rsid w:val="005147BF"/>
    <w:rsid w:val="00514B22"/>
    <w:rsid w:val="00515618"/>
    <w:rsid w:val="00515724"/>
    <w:rsid w:val="00515EB9"/>
    <w:rsid w:val="005167F9"/>
    <w:rsid w:val="00516E9C"/>
    <w:rsid w:val="005172CD"/>
    <w:rsid w:val="0051741E"/>
    <w:rsid w:val="0051775A"/>
    <w:rsid w:val="005201CF"/>
    <w:rsid w:val="00520600"/>
    <w:rsid w:val="005209A4"/>
    <w:rsid w:val="005213BD"/>
    <w:rsid w:val="00522D82"/>
    <w:rsid w:val="00522F8F"/>
    <w:rsid w:val="005241C8"/>
    <w:rsid w:val="00524E04"/>
    <w:rsid w:val="005255D1"/>
    <w:rsid w:val="00526A0E"/>
    <w:rsid w:val="005277D0"/>
    <w:rsid w:val="00531A0B"/>
    <w:rsid w:val="0053248E"/>
    <w:rsid w:val="00532606"/>
    <w:rsid w:val="00533BB0"/>
    <w:rsid w:val="005343C2"/>
    <w:rsid w:val="00534E60"/>
    <w:rsid w:val="00535191"/>
    <w:rsid w:val="005371A1"/>
    <w:rsid w:val="0053757A"/>
    <w:rsid w:val="0053770A"/>
    <w:rsid w:val="00540777"/>
    <w:rsid w:val="00541F09"/>
    <w:rsid w:val="0054297E"/>
    <w:rsid w:val="005431B1"/>
    <w:rsid w:val="005445C3"/>
    <w:rsid w:val="005449E1"/>
    <w:rsid w:val="005453F7"/>
    <w:rsid w:val="0054578E"/>
    <w:rsid w:val="00545917"/>
    <w:rsid w:val="00545A81"/>
    <w:rsid w:val="00545CF3"/>
    <w:rsid w:val="00546130"/>
    <w:rsid w:val="005464CF"/>
    <w:rsid w:val="005464DD"/>
    <w:rsid w:val="005466F6"/>
    <w:rsid w:val="00546A5E"/>
    <w:rsid w:val="005477AB"/>
    <w:rsid w:val="00550039"/>
    <w:rsid w:val="00552D05"/>
    <w:rsid w:val="00552E13"/>
    <w:rsid w:val="00553081"/>
    <w:rsid w:val="00553C22"/>
    <w:rsid w:val="0055431A"/>
    <w:rsid w:val="00554715"/>
    <w:rsid w:val="00554D99"/>
    <w:rsid w:val="005550EF"/>
    <w:rsid w:val="00555582"/>
    <w:rsid w:val="005557D4"/>
    <w:rsid w:val="005578BF"/>
    <w:rsid w:val="00560AC0"/>
    <w:rsid w:val="00562315"/>
    <w:rsid w:val="0056297F"/>
    <w:rsid w:val="0056325C"/>
    <w:rsid w:val="005709D7"/>
    <w:rsid w:val="005716D5"/>
    <w:rsid w:val="00571B3A"/>
    <w:rsid w:val="005733E3"/>
    <w:rsid w:val="00573B30"/>
    <w:rsid w:val="00575112"/>
    <w:rsid w:val="00575472"/>
    <w:rsid w:val="005764F4"/>
    <w:rsid w:val="00576EA4"/>
    <w:rsid w:val="00576EBA"/>
    <w:rsid w:val="00576F28"/>
    <w:rsid w:val="00577799"/>
    <w:rsid w:val="005777D0"/>
    <w:rsid w:val="0057792C"/>
    <w:rsid w:val="00580229"/>
    <w:rsid w:val="00581158"/>
    <w:rsid w:val="005814FF"/>
    <w:rsid w:val="005836E2"/>
    <w:rsid w:val="00584180"/>
    <w:rsid w:val="005848EE"/>
    <w:rsid w:val="00584C64"/>
    <w:rsid w:val="00584CBA"/>
    <w:rsid w:val="005859E8"/>
    <w:rsid w:val="00585ACC"/>
    <w:rsid w:val="00586505"/>
    <w:rsid w:val="0058655C"/>
    <w:rsid w:val="005876B0"/>
    <w:rsid w:val="00587C23"/>
    <w:rsid w:val="00591E7A"/>
    <w:rsid w:val="00592701"/>
    <w:rsid w:val="00592F21"/>
    <w:rsid w:val="00593003"/>
    <w:rsid w:val="00595212"/>
    <w:rsid w:val="00595DED"/>
    <w:rsid w:val="00597DD2"/>
    <w:rsid w:val="005A0136"/>
    <w:rsid w:val="005A0A61"/>
    <w:rsid w:val="005A1658"/>
    <w:rsid w:val="005A197F"/>
    <w:rsid w:val="005A206E"/>
    <w:rsid w:val="005A2FE7"/>
    <w:rsid w:val="005A4A80"/>
    <w:rsid w:val="005A5224"/>
    <w:rsid w:val="005A64CA"/>
    <w:rsid w:val="005A65C2"/>
    <w:rsid w:val="005A6626"/>
    <w:rsid w:val="005A6C71"/>
    <w:rsid w:val="005A7665"/>
    <w:rsid w:val="005B10BC"/>
    <w:rsid w:val="005B12A7"/>
    <w:rsid w:val="005B12C7"/>
    <w:rsid w:val="005B263D"/>
    <w:rsid w:val="005B3C3C"/>
    <w:rsid w:val="005B4DDD"/>
    <w:rsid w:val="005B7E59"/>
    <w:rsid w:val="005C0047"/>
    <w:rsid w:val="005C057E"/>
    <w:rsid w:val="005C087B"/>
    <w:rsid w:val="005C1B68"/>
    <w:rsid w:val="005C1B91"/>
    <w:rsid w:val="005C1F7C"/>
    <w:rsid w:val="005C515D"/>
    <w:rsid w:val="005C5674"/>
    <w:rsid w:val="005C6C00"/>
    <w:rsid w:val="005D0DF8"/>
    <w:rsid w:val="005D0E56"/>
    <w:rsid w:val="005D2BD0"/>
    <w:rsid w:val="005D3AF5"/>
    <w:rsid w:val="005D4064"/>
    <w:rsid w:val="005D4876"/>
    <w:rsid w:val="005D4A74"/>
    <w:rsid w:val="005D5D9F"/>
    <w:rsid w:val="005D5EE6"/>
    <w:rsid w:val="005D6E9E"/>
    <w:rsid w:val="005D6F67"/>
    <w:rsid w:val="005D70B1"/>
    <w:rsid w:val="005E05B5"/>
    <w:rsid w:val="005E071F"/>
    <w:rsid w:val="005E0A61"/>
    <w:rsid w:val="005E10EF"/>
    <w:rsid w:val="005E13DC"/>
    <w:rsid w:val="005E1F3E"/>
    <w:rsid w:val="005E2FEA"/>
    <w:rsid w:val="005E33C8"/>
    <w:rsid w:val="005E34D2"/>
    <w:rsid w:val="005E547F"/>
    <w:rsid w:val="005E5B5F"/>
    <w:rsid w:val="005E5E96"/>
    <w:rsid w:val="005E644F"/>
    <w:rsid w:val="005E6BD7"/>
    <w:rsid w:val="005E6DCF"/>
    <w:rsid w:val="005E77FC"/>
    <w:rsid w:val="005E7FB0"/>
    <w:rsid w:val="005F1DF6"/>
    <w:rsid w:val="005F203B"/>
    <w:rsid w:val="005F2611"/>
    <w:rsid w:val="005F284F"/>
    <w:rsid w:val="005F2DDE"/>
    <w:rsid w:val="005F37F9"/>
    <w:rsid w:val="005F42FA"/>
    <w:rsid w:val="00601935"/>
    <w:rsid w:val="00601AAC"/>
    <w:rsid w:val="006051F1"/>
    <w:rsid w:val="0060554F"/>
    <w:rsid w:val="00606851"/>
    <w:rsid w:val="0060685D"/>
    <w:rsid w:val="00606EE5"/>
    <w:rsid w:val="006070D6"/>
    <w:rsid w:val="006075D6"/>
    <w:rsid w:val="00607B21"/>
    <w:rsid w:val="00613DAD"/>
    <w:rsid w:val="00616611"/>
    <w:rsid w:val="00621F3C"/>
    <w:rsid w:val="006223E9"/>
    <w:rsid w:val="00622F96"/>
    <w:rsid w:val="00624DCA"/>
    <w:rsid w:val="006253AB"/>
    <w:rsid w:val="00625EDC"/>
    <w:rsid w:val="00626E39"/>
    <w:rsid w:val="0063013C"/>
    <w:rsid w:val="00630619"/>
    <w:rsid w:val="00630E51"/>
    <w:rsid w:val="00630EB1"/>
    <w:rsid w:val="00631A11"/>
    <w:rsid w:val="00631E41"/>
    <w:rsid w:val="00632A92"/>
    <w:rsid w:val="0063379A"/>
    <w:rsid w:val="00634EF4"/>
    <w:rsid w:val="00634F07"/>
    <w:rsid w:val="00636152"/>
    <w:rsid w:val="0063695E"/>
    <w:rsid w:val="0063753E"/>
    <w:rsid w:val="00637C40"/>
    <w:rsid w:val="00637F49"/>
    <w:rsid w:val="0064049E"/>
    <w:rsid w:val="006424EB"/>
    <w:rsid w:val="00642B3C"/>
    <w:rsid w:val="00643239"/>
    <w:rsid w:val="00643638"/>
    <w:rsid w:val="006446B5"/>
    <w:rsid w:val="0064527A"/>
    <w:rsid w:val="006461BF"/>
    <w:rsid w:val="00647FBE"/>
    <w:rsid w:val="00651E14"/>
    <w:rsid w:val="00652EB5"/>
    <w:rsid w:val="006553F7"/>
    <w:rsid w:val="00655728"/>
    <w:rsid w:val="00655ECE"/>
    <w:rsid w:val="006600ED"/>
    <w:rsid w:val="00660BC2"/>
    <w:rsid w:val="0066156D"/>
    <w:rsid w:val="00661646"/>
    <w:rsid w:val="00662F7C"/>
    <w:rsid w:val="00663B38"/>
    <w:rsid w:val="00664D9F"/>
    <w:rsid w:val="00665520"/>
    <w:rsid w:val="00670328"/>
    <w:rsid w:val="00670B4E"/>
    <w:rsid w:val="006710A4"/>
    <w:rsid w:val="0067219B"/>
    <w:rsid w:val="00672D34"/>
    <w:rsid w:val="0067411B"/>
    <w:rsid w:val="00674625"/>
    <w:rsid w:val="00675405"/>
    <w:rsid w:val="0067551B"/>
    <w:rsid w:val="00675CF5"/>
    <w:rsid w:val="00676001"/>
    <w:rsid w:val="00676340"/>
    <w:rsid w:val="006777A4"/>
    <w:rsid w:val="00677E64"/>
    <w:rsid w:val="00680F95"/>
    <w:rsid w:val="00682354"/>
    <w:rsid w:val="006849F5"/>
    <w:rsid w:val="00685FA9"/>
    <w:rsid w:val="006862D4"/>
    <w:rsid w:val="00686658"/>
    <w:rsid w:val="006877BE"/>
    <w:rsid w:val="00687980"/>
    <w:rsid w:val="00690FD4"/>
    <w:rsid w:val="00691B31"/>
    <w:rsid w:val="0069234E"/>
    <w:rsid w:val="0069266B"/>
    <w:rsid w:val="00692867"/>
    <w:rsid w:val="00693193"/>
    <w:rsid w:val="00693368"/>
    <w:rsid w:val="00693C1D"/>
    <w:rsid w:val="00693F11"/>
    <w:rsid w:val="00694073"/>
    <w:rsid w:val="00694A0B"/>
    <w:rsid w:val="00694BA3"/>
    <w:rsid w:val="0069529C"/>
    <w:rsid w:val="00695339"/>
    <w:rsid w:val="0069600C"/>
    <w:rsid w:val="0069675D"/>
    <w:rsid w:val="00697103"/>
    <w:rsid w:val="00697D07"/>
    <w:rsid w:val="006A18A3"/>
    <w:rsid w:val="006A193E"/>
    <w:rsid w:val="006A1B4F"/>
    <w:rsid w:val="006A2244"/>
    <w:rsid w:val="006A3716"/>
    <w:rsid w:val="006A38A6"/>
    <w:rsid w:val="006A3C57"/>
    <w:rsid w:val="006A3E77"/>
    <w:rsid w:val="006A3F51"/>
    <w:rsid w:val="006A5A43"/>
    <w:rsid w:val="006A5EF7"/>
    <w:rsid w:val="006A7E34"/>
    <w:rsid w:val="006B0019"/>
    <w:rsid w:val="006B1A2B"/>
    <w:rsid w:val="006B2597"/>
    <w:rsid w:val="006B28C6"/>
    <w:rsid w:val="006B298F"/>
    <w:rsid w:val="006B341D"/>
    <w:rsid w:val="006B4141"/>
    <w:rsid w:val="006B4A50"/>
    <w:rsid w:val="006B5C40"/>
    <w:rsid w:val="006B6C98"/>
    <w:rsid w:val="006B6F27"/>
    <w:rsid w:val="006C3D59"/>
    <w:rsid w:val="006C436C"/>
    <w:rsid w:val="006C478D"/>
    <w:rsid w:val="006C60C1"/>
    <w:rsid w:val="006C6F17"/>
    <w:rsid w:val="006C7543"/>
    <w:rsid w:val="006C7F21"/>
    <w:rsid w:val="006D03CA"/>
    <w:rsid w:val="006D0A23"/>
    <w:rsid w:val="006D0AE1"/>
    <w:rsid w:val="006D0DFA"/>
    <w:rsid w:val="006D26B7"/>
    <w:rsid w:val="006D27D9"/>
    <w:rsid w:val="006D2E7F"/>
    <w:rsid w:val="006D3CE6"/>
    <w:rsid w:val="006D3D1F"/>
    <w:rsid w:val="006D46AA"/>
    <w:rsid w:val="006D55EF"/>
    <w:rsid w:val="006D5AA9"/>
    <w:rsid w:val="006D634F"/>
    <w:rsid w:val="006D63AB"/>
    <w:rsid w:val="006D6C7C"/>
    <w:rsid w:val="006D736C"/>
    <w:rsid w:val="006D7FC9"/>
    <w:rsid w:val="006E1262"/>
    <w:rsid w:val="006E6383"/>
    <w:rsid w:val="006E66D9"/>
    <w:rsid w:val="006E6DF5"/>
    <w:rsid w:val="006E7269"/>
    <w:rsid w:val="006E739C"/>
    <w:rsid w:val="006E7BDE"/>
    <w:rsid w:val="006F0848"/>
    <w:rsid w:val="006F1F97"/>
    <w:rsid w:val="006F24ED"/>
    <w:rsid w:val="006F3543"/>
    <w:rsid w:val="006F359D"/>
    <w:rsid w:val="006F4171"/>
    <w:rsid w:val="006F4350"/>
    <w:rsid w:val="006F460A"/>
    <w:rsid w:val="006F472F"/>
    <w:rsid w:val="006F51D4"/>
    <w:rsid w:val="006F540A"/>
    <w:rsid w:val="006F6393"/>
    <w:rsid w:val="00700632"/>
    <w:rsid w:val="00700688"/>
    <w:rsid w:val="00700E49"/>
    <w:rsid w:val="0070152D"/>
    <w:rsid w:val="00701895"/>
    <w:rsid w:val="00701D64"/>
    <w:rsid w:val="0070241A"/>
    <w:rsid w:val="007027C9"/>
    <w:rsid w:val="00704D0E"/>
    <w:rsid w:val="007051F6"/>
    <w:rsid w:val="00707D52"/>
    <w:rsid w:val="00707E95"/>
    <w:rsid w:val="00710F34"/>
    <w:rsid w:val="0071126F"/>
    <w:rsid w:val="00711402"/>
    <w:rsid w:val="00711FDF"/>
    <w:rsid w:val="00712426"/>
    <w:rsid w:val="007127F3"/>
    <w:rsid w:val="00712B49"/>
    <w:rsid w:val="0071309E"/>
    <w:rsid w:val="007132D6"/>
    <w:rsid w:val="0071596D"/>
    <w:rsid w:val="00715D7E"/>
    <w:rsid w:val="00716BF7"/>
    <w:rsid w:val="00720A2C"/>
    <w:rsid w:val="00720A30"/>
    <w:rsid w:val="00720C1F"/>
    <w:rsid w:val="00720D25"/>
    <w:rsid w:val="00720DEF"/>
    <w:rsid w:val="007211F9"/>
    <w:rsid w:val="0072160E"/>
    <w:rsid w:val="007217EA"/>
    <w:rsid w:val="00722825"/>
    <w:rsid w:val="0072329E"/>
    <w:rsid w:val="007251B8"/>
    <w:rsid w:val="0072624D"/>
    <w:rsid w:val="007268A2"/>
    <w:rsid w:val="00726DA1"/>
    <w:rsid w:val="007275B9"/>
    <w:rsid w:val="0073050B"/>
    <w:rsid w:val="007307C0"/>
    <w:rsid w:val="0073173D"/>
    <w:rsid w:val="00731AF6"/>
    <w:rsid w:val="00731F7E"/>
    <w:rsid w:val="007323F5"/>
    <w:rsid w:val="007333AE"/>
    <w:rsid w:val="0073453F"/>
    <w:rsid w:val="007345DF"/>
    <w:rsid w:val="00735048"/>
    <w:rsid w:val="0073506F"/>
    <w:rsid w:val="00736B22"/>
    <w:rsid w:val="007378B8"/>
    <w:rsid w:val="00741C23"/>
    <w:rsid w:val="00741D46"/>
    <w:rsid w:val="0074357D"/>
    <w:rsid w:val="00743590"/>
    <w:rsid w:val="0074439F"/>
    <w:rsid w:val="00745626"/>
    <w:rsid w:val="00746D0C"/>
    <w:rsid w:val="007471E0"/>
    <w:rsid w:val="007479D2"/>
    <w:rsid w:val="00747CE3"/>
    <w:rsid w:val="00750C6E"/>
    <w:rsid w:val="00750D12"/>
    <w:rsid w:val="007528CC"/>
    <w:rsid w:val="00752F65"/>
    <w:rsid w:val="00753BFD"/>
    <w:rsid w:val="00753DBD"/>
    <w:rsid w:val="00753F3B"/>
    <w:rsid w:val="0075505B"/>
    <w:rsid w:val="00755851"/>
    <w:rsid w:val="00756225"/>
    <w:rsid w:val="00756804"/>
    <w:rsid w:val="00757037"/>
    <w:rsid w:val="00760282"/>
    <w:rsid w:val="00760455"/>
    <w:rsid w:val="007604D4"/>
    <w:rsid w:val="00761035"/>
    <w:rsid w:val="007614F2"/>
    <w:rsid w:val="007617E3"/>
    <w:rsid w:val="007637A0"/>
    <w:rsid w:val="00765356"/>
    <w:rsid w:val="00765DDB"/>
    <w:rsid w:val="00766B5A"/>
    <w:rsid w:val="00766B9F"/>
    <w:rsid w:val="0076713C"/>
    <w:rsid w:val="00770489"/>
    <w:rsid w:val="00770578"/>
    <w:rsid w:val="00771B12"/>
    <w:rsid w:val="00771C5F"/>
    <w:rsid w:val="00775CB3"/>
    <w:rsid w:val="007772C0"/>
    <w:rsid w:val="007772DF"/>
    <w:rsid w:val="00781F5E"/>
    <w:rsid w:val="00782030"/>
    <w:rsid w:val="007823B3"/>
    <w:rsid w:val="00782750"/>
    <w:rsid w:val="0078287F"/>
    <w:rsid w:val="0078388C"/>
    <w:rsid w:val="007846E9"/>
    <w:rsid w:val="00784E73"/>
    <w:rsid w:val="00785217"/>
    <w:rsid w:val="007864F0"/>
    <w:rsid w:val="00786711"/>
    <w:rsid w:val="00787142"/>
    <w:rsid w:val="00790441"/>
    <w:rsid w:val="00790BB7"/>
    <w:rsid w:val="007928E9"/>
    <w:rsid w:val="00792DAF"/>
    <w:rsid w:val="00792ECF"/>
    <w:rsid w:val="00793BD1"/>
    <w:rsid w:val="0079436D"/>
    <w:rsid w:val="00795A93"/>
    <w:rsid w:val="00797415"/>
    <w:rsid w:val="0079793A"/>
    <w:rsid w:val="007A0B4B"/>
    <w:rsid w:val="007A0D65"/>
    <w:rsid w:val="007A2608"/>
    <w:rsid w:val="007A291F"/>
    <w:rsid w:val="007A386A"/>
    <w:rsid w:val="007A3E5C"/>
    <w:rsid w:val="007A46F3"/>
    <w:rsid w:val="007A4E50"/>
    <w:rsid w:val="007A581A"/>
    <w:rsid w:val="007A660D"/>
    <w:rsid w:val="007A744B"/>
    <w:rsid w:val="007B26F7"/>
    <w:rsid w:val="007B28A3"/>
    <w:rsid w:val="007B2A22"/>
    <w:rsid w:val="007B3024"/>
    <w:rsid w:val="007B3460"/>
    <w:rsid w:val="007B4156"/>
    <w:rsid w:val="007B4B3E"/>
    <w:rsid w:val="007B5967"/>
    <w:rsid w:val="007B5C94"/>
    <w:rsid w:val="007B65C2"/>
    <w:rsid w:val="007B75F9"/>
    <w:rsid w:val="007B7F3A"/>
    <w:rsid w:val="007C00D8"/>
    <w:rsid w:val="007C0E92"/>
    <w:rsid w:val="007C1697"/>
    <w:rsid w:val="007C181D"/>
    <w:rsid w:val="007C2E6F"/>
    <w:rsid w:val="007C30F7"/>
    <w:rsid w:val="007C38A5"/>
    <w:rsid w:val="007C40BD"/>
    <w:rsid w:val="007C46FC"/>
    <w:rsid w:val="007C5AB7"/>
    <w:rsid w:val="007C5F76"/>
    <w:rsid w:val="007C6717"/>
    <w:rsid w:val="007C7D70"/>
    <w:rsid w:val="007D21FA"/>
    <w:rsid w:val="007D2B25"/>
    <w:rsid w:val="007D2EC5"/>
    <w:rsid w:val="007D3B78"/>
    <w:rsid w:val="007D5793"/>
    <w:rsid w:val="007D582A"/>
    <w:rsid w:val="007D5E08"/>
    <w:rsid w:val="007D6CDD"/>
    <w:rsid w:val="007D6D2E"/>
    <w:rsid w:val="007D7072"/>
    <w:rsid w:val="007D7A14"/>
    <w:rsid w:val="007E091D"/>
    <w:rsid w:val="007E0E73"/>
    <w:rsid w:val="007E4AD3"/>
    <w:rsid w:val="007E5B56"/>
    <w:rsid w:val="007E5E69"/>
    <w:rsid w:val="007E5F65"/>
    <w:rsid w:val="007E62E7"/>
    <w:rsid w:val="007E69A0"/>
    <w:rsid w:val="007E6FAA"/>
    <w:rsid w:val="007F0AB5"/>
    <w:rsid w:val="007F22AE"/>
    <w:rsid w:val="007F2B52"/>
    <w:rsid w:val="007F2CE3"/>
    <w:rsid w:val="007F2FD5"/>
    <w:rsid w:val="007F3A4D"/>
    <w:rsid w:val="007F3B1E"/>
    <w:rsid w:val="007F3B8D"/>
    <w:rsid w:val="007F3CAA"/>
    <w:rsid w:val="007F4D9B"/>
    <w:rsid w:val="007F5184"/>
    <w:rsid w:val="007F5803"/>
    <w:rsid w:val="007F5A81"/>
    <w:rsid w:val="007F65F6"/>
    <w:rsid w:val="007F6E25"/>
    <w:rsid w:val="0080254A"/>
    <w:rsid w:val="0080270E"/>
    <w:rsid w:val="00802740"/>
    <w:rsid w:val="008028F8"/>
    <w:rsid w:val="00802C36"/>
    <w:rsid w:val="008031FA"/>
    <w:rsid w:val="008031FF"/>
    <w:rsid w:val="00803821"/>
    <w:rsid w:val="008039E1"/>
    <w:rsid w:val="008039EE"/>
    <w:rsid w:val="00803FD1"/>
    <w:rsid w:val="00804709"/>
    <w:rsid w:val="00804917"/>
    <w:rsid w:val="00805B8F"/>
    <w:rsid w:val="00810588"/>
    <w:rsid w:val="00811EAE"/>
    <w:rsid w:val="008124C8"/>
    <w:rsid w:val="00813B9C"/>
    <w:rsid w:val="008144E4"/>
    <w:rsid w:val="008147E9"/>
    <w:rsid w:val="00816D91"/>
    <w:rsid w:val="00816E35"/>
    <w:rsid w:val="00817438"/>
    <w:rsid w:val="008174BC"/>
    <w:rsid w:val="00817809"/>
    <w:rsid w:val="00820D8C"/>
    <w:rsid w:val="00821072"/>
    <w:rsid w:val="00821683"/>
    <w:rsid w:val="00821907"/>
    <w:rsid w:val="008228E0"/>
    <w:rsid w:val="00823CF1"/>
    <w:rsid w:val="00823E8D"/>
    <w:rsid w:val="008244D2"/>
    <w:rsid w:val="008270C4"/>
    <w:rsid w:val="00827522"/>
    <w:rsid w:val="00827A00"/>
    <w:rsid w:val="00830586"/>
    <w:rsid w:val="0083209B"/>
    <w:rsid w:val="008321E8"/>
    <w:rsid w:val="00832AD2"/>
    <w:rsid w:val="00835613"/>
    <w:rsid w:val="00836279"/>
    <w:rsid w:val="00836658"/>
    <w:rsid w:val="00836DCA"/>
    <w:rsid w:val="00837D9C"/>
    <w:rsid w:val="0084053D"/>
    <w:rsid w:val="00841D1E"/>
    <w:rsid w:val="00844A20"/>
    <w:rsid w:val="00845884"/>
    <w:rsid w:val="008476A4"/>
    <w:rsid w:val="00847D37"/>
    <w:rsid w:val="008514A8"/>
    <w:rsid w:val="00851704"/>
    <w:rsid w:val="008519A8"/>
    <w:rsid w:val="00851B3D"/>
    <w:rsid w:val="00852BB3"/>
    <w:rsid w:val="0085309F"/>
    <w:rsid w:val="00853513"/>
    <w:rsid w:val="0085356B"/>
    <w:rsid w:val="008537BC"/>
    <w:rsid w:val="00853C11"/>
    <w:rsid w:val="00853E70"/>
    <w:rsid w:val="008545C9"/>
    <w:rsid w:val="008556CA"/>
    <w:rsid w:val="00856D97"/>
    <w:rsid w:val="00857152"/>
    <w:rsid w:val="00857F71"/>
    <w:rsid w:val="00861BA5"/>
    <w:rsid w:val="00861C05"/>
    <w:rsid w:val="00861C32"/>
    <w:rsid w:val="00862E2D"/>
    <w:rsid w:val="00863171"/>
    <w:rsid w:val="0086337A"/>
    <w:rsid w:val="00863859"/>
    <w:rsid w:val="008639F9"/>
    <w:rsid w:val="00863DD5"/>
    <w:rsid w:val="00865136"/>
    <w:rsid w:val="00865F5A"/>
    <w:rsid w:val="00866836"/>
    <w:rsid w:val="00866C74"/>
    <w:rsid w:val="008702B1"/>
    <w:rsid w:val="008706CF"/>
    <w:rsid w:val="00870A4C"/>
    <w:rsid w:val="00871458"/>
    <w:rsid w:val="008714F4"/>
    <w:rsid w:val="00871E00"/>
    <w:rsid w:val="00872BFC"/>
    <w:rsid w:val="00873BCC"/>
    <w:rsid w:val="00873F5B"/>
    <w:rsid w:val="00874C52"/>
    <w:rsid w:val="00881339"/>
    <w:rsid w:val="00881550"/>
    <w:rsid w:val="00882BD6"/>
    <w:rsid w:val="00882D6B"/>
    <w:rsid w:val="0088364C"/>
    <w:rsid w:val="0088397C"/>
    <w:rsid w:val="008841EC"/>
    <w:rsid w:val="00884271"/>
    <w:rsid w:val="00884925"/>
    <w:rsid w:val="008849DE"/>
    <w:rsid w:val="00884ED3"/>
    <w:rsid w:val="008858D5"/>
    <w:rsid w:val="00886495"/>
    <w:rsid w:val="00887F56"/>
    <w:rsid w:val="00891590"/>
    <w:rsid w:val="00892C37"/>
    <w:rsid w:val="00893701"/>
    <w:rsid w:val="0089374F"/>
    <w:rsid w:val="008964DC"/>
    <w:rsid w:val="0089796F"/>
    <w:rsid w:val="008A0DC7"/>
    <w:rsid w:val="008A18EF"/>
    <w:rsid w:val="008A2EB0"/>
    <w:rsid w:val="008A3D64"/>
    <w:rsid w:val="008A620D"/>
    <w:rsid w:val="008A6BDD"/>
    <w:rsid w:val="008A6E54"/>
    <w:rsid w:val="008B0056"/>
    <w:rsid w:val="008B0383"/>
    <w:rsid w:val="008B1963"/>
    <w:rsid w:val="008B1AD7"/>
    <w:rsid w:val="008B36F0"/>
    <w:rsid w:val="008B4730"/>
    <w:rsid w:val="008B47E8"/>
    <w:rsid w:val="008B49B9"/>
    <w:rsid w:val="008B4FB6"/>
    <w:rsid w:val="008B5D61"/>
    <w:rsid w:val="008B6FA2"/>
    <w:rsid w:val="008B7131"/>
    <w:rsid w:val="008C0651"/>
    <w:rsid w:val="008C1BCB"/>
    <w:rsid w:val="008C3817"/>
    <w:rsid w:val="008C4408"/>
    <w:rsid w:val="008C46E3"/>
    <w:rsid w:val="008C59C7"/>
    <w:rsid w:val="008C652B"/>
    <w:rsid w:val="008C71A1"/>
    <w:rsid w:val="008C7885"/>
    <w:rsid w:val="008C7993"/>
    <w:rsid w:val="008D24D5"/>
    <w:rsid w:val="008D2E13"/>
    <w:rsid w:val="008D5C91"/>
    <w:rsid w:val="008D5F48"/>
    <w:rsid w:val="008D689A"/>
    <w:rsid w:val="008D777A"/>
    <w:rsid w:val="008E169C"/>
    <w:rsid w:val="008E1B2D"/>
    <w:rsid w:val="008E1C3A"/>
    <w:rsid w:val="008E20F3"/>
    <w:rsid w:val="008E2D58"/>
    <w:rsid w:val="008E3CEF"/>
    <w:rsid w:val="008E3D4F"/>
    <w:rsid w:val="008E4ADE"/>
    <w:rsid w:val="008E71B8"/>
    <w:rsid w:val="008E71DF"/>
    <w:rsid w:val="008E7454"/>
    <w:rsid w:val="008E7603"/>
    <w:rsid w:val="008E787A"/>
    <w:rsid w:val="008F094C"/>
    <w:rsid w:val="008F2649"/>
    <w:rsid w:val="008F329F"/>
    <w:rsid w:val="008F3FDE"/>
    <w:rsid w:val="008F4041"/>
    <w:rsid w:val="008F4385"/>
    <w:rsid w:val="008F5616"/>
    <w:rsid w:val="008F56C8"/>
    <w:rsid w:val="008F5AF0"/>
    <w:rsid w:val="008F6081"/>
    <w:rsid w:val="008F6348"/>
    <w:rsid w:val="008F7255"/>
    <w:rsid w:val="008F74DF"/>
    <w:rsid w:val="008F77CC"/>
    <w:rsid w:val="008F7FA3"/>
    <w:rsid w:val="009006F9"/>
    <w:rsid w:val="00901EF0"/>
    <w:rsid w:val="00902720"/>
    <w:rsid w:val="009028BC"/>
    <w:rsid w:val="00902B5F"/>
    <w:rsid w:val="00904197"/>
    <w:rsid w:val="00906CC4"/>
    <w:rsid w:val="009078F5"/>
    <w:rsid w:val="00907AA2"/>
    <w:rsid w:val="00907DFA"/>
    <w:rsid w:val="0091085E"/>
    <w:rsid w:val="009112A9"/>
    <w:rsid w:val="00912A4E"/>
    <w:rsid w:val="00912B35"/>
    <w:rsid w:val="00912E65"/>
    <w:rsid w:val="00913011"/>
    <w:rsid w:val="0091357E"/>
    <w:rsid w:val="009135DD"/>
    <w:rsid w:val="009136B8"/>
    <w:rsid w:val="00914A77"/>
    <w:rsid w:val="00916746"/>
    <w:rsid w:val="00917020"/>
    <w:rsid w:val="00917040"/>
    <w:rsid w:val="009176E7"/>
    <w:rsid w:val="0092167D"/>
    <w:rsid w:val="009224B9"/>
    <w:rsid w:val="009234ED"/>
    <w:rsid w:val="00923723"/>
    <w:rsid w:val="00924078"/>
    <w:rsid w:val="009250A6"/>
    <w:rsid w:val="009253C5"/>
    <w:rsid w:val="00925669"/>
    <w:rsid w:val="00926764"/>
    <w:rsid w:val="00926C47"/>
    <w:rsid w:val="00926CA4"/>
    <w:rsid w:val="00926D86"/>
    <w:rsid w:val="00931DDC"/>
    <w:rsid w:val="009324BE"/>
    <w:rsid w:val="00933C31"/>
    <w:rsid w:val="0093454B"/>
    <w:rsid w:val="00934E7F"/>
    <w:rsid w:val="009350C6"/>
    <w:rsid w:val="00935187"/>
    <w:rsid w:val="0093575A"/>
    <w:rsid w:val="0093588D"/>
    <w:rsid w:val="00935917"/>
    <w:rsid w:val="00935CB8"/>
    <w:rsid w:val="009363ED"/>
    <w:rsid w:val="00936B0D"/>
    <w:rsid w:val="00936C09"/>
    <w:rsid w:val="009372A6"/>
    <w:rsid w:val="00937917"/>
    <w:rsid w:val="00937FA9"/>
    <w:rsid w:val="00941523"/>
    <w:rsid w:val="00943273"/>
    <w:rsid w:val="0094395E"/>
    <w:rsid w:val="0094474A"/>
    <w:rsid w:val="00944864"/>
    <w:rsid w:val="00944865"/>
    <w:rsid w:val="00944C6D"/>
    <w:rsid w:val="00945249"/>
    <w:rsid w:val="00946D2A"/>
    <w:rsid w:val="009473A3"/>
    <w:rsid w:val="009475D7"/>
    <w:rsid w:val="00947E96"/>
    <w:rsid w:val="009509A3"/>
    <w:rsid w:val="00951562"/>
    <w:rsid w:val="00951576"/>
    <w:rsid w:val="00951973"/>
    <w:rsid w:val="009526E0"/>
    <w:rsid w:val="00952EA3"/>
    <w:rsid w:val="00953A26"/>
    <w:rsid w:val="00953F80"/>
    <w:rsid w:val="00954370"/>
    <w:rsid w:val="009554FA"/>
    <w:rsid w:val="00955802"/>
    <w:rsid w:val="00955B0B"/>
    <w:rsid w:val="009567A9"/>
    <w:rsid w:val="00957728"/>
    <w:rsid w:val="00957FC9"/>
    <w:rsid w:val="0096096B"/>
    <w:rsid w:val="00960C61"/>
    <w:rsid w:val="0096121F"/>
    <w:rsid w:val="00961946"/>
    <w:rsid w:val="0096221B"/>
    <w:rsid w:val="009622C6"/>
    <w:rsid w:val="0096287C"/>
    <w:rsid w:val="00962BE0"/>
    <w:rsid w:val="009634EC"/>
    <w:rsid w:val="009642F3"/>
    <w:rsid w:val="009644BD"/>
    <w:rsid w:val="009646A6"/>
    <w:rsid w:val="00965DFA"/>
    <w:rsid w:val="00966762"/>
    <w:rsid w:val="009667B5"/>
    <w:rsid w:val="00966A72"/>
    <w:rsid w:val="00967096"/>
    <w:rsid w:val="00967324"/>
    <w:rsid w:val="00970CDB"/>
    <w:rsid w:val="009712D2"/>
    <w:rsid w:val="00972719"/>
    <w:rsid w:val="00973203"/>
    <w:rsid w:val="009734DB"/>
    <w:rsid w:val="0097370F"/>
    <w:rsid w:val="00973BAA"/>
    <w:rsid w:val="00974205"/>
    <w:rsid w:val="00975213"/>
    <w:rsid w:val="0097643E"/>
    <w:rsid w:val="00976497"/>
    <w:rsid w:val="00976AFA"/>
    <w:rsid w:val="00976EC4"/>
    <w:rsid w:val="00977F69"/>
    <w:rsid w:val="0098127F"/>
    <w:rsid w:val="00982C11"/>
    <w:rsid w:val="00983125"/>
    <w:rsid w:val="00983B80"/>
    <w:rsid w:val="00983D38"/>
    <w:rsid w:val="00983F3F"/>
    <w:rsid w:val="009842B9"/>
    <w:rsid w:val="009855F1"/>
    <w:rsid w:val="00985BC0"/>
    <w:rsid w:val="00986500"/>
    <w:rsid w:val="00990DE5"/>
    <w:rsid w:val="0099175E"/>
    <w:rsid w:val="009928C7"/>
    <w:rsid w:val="0099371B"/>
    <w:rsid w:val="00996342"/>
    <w:rsid w:val="00996BA3"/>
    <w:rsid w:val="009A0580"/>
    <w:rsid w:val="009A230A"/>
    <w:rsid w:val="009A26C0"/>
    <w:rsid w:val="009A2F1F"/>
    <w:rsid w:val="009A39B9"/>
    <w:rsid w:val="009A40C8"/>
    <w:rsid w:val="009A4C01"/>
    <w:rsid w:val="009A5A70"/>
    <w:rsid w:val="009A685E"/>
    <w:rsid w:val="009A6C97"/>
    <w:rsid w:val="009A7659"/>
    <w:rsid w:val="009A7726"/>
    <w:rsid w:val="009B080E"/>
    <w:rsid w:val="009B19DC"/>
    <w:rsid w:val="009B1B65"/>
    <w:rsid w:val="009B3610"/>
    <w:rsid w:val="009B42C8"/>
    <w:rsid w:val="009B4DE3"/>
    <w:rsid w:val="009B6CEE"/>
    <w:rsid w:val="009C1B00"/>
    <w:rsid w:val="009C1D48"/>
    <w:rsid w:val="009C287A"/>
    <w:rsid w:val="009C3BE9"/>
    <w:rsid w:val="009C44C6"/>
    <w:rsid w:val="009C451B"/>
    <w:rsid w:val="009C69B3"/>
    <w:rsid w:val="009C6CB6"/>
    <w:rsid w:val="009C7CB2"/>
    <w:rsid w:val="009D0601"/>
    <w:rsid w:val="009D0CC6"/>
    <w:rsid w:val="009D0FA8"/>
    <w:rsid w:val="009D342B"/>
    <w:rsid w:val="009D5E5A"/>
    <w:rsid w:val="009D6089"/>
    <w:rsid w:val="009D618B"/>
    <w:rsid w:val="009D671B"/>
    <w:rsid w:val="009D6D26"/>
    <w:rsid w:val="009D74FD"/>
    <w:rsid w:val="009E0AD9"/>
    <w:rsid w:val="009E1187"/>
    <w:rsid w:val="009E1F26"/>
    <w:rsid w:val="009E23DD"/>
    <w:rsid w:val="009E27BD"/>
    <w:rsid w:val="009E465A"/>
    <w:rsid w:val="009E4A03"/>
    <w:rsid w:val="009E4A42"/>
    <w:rsid w:val="009E5FA3"/>
    <w:rsid w:val="009F04E8"/>
    <w:rsid w:val="009F0A1C"/>
    <w:rsid w:val="009F10CB"/>
    <w:rsid w:val="009F18D7"/>
    <w:rsid w:val="009F3A1F"/>
    <w:rsid w:val="009F3BF2"/>
    <w:rsid w:val="009F5588"/>
    <w:rsid w:val="009F5F8F"/>
    <w:rsid w:val="009F6E40"/>
    <w:rsid w:val="009F7795"/>
    <w:rsid w:val="00A00483"/>
    <w:rsid w:val="00A01618"/>
    <w:rsid w:val="00A018C6"/>
    <w:rsid w:val="00A01B97"/>
    <w:rsid w:val="00A025C0"/>
    <w:rsid w:val="00A0292F"/>
    <w:rsid w:val="00A03292"/>
    <w:rsid w:val="00A03352"/>
    <w:rsid w:val="00A03C1C"/>
    <w:rsid w:val="00A06672"/>
    <w:rsid w:val="00A06995"/>
    <w:rsid w:val="00A07661"/>
    <w:rsid w:val="00A10C45"/>
    <w:rsid w:val="00A10D24"/>
    <w:rsid w:val="00A114BE"/>
    <w:rsid w:val="00A11C25"/>
    <w:rsid w:val="00A12287"/>
    <w:rsid w:val="00A12307"/>
    <w:rsid w:val="00A12722"/>
    <w:rsid w:val="00A131E6"/>
    <w:rsid w:val="00A13E5E"/>
    <w:rsid w:val="00A15549"/>
    <w:rsid w:val="00A15E6B"/>
    <w:rsid w:val="00A1638F"/>
    <w:rsid w:val="00A20003"/>
    <w:rsid w:val="00A203BB"/>
    <w:rsid w:val="00A23538"/>
    <w:rsid w:val="00A262EC"/>
    <w:rsid w:val="00A27675"/>
    <w:rsid w:val="00A30679"/>
    <w:rsid w:val="00A306AF"/>
    <w:rsid w:val="00A30DF0"/>
    <w:rsid w:val="00A31377"/>
    <w:rsid w:val="00A321FB"/>
    <w:rsid w:val="00A32897"/>
    <w:rsid w:val="00A32E07"/>
    <w:rsid w:val="00A33021"/>
    <w:rsid w:val="00A3384A"/>
    <w:rsid w:val="00A367AB"/>
    <w:rsid w:val="00A375ED"/>
    <w:rsid w:val="00A3783F"/>
    <w:rsid w:val="00A4098B"/>
    <w:rsid w:val="00A41473"/>
    <w:rsid w:val="00A4184A"/>
    <w:rsid w:val="00A41AD7"/>
    <w:rsid w:val="00A434FF"/>
    <w:rsid w:val="00A45453"/>
    <w:rsid w:val="00A46443"/>
    <w:rsid w:val="00A47517"/>
    <w:rsid w:val="00A5075E"/>
    <w:rsid w:val="00A51429"/>
    <w:rsid w:val="00A514CB"/>
    <w:rsid w:val="00A52E98"/>
    <w:rsid w:val="00A5457C"/>
    <w:rsid w:val="00A554A0"/>
    <w:rsid w:val="00A55EB8"/>
    <w:rsid w:val="00A5656C"/>
    <w:rsid w:val="00A56900"/>
    <w:rsid w:val="00A5764C"/>
    <w:rsid w:val="00A60006"/>
    <w:rsid w:val="00A6129B"/>
    <w:rsid w:val="00A61794"/>
    <w:rsid w:val="00A6261C"/>
    <w:rsid w:val="00A62A9C"/>
    <w:rsid w:val="00A62DBE"/>
    <w:rsid w:val="00A62EFC"/>
    <w:rsid w:val="00A65A02"/>
    <w:rsid w:val="00A66C1D"/>
    <w:rsid w:val="00A678CD"/>
    <w:rsid w:val="00A67F34"/>
    <w:rsid w:val="00A70B08"/>
    <w:rsid w:val="00A713A7"/>
    <w:rsid w:val="00A72FFC"/>
    <w:rsid w:val="00A73729"/>
    <w:rsid w:val="00A73E05"/>
    <w:rsid w:val="00A751FE"/>
    <w:rsid w:val="00A753C0"/>
    <w:rsid w:val="00A75B67"/>
    <w:rsid w:val="00A75C4E"/>
    <w:rsid w:val="00A76FBF"/>
    <w:rsid w:val="00A771B8"/>
    <w:rsid w:val="00A77255"/>
    <w:rsid w:val="00A774E7"/>
    <w:rsid w:val="00A77A54"/>
    <w:rsid w:val="00A77BF6"/>
    <w:rsid w:val="00A8042B"/>
    <w:rsid w:val="00A8108F"/>
    <w:rsid w:val="00A8119F"/>
    <w:rsid w:val="00A8138C"/>
    <w:rsid w:val="00A81511"/>
    <w:rsid w:val="00A817DF"/>
    <w:rsid w:val="00A81843"/>
    <w:rsid w:val="00A83FAA"/>
    <w:rsid w:val="00A85EF2"/>
    <w:rsid w:val="00A87C0A"/>
    <w:rsid w:val="00A87DA4"/>
    <w:rsid w:val="00A9055C"/>
    <w:rsid w:val="00A90A5F"/>
    <w:rsid w:val="00A912EC"/>
    <w:rsid w:val="00A916C9"/>
    <w:rsid w:val="00A932E7"/>
    <w:rsid w:val="00A9372E"/>
    <w:rsid w:val="00A9425E"/>
    <w:rsid w:val="00A95C8E"/>
    <w:rsid w:val="00A966DD"/>
    <w:rsid w:val="00A9754A"/>
    <w:rsid w:val="00A97D6D"/>
    <w:rsid w:val="00AA0F38"/>
    <w:rsid w:val="00AA0FB9"/>
    <w:rsid w:val="00AA108E"/>
    <w:rsid w:val="00AA13C8"/>
    <w:rsid w:val="00AA1D1C"/>
    <w:rsid w:val="00AA2666"/>
    <w:rsid w:val="00AA30CD"/>
    <w:rsid w:val="00AA3D21"/>
    <w:rsid w:val="00AA4592"/>
    <w:rsid w:val="00AA4B7A"/>
    <w:rsid w:val="00AA5427"/>
    <w:rsid w:val="00AB00B9"/>
    <w:rsid w:val="00AB2E6B"/>
    <w:rsid w:val="00AB402A"/>
    <w:rsid w:val="00AB4C57"/>
    <w:rsid w:val="00AB5064"/>
    <w:rsid w:val="00AB534C"/>
    <w:rsid w:val="00AB53EB"/>
    <w:rsid w:val="00AB63F6"/>
    <w:rsid w:val="00AB6FE4"/>
    <w:rsid w:val="00AB7704"/>
    <w:rsid w:val="00AB7D1C"/>
    <w:rsid w:val="00AC2285"/>
    <w:rsid w:val="00AC2854"/>
    <w:rsid w:val="00AC2967"/>
    <w:rsid w:val="00AC2C80"/>
    <w:rsid w:val="00AC3B34"/>
    <w:rsid w:val="00AC40BD"/>
    <w:rsid w:val="00AC4D71"/>
    <w:rsid w:val="00AC610B"/>
    <w:rsid w:val="00AC6C80"/>
    <w:rsid w:val="00AC798A"/>
    <w:rsid w:val="00AD0B6A"/>
    <w:rsid w:val="00AD118C"/>
    <w:rsid w:val="00AD2146"/>
    <w:rsid w:val="00AD3D47"/>
    <w:rsid w:val="00AD4294"/>
    <w:rsid w:val="00AD594E"/>
    <w:rsid w:val="00AD65F5"/>
    <w:rsid w:val="00AD6716"/>
    <w:rsid w:val="00AD6CCB"/>
    <w:rsid w:val="00AD7F4B"/>
    <w:rsid w:val="00AE11E0"/>
    <w:rsid w:val="00AE1A54"/>
    <w:rsid w:val="00AE1FA4"/>
    <w:rsid w:val="00AE1FA8"/>
    <w:rsid w:val="00AE248F"/>
    <w:rsid w:val="00AE2729"/>
    <w:rsid w:val="00AE2ED7"/>
    <w:rsid w:val="00AE34B9"/>
    <w:rsid w:val="00AE3AD7"/>
    <w:rsid w:val="00AE47A3"/>
    <w:rsid w:val="00AE486A"/>
    <w:rsid w:val="00AE522F"/>
    <w:rsid w:val="00AE5486"/>
    <w:rsid w:val="00AE559C"/>
    <w:rsid w:val="00AE6526"/>
    <w:rsid w:val="00AF060F"/>
    <w:rsid w:val="00AF0891"/>
    <w:rsid w:val="00AF0A29"/>
    <w:rsid w:val="00AF0A6C"/>
    <w:rsid w:val="00AF152B"/>
    <w:rsid w:val="00AF1B52"/>
    <w:rsid w:val="00AF268B"/>
    <w:rsid w:val="00AF28A1"/>
    <w:rsid w:val="00AF2A9F"/>
    <w:rsid w:val="00AF3521"/>
    <w:rsid w:val="00AF3900"/>
    <w:rsid w:val="00AF5B81"/>
    <w:rsid w:val="00B0017A"/>
    <w:rsid w:val="00B01138"/>
    <w:rsid w:val="00B01218"/>
    <w:rsid w:val="00B01676"/>
    <w:rsid w:val="00B03599"/>
    <w:rsid w:val="00B04DC3"/>
    <w:rsid w:val="00B05981"/>
    <w:rsid w:val="00B05FF9"/>
    <w:rsid w:val="00B061B9"/>
    <w:rsid w:val="00B10153"/>
    <w:rsid w:val="00B1027A"/>
    <w:rsid w:val="00B105A7"/>
    <w:rsid w:val="00B1179F"/>
    <w:rsid w:val="00B13121"/>
    <w:rsid w:val="00B134C6"/>
    <w:rsid w:val="00B13C16"/>
    <w:rsid w:val="00B14D3B"/>
    <w:rsid w:val="00B155AF"/>
    <w:rsid w:val="00B15D8C"/>
    <w:rsid w:val="00B1632B"/>
    <w:rsid w:val="00B16559"/>
    <w:rsid w:val="00B16D30"/>
    <w:rsid w:val="00B17E60"/>
    <w:rsid w:val="00B20AF6"/>
    <w:rsid w:val="00B211C6"/>
    <w:rsid w:val="00B214F9"/>
    <w:rsid w:val="00B21979"/>
    <w:rsid w:val="00B2273F"/>
    <w:rsid w:val="00B22A14"/>
    <w:rsid w:val="00B22CD5"/>
    <w:rsid w:val="00B236EE"/>
    <w:rsid w:val="00B24A9A"/>
    <w:rsid w:val="00B24CFB"/>
    <w:rsid w:val="00B25220"/>
    <w:rsid w:val="00B26D5A"/>
    <w:rsid w:val="00B309DE"/>
    <w:rsid w:val="00B30EEB"/>
    <w:rsid w:val="00B31C5D"/>
    <w:rsid w:val="00B33473"/>
    <w:rsid w:val="00B334BA"/>
    <w:rsid w:val="00B36DE2"/>
    <w:rsid w:val="00B3793D"/>
    <w:rsid w:val="00B37B6D"/>
    <w:rsid w:val="00B40815"/>
    <w:rsid w:val="00B41838"/>
    <w:rsid w:val="00B41FA1"/>
    <w:rsid w:val="00B42970"/>
    <w:rsid w:val="00B45625"/>
    <w:rsid w:val="00B465C9"/>
    <w:rsid w:val="00B46A6E"/>
    <w:rsid w:val="00B511C7"/>
    <w:rsid w:val="00B51415"/>
    <w:rsid w:val="00B51597"/>
    <w:rsid w:val="00B5160B"/>
    <w:rsid w:val="00B5238E"/>
    <w:rsid w:val="00B52A0D"/>
    <w:rsid w:val="00B55E79"/>
    <w:rsid w:val="00B56820"/>
    <w:rsid w:val="00B569C7"/>
    <w:rsid w:val="00B57CE2"/>
    <w:rsid w:val="00B60745"/>
    <w:rsid w:val="00B617CC"/>
    <w:rsid w:val="00B62541"/>
    <w:rsid w:val="00B641CF"/>
    <w:rsid w:val="00B65A68"/>
    <w:rsid w:val="00B66A91"/>
    <w:rsid w:val="00B6795C"/>
    <w:rsid w:val="00B67D04"/>
    <w:rsid w:val="00B70523"/>
    <w:rsid w:val="00B7123F"/>
    <w:rsid w:val="00B71328"/>
    <w:rsid w:val="00B735EE"/>
    <w:rsid w:val="00B7387D"/>
    <w:rsid w:val="00B750E1"/>
    <w:rsid w:val="00B751CA"/>
    <w:rsid w:val="00B76215"/>
    <w:rsid w:val="00B804BD"/>
    <w:rsid w:val="00B811A4"/>
    <w:rsid w:val="00B81768"/>
    <w:rsid w:val="00B81E39"/>
    <w:rsid w:val="00B8348B"/>
    <w:rsid w:val="00B84242"/>
    <w:rsid w:val="00B85A52"/>
    <w:rsid w:val="00B902C8"/>
    <w:rsid w:val="00B91211"/>
    <w:rsid w:val="00B912A3"/>
    <w:rsid w:val="00B914F2"/>
    <w:rsid w:val="00B91C46"/>
    <w:rsid w:val="00B923E5"/>
    <w:rsid w:val="00B93C9D"/>
    <w:rsid w:val="00B946A9"/>
    <w:rsid w:val="00B947B0"/>
    <w:rsid w:val="00B95AAC"/>
    <w:rsid w:val="00B95D1E"/>
    <w:rsid w:val="00B96491"/>
    <w:rsid w:val="00B969BC"/>
    <w:rsid w:val="00B96D35"/>
    <w:rsid w:val="00B96E96"/>
    <w:rsid w:val="00BA1F77"/>
    <w:rsid w:val="00BA2D9E"/>
    <w:rsid w:val="00BA3090"/>
    <w:rsid w:val="00BA38BB"/>
    <w:rsid w:val="00BA3BF9"/>
    <w:rsid w:val="00BA48D9"/>
    <w:rsid w:val="00BA5313"/>
    <w:rsid w:val="00BA770C"/>
    <w:rsid w:val="00BA77D9"/>
    <w:rsid w:val="00BA7FE1"/>
    <w:rsid w:val="00BB049D"/>
    <w:rsid w:val="00BB0DE7"/>
    <w:rsid w:val="00BB1A15"/>
    <w:rsid w:val="00BB2B2E"/>
    <w:rsid w:val="00BB37BF"/>
    <w:rsid w:val="00BB41DC"/>
    <w:rsid w:val="00BB42D3"/>
    <w:rsid w:val="00BB4CA8"/>
    <w:rsid w:val="00BB57F8"/>
    <w:rsid w:val="00BB5D41"/>
    <w:rsid w:val="00BB68A4"/>
    <w:rsid w:val="00BB745E"/>
    <w:rsid w:val="00BB7CC0"/>
    <w:rsid w:val="00BC0D1D"/>
    <w:rsid w:val="00BC0E30"/>
    <w:rsid w:val="00BC240A"/>
    <w:rsid w:val="00BC275C"/>
    <w:rsid w:val="00BC285A"/>
    <w:rsid w:val="00BC2EE4"/>
    <w:rsid w:val="00BC6C15"/>
    <w:rsid w:val="00BC709C"/>
    <w:rsid w:val="00BC70EA"/>
    <w:rsid w:val="00BC71BC"/>
    <w:rsid w:val="00BC73DE"/>
    <w:rsid w:val="00BC7B74"/>
    <w:rsid w:val="00BD02FE"/>
    <w:rsid w:val="00BD0875"/>
    <w:rsid w:val="00BD091B"/>
    <w:rsid w:val="00BD1D4B"/>
    <w:rsid w:val="00BD202B"/>
    <w:rsid w:val="00BD370B"/>
    <w:rsid w:val="00BD3A47"/>
    <w:rsid w:val="00BD3A7B"/>
    <w:rsid w:val="00BD421A"/>
    <w:rsid w:val="00BD490A"/>
    <w:rsid w:val="00BD4D8B"/>
    <w:rsid w:val="00BD50DB"/>
    <w:rsid w:val="00BD61C7"/>
    <w:rsid w:val="00BD70C7"/>
    <w:rsid w:val="00BD7506"/>
    <w:rsid w:val="00BD752A"/>
    <w:rsid w:val="00BE0593"/>
    <w:rsid w:val="00BE24AD"/>
    <w:rsid w:val="00BE284E"/>
    <w:rsid w:val="00BE3BAA"/>
    <w:rsid w:val="00BE493F"/>
    <w:rsid w:val="00BE54CC"/>
    <w:rsid w:val="00BE781F"/>
    <w:rsid w:val="00BF06BD"/>
    <w:rsid w:val="00BF08BA"/>
    <w:rsid w:val="00BF09F8"/>
    <w:rsid w:val="00BF12CB"/>
    <w:rsid w:val="00BF17EA"/>
    <w:rsid w:val="00BF1B2A"/>
    <w:rsid w:val="00BF1DB0"/>
    <w:rsid w:val="00BF2E31"/>
    <w:rsid w:val="00BF3AAB"/>
    <w:rsid w:val="00BF4EE8"/>
    <w:rsid w:val="00BF590C"/>
    <w:rsid w:val="00BF6E9D"/>
    <w:rsid w:val="00BF7841"/>
    <w:rsid w:val="00C014F6"/>
    <w:rsid w:val="00C02073"/>
    <w:rsid w:val="00C022E8"/>
    <w:rsid w:val="00C03060"/>
    <w:rsid w:val="00C03A78"/>
    <w:rsid w:val="00C03C7C"/>
    <w:rsid w:val="00C04657"/>
    <w:rsid w:val="00C0647E"/>
    <w:rsid w:val="00C06BFD"/>
    <w:rsid w:val="00C10CD3"/>
    <w:rsid w:val="00C11D84"/>
    <w:rsid w:val="00C139DD"/>
    <w:rsid w:val="00C14984"/>
    <w:rsid w:val="00C15515"/>
    <w:rsid w:val="00C159D4"/>
    <w:rsid w:val="00C15F27"/>
    <w:rsid w:val="00C1775C"/>
    <w:rsid w:val="00C20467"/>
    <w:rsid w:val="00C21A87"/>
    <w:rsid w:val="00C237FE"/>
    <w:rsid w:val="00C23952"/>
    <w:rsid w:val="00C23B94"/>
    <w:rsid w:val="00C252BF"/>
    <w:rsid w:val="00C25664"/>
    <w:rsid w:val="00C26623"/>
    <w:rsid w:val="00C26BCA"/>
    <w:rsid w:val="00C27B8E"/>
    <w:rsid w:val="00C31C90"/>
    <w:rsid w:val="00C3226C"/>
    <w:rsid w:val="00C3277A"/>
    <w:rsid w:val="00C33358"/>
    <w:rsid w:val="00C33445"/>
    <w:rsid w:val="00C33610"/>
    <w:rsid w:val="00C33694"/>
    <w:rsid w:val="00C339DC"/>
    <w:rsid w:val="00C34CE3"/>
    <w:rsid w:val="00C357E1"/>
    <w:rsid w:val="00C357E2"/>
    <w:rsid w:val="00C35C01"/>
    <w:rsid w:val="00C35D28"/>
    <w:rsid w:val="00C35EE2"/>
    <w:rsid w:val="00C41145"/>
    <w:rsid w:val="00C4193B"/>
    <w:rsid w:val="00C42F0B"/>
    <w:rsid w:val="00C44DAA"/>
    <w:rsid w:val="00C45983"/>
    <w:rsid w:val="00C50242"/>
    <w:rsid w:val="00C505B1"/>
    <w:rsid w:val="00C5113A"/>
    <w:rsid w:val="00C5192F"/>
    <w:rsid w:val="00C52A7F"/>
    <w:rsid w:val="00C52E39"/>
    <w:rsid w:val="00C55882"/>
    <w:rsid w:val="00C56C27"/>
    <w:rsid w:val="00C60C99"/>
    <w:rsid w:val="00C63037"/>
    <w:rsid w:val="00C6347C"/>
    <w:rsid w:val="00C64410"/>
    <w:rsid w:val="00C647E9"/>
    <w:rsid w:val="00C66D1A"/>
    <w:rsid w:val="00C66EE4"/>
    <w:rsid w:val="00C710B9"/>
    <w:rsid w:val="00C7197B"/>
    <w:rsid w:val="00C726EE"/>
    <w:rsid w:val="00C72B1F"/>
    <w:rsid w:val="00C72BED"/>
    <w:rsid w:val="00C73BB0"/>
    <w:rsid w:val="00C746E1"/>
    <w:rsid w:val="00C7671A"/>
    <w:rsid w:val="00C80338"/>
    <w:rsid w:val="00C819D6"/>
    <w:rsid w:val="00C823E0"/>
    <w:rsid w:val="00C8470C"/>
    <w:rsid w:val="00C84CCD"/>
    <w:rsid w:val="00C855C7"/>
    <w:rsid w:val="00C8575D"/>
    <w:rsid w:val="00C860DE"/>
    <w:rsid w:val="00C9228F"/>
    <w:rsid w:val="00C926D7"/>
    <w:rsid w:val="00C92B34"/>
    <w:rsid w:val="00C92B71"/>
    <w:rsid w:val="00C932A8"/>
    <w:rsid w:val="00C943F5"/>
    <w:rsid w:val="00C94E7F"/>
    <w:rsid w:val="00C97AB7"/>
    <w:rsid w:val="00CA004E"/>
    <w:rsid w:val="00CA1ABC"/>
    <w:rsid w:val="00CA2196"/>
    <w:rsid w:val="00CA25BC"/>
    <w:rsid w:val="00CA3530"/>
    <w:rsid w:val="00CA386D"/>
    <w:rsid w:val="00CA4781"/>
    <w:rsid w:val="00CA543D"/>
    <w:rsid w:val="00CA5CD6"/>
    <w:rsid w:val="00CB039D"/>
    <w:rsid w:val="00CB2F53"/>
    <w:rsid w:val="00CB3303"/>
    <w:rsid w:val="00CB35E3"/>
    <w:rsid w:val="00CB3743"/>
    <w:rsid w:val="00CB4701"/>
    <w:rsid w:val="00CB7A6F"/>
    <w:rsid w:val="00CC09D6"/>
    <w:rsid w:val="00CC1137"/>
    <w:rsid w:val="00CC13C4"/>
    <w:rsid w:val="00CC3593"/>
    <w:rsid w:val="00CC3ED6"/>
    <w:rsid w:val="00CC7025"/>
    <w:rsid w:val="00CC75FE"/>
    <w:rsid w:val="00CC7B40"/>
    <w:rsid w:val="00CD0031"/>
    <w:rsid w:val="00CD272B"/>
    <w:rsid w:val="00CD41C2"/>
    <w:rsid w:val="00CD4DD4"/>
    <w:rsid w:val="00CD57D1"/>
    <w:rsid w:val="00CD57DB"/>
    <w:rsid w:val="00CD7853"/>
    <w:rsid w:val="00CE01D3"/>
    <w:rsid w:val="00CE173A"/>
    <w:rsid w:val="00CE1851"/>
    <w:rsid w:val="00CE22E2"/>
    <w:rsid w:val="00CE23BF"/>
    <w:rsid w:val="00CE23FA"/>
    <w:rsid w:val="00CE2B1B"/>
    <w:rsid w:val="00CE4BA6"/>
    <w:rsid w:val="00CE4C47"/>
    <w:rsid w:val="00CE6BBC"/>
    <w:rsid w:val="00CE7029"/>
    <w:rsid w:val="00CE70F6"/>
    <w:rsid w:val="00CF0606"/>
    <w:rsid w:val="00CF0FCF"/>
    <w:rsid w:val="00CF139B"/>
    <w:rsid w:val="00CF24B9"/>
    <w:rsid w:val="00CF3205"/>
    <w:rsid w:val="00CF4692"/>
    <w:rsid w:val="00CF4AC3"/>
    <w:rsid w:val="00CF5186"/>
    <w:rsid w:val="00CF53E2"/>
    <w:rsid w:val="00CF55A5"/>
    <w:rsid w:val="00CF6098"/>
    <w:rsid w:val="00CF653F"/>
    <w:rsid w:val="00CF6B1B"/>
    <w:rsid w:val="00D00C9B"/>
    <w:rsid w:val="00D01EC9"/>
    <w:rsid w:val="00D02458"/>
    <w:rsid w:val="00D02C5A"/>
    <w:rsid w:val="00D04347"/>
    <w:rsid w:val="00D0470E"/>
    <w:rsid w:val="00D04968"/>
    <w:rsid w:val="00D05223"/>
    <w:rsid w:val="00D05D7E"/>
    <w:rsid w:val="00D06048"/>
    <w:rsid w:val="00D061C8"/>
    <w:rsid w:val="00D064BA"/>
    <w:rsid w:val="00D06E8D"/>
    <w:rsid w:val="00D0752B"/>
    <w:rsid w:val="00D0773C"/>
    <w:rsid w:val="00D10968"/>
    <w:rsid w:val="00D10C50"/>
    <w:rsid w:val="00D1192E"/>
    <w:rsid w:val="00D130E9"/>
    <w:rsid w:val="00D1452E"/>
    <w:rsid w:val="00D14AF1"/>
    <w:rsid w:val="00D15609"/>
    <w:rsid w:val="00D15D79"/>
    <w:rsid w:val="00D15F19"/>
    <w:rsid w:val="00D16C11"/>
    <w:rsid w:val="00D16F40"/>
    <w:rsid w:val="00D17196"/>
    <w:rsid w:val="00D21096"/>
    <w:rsid w:val="00D21201"/>
    <w:rsid w:val="00D21308"/>
    <w:rsid w:val="00D215D6"/>
    <w:rsid w:val="00D21929"/>
    <w:rsid w:val="00D219BC"/>
    <w:rsid w:val="00D228AD"/>
    <w:rsid w:val="00D2332D"/>
    <w:rsid w:val="00D246D7"/>
    <w:rsid w:val="00D252D6"/>
    <w:rsid w:val="00D25328"/>
    <w:rsid w:val="00D25452"/>
    <w:rsid w:val="00D25B15"/>
    <w:rsid w:val="00D26C8D"/>
    <w:rsid w:val="00D2780A"/>
    <w:rsid w:val="00D2780D"/>
    <w:rsid w:val="00D27CBD"/>
    <w:rsid w:val="00D27F13"/>
    <w:rsid w:val="00D304B3"/>
    <w:rsid w:val="00D30682"/>
    <w:rsid w:val="00D307BD"/>
    <w:rsid w:val="00D30B6D"/>
    <w:rsid w:val="00D312CD"/>
    <w:rsid w:val="00D32008"/>
    <w:rsid w:val="00D331B3"/>
    <w:rsid w:val="00D3340A"/>
    <w:rsid w:val="00D33889"/>
    <w:rsid w:val="00D37275"/>
    <w:rsid w:val="00D377A7"/>
    <w:rsid w:val="00D37BC6"/>
    <w:rsid w:val="00D40B2C"/>
    <w:rsid w:val="00D40C15"/>
    <w:rsid w:val="00D411A8"/>
    <w:rsid w:val="00D427E2"/>
    <w:rsid w:val="00D428A3"/>
    <w:rsid w:val="00D4290B"/>
    <w:rsid w:val="00D43B9B"/>
    <w:rsid w:val="00D44512"/>
    <w:rsid w:val="00D453E2"/>
    <w:rsid w:val="00D454C7"/>
    <w:rsid w:val="00D4648A"/>
    <w:rsid w:val="00D465F9"/>
    <w:rsid w:val="00D473A4"/>
    <w:rsid w:val="00D4759E"/>
    <w:rsid w:val="00D475F4"/>
    <w:rsid w:val="00D505DD"/>
    <w:rsid w:val="00D50A7A"/>
    <w:rsid w:val="00D50B4D"/>
    <w:rsid w:val="00D50D6C"/>
    <w:rsid w:val="00D51B0B"/>
    <w:rsid w:val="00D528D7"/>
    <w:rsid w:val="00D53D76"/>
    <w:rsid w:val="00D54378"/>
    <w:rsid w:val="00D549DA"/>
    <w:rsid w:val="00D5650C"/>
    <w:rsid w:val="00D565ED"/>
    <w:rsid w:val="00D56CCB"/>
    <w:rsid w:val="00D56FC6"/>
    <w:rsid w:val="00D60305"/>
    <w:rsid w:val="00D60898"/>
    <w:rsid w:val="00D60BE0"/>
    <w:rsid w:val="00D60BFA"/>
    <w:rsid w:val="00D6169B"/>
    <w:rsid w:val="00D61BE0"/>
    <w:rsid w:val="00D6201C"/>
    <w:rsid w:val="00D633E6"/>
    <w:rsid w:val="00D64AA2"/>
    <w:rsid w:val="00D6609E"/>
    <w:rsid w:val="00D66280"/>
    <w:rsid w:val="00D667B0"/>
    <w:rsid w:val="00D66A2B"/>
    <w:rsid w:val="00D66DCF"/>
    <w:rsid w:val="00D678C5"/>
    <w:rsid w:val="00D718F6"/>
    <w:rsid w:val="00D72CBC"/>
    <w:rsid w:val="00D736E1"/>
    <w:rsid w:val="00D73930"/>
    <w:rsid w:val="00D74799"/>
    <w:rsid w:val="00D75721"/>
    <w:rsid w:val="00D75857"/>
    <w:rsid w:val="00D75895"/>
    <w:rsid w:val="00D761A1"/>
    <w:rsid w:val="00D7635F"/>
    <w:rsid w:val="00D77124"/>
    <w:rsid w:val="00D77989"/>
    <w:rsid w:val="00D824A1"/>
    <w:rsid w:val="00D82723"/>
    <w:rsid w:val="00D82C2B"/>
    <w:rsid w:val="00D83DFF"/>
    <w:rsid w:val="00D843A2"/>
    <w:rsid w:val="00D854CA"/>
    <w:rsid w:val="00D9199A"/>
    <w:rsid w:val="00D927FC"/>
    <w:rsid w:val="00D928F4"/>
    <w:rsid w:val="00D94792"/>
    <w:rsid w:val="00D94BBB"/>
    <w:rsid w:val="00D956C5"/>
    <w:rsid w:val="00D9719B"/>
    <w:rsid w:val="00D973A4"/>
    <w:rsid w:val="00D976DC"/>
    <w:rsid w:val="00DA084C"/>
    <w:rsid w:val="00DA167B"/>
    <w:rsid w:val="00DA1C3C"/>
    <w:rsid w:val="00DA537F"/>
    <w:rsid w:val="00DA5EC7"/>
    <w:rsid w:val="00DA7844"/>
    <w:rsid w:val="00DA78CA"/>
    <w:rsid w:val="00DB1ACA"/>
    <w:rsid w:val="00DB1C0E"/>
    <w:rsid w:val="00DB1F2B"/>
    <w:rsid w:val="00DB41C3"/>
    <w:rsid w:val="00DB4D19"/>
    <w:rsid w:val="00DB5501"/>
    <w:rsid w:val="00DB5B92"/>
    <w:rsid w:val="00DB6617"/>
    <w:rsid w:val="00DB68C4"/>
    <w:rsid w:val="00DB6D65"/>
    <w:rsid w:val="00DB78F6"/>
    <w:rsid w:val="00DC1F9E"/>
    <w:rsid w:val="00DC21FC"/>
    <w:rsid w:val="00DC230E"/>
    <w:rsid w:val="00DC4107"/>
    <w:rsid w:val="00DC5481"/>
    <w:rsid w:val="00DC5EBC"/>
    <w:rsid w:val="00DC6DA7"/>
    <w:rsid w:val="00DC6FF6"/>
    <w:rsid w:val="00DC7160"/>
    <w:rsid w:val="00DC7B7F"/>
    <w:rsid w:val="00DD0C04"/>
    <w:rsid w:val="00DD2779"/>
    <w:rsid w:val="00DD49BB"/>
    <w:rsid w:val="00DD5B95"/>
    <w:rsid w:val="00DD66EA"/>
    <w:rsid w:val="00DD682E"/>
    <w:rsid w:val="00DD6C1D"/>
    <w:rsid w:val="00DD6F37"/>
    <w:rsid w:val="00DE088B"/>
    <w:rsid w:val="00DE2113"/>
    <w:rsid w:val="00DE272B"/>
    <w:rsid w:val="00DE2A4A"/>
    <w:rsid w:val="00DE3423"/>
    <w:rsid w:val="00DE3FCB"/>
    <w:rsid w:val="00DE4D77"/>
    <w:rsid w:val="00DE6761"/>
    <w:rsid w:val="00DE7661"/>
    <w:rsid w:val="00DF01CA"/>
    <w:rsid w:val="00DF2BB7"/>
    <w:rsid w:val="00DF3063"/>
    <w:rsid w:val="00DF33B6"/>
    <w:rsid w:val="00DF3404"/>
    <w:rsid w:val="00DF3838"/>
    <w:rsid w:val="00DF535D"/>
    <w:rsid w:val="00DF570B"/>
    <w:rsid w:val="00DF6296"/>
    <w:rsid w:val="00DF6361"/>
    <w:rsid w:val="00DF6A8B"/>
    <w:rsid w:val="00DF740A"/>
    <w:rsid w:val="00DF75D0"/>
    <w:rsid w:val="00E001CA"/>
    <w:rsid w:val="00E0036B"/>
    <w:rsid w:val="00E01E94"/>
    <w:rsid w:val="00E02117"/>
    <w:rsid w:val="00E02285"/>
    <w:rsid w:val="00E02298"/>
    <w:rsid w:val="00E03968"/>
    <w:rsid w:val="00E04BBB"/>
    <w:rsid w:val="00E053FE"/>
    <w:rsid w:val="00E06867"/>
    <w:rsid w:val="00E06CE2"/>
    <w:rsid w:val="00E07058"/>
    <w:rsid w:val="00E07C68"/>
    <w:rsid w:val="00E10460"/>
    <w:rsid w:val="00E10608"/>
    <w:rsid w:val="00E116C6"/>
    <w:rsid w:val="00E11B52"/>
    <w:rsid w:val="00E11DD9"/>
    <w:rsid w:val="00E123EC"/>
    <w:rsid w:val="00E12595"/>
    <w:rsid w:val="00E13AEB"/>
    <w:rsid w:val="00E140E0"/>
    <w:rsid w:val="00E14969"/>
    <w:rsid w:val="00E150BB"/>
    <w:rsid w:val="00E167F9"/>
    <w:rsid w:val="00E16B74"/>
    <w:rsid w:val="00E16C3A"/>
    <w:rsid w:val="00E21C6B"/>
    <w:rsid w:val="00E2222F"/>
    <w:rsid w:val="00E227BB"/>
    <w:rsid w:val="00E23E8B"/>
    <w:rsid w:val="00E25C8B"/>
    <w:rsid w:val="00E268EC"/>
    <w:rsid w:val="00E26B34"/>
    <w:rsid w:val="00E316EE"/>
    <w:rsid w:val="00E327DB"/>
    <w:rsid w:val="00E32A6B"/>
    <w:rsid w:val="00E3346C"/>
    <w:rsid w:val="00E33C5F"/>
    <w:rsid w:val="00E3464E"/>
    <w:rsid w:val="00E3465F"/>
    <w:rsid w:val="00E3758B"/>
    <w:rsid w:val="00E400AB"/>
    <w:rsid w:val="00E40D6E"/>
    <w:rsid w:val="00E40DC7"/>
    <w:rsid w:val="00E40FB0"/>
    <w:rsid w:val="00E41227"/>
    <w:rsid w:val="00E414B1"/>
    <w:rsid w:val="00E4190F"/>
    <w:rsid w:val="00E43BEB"/>
    <w:rsid w:val="00E445CD"/>
    <w:rsid w:val="00E45F1E"/>
    <w:rsid w:val="00E46269"/>
    <w:rsid w:val="00E4693A"/>
    <w:rsid w:val="00E4707C"/>
    <w:rsid w:val="00E4765C"/>
    <w:rsid w:val="00E47A4F"/>
    <w:rsid w:val="00E51259"/>
    <w:rsid w:val="00E5161F"/>
    <w:rsid w:val="00E51AAA"/>
    <w:rsid w:val="00E51B71"/>
    <w:rsid w:val="00E52348"/>
    <w:rsid w:val="00E5345A"/>
    <w:rsid w:val="00E54249"/>
    <w:rsid w:val="00E547B8"/>
    <w:rsid w:val="00E55201"/>
    <w:rsid w:val="00E552F1"/>
    <w:rsid w:val="00E5668D"/>
    <w:rsid w:val="00E57909"/>
    <w:rsid w:val="00E604C9"/>
    <w:rsid w:val="00E626A0"/>
    <w:rsid w:val="00E6440A"/>
    <w:rsid w:val="00E647B7"/>
    <w:rsid w:val="00E657FE"/>
    <w:rsid w:val="00E6784B"/>
    <w:rsid w:val="00E67DF4"/>
    <w:rsid w:val="00E70943"/>
    <w:rsid w:val="00E7123F"/>
    <w:rsid w:val="00E72232"/>
    <w:rsid w:val="00E723FE"/>
    <w:rsid w:val="00E75A02"/>
    <w:rsid w:val="00E75A5E"/>
    <w:rsid w:val="00E7632C"/>
    <w:rsid w:val="00E76622"/>
    <w:rsid w:val="00E77ECC"/>
    <w:rsid w:val="00E800EA"/>
    <w:rsid w:val="00E808C6"/>
    <w:rsid w:val="00E81845"/>
    <w:rsid w:val="00E8197D"/>
    <w:rsid w:val="00E831E1"/>
    <w:rsid w:val="00E835B3"/>
    <w:rsid w:val="00E83DC6"/>
    <w:rsid w:val="00E83F5B"/>
    <w:rsid w:val="00E84348"/>
    <w:rsid w:val="00E85035"/>
    <w:rsid w:val="00E85E70"/>
    <w:rsid w:val="00E90974"/>
    <w:rsid w:val="00E90D07"/>
    <w:rsid w:val="00E914E4"/>
    <w:rsid w:val="00E91E62"/>
    <w:rsid w:val="00E92136"/>
    <w:rsid w:val="00E928BA"/>
    <w:rsid w:val="00E94771"/>
    <w:rsid w:val="00E94A7C"/>
    <w:rsid w:val="00E94B56"/>
    <w:rsid w:val="00E9567D"/>
    <w:rsid w:val="00E95737"/>
    <w:rsid w:val="00E95A7C"/>
    <w:rsid w:val="00E95D89"/>
    <w:rsid w:val="00EA069D"/>
    <w:rsid w:val="00EA0AED"/>
    <w:rsid w:val="00EA2469"/>
    <w:rsid w:val="00EA2857"/>
    <w:rsid w:val="00EA2A19"/>
    <w:rsid w:val="00EA2FE1"/>
    <w:rsid w:val="00EA4395"/>
    <w:rsid w:val="00EA4603"/>
    <w:rsid w:val="00EA5256"/>
    <w:rsid w:val="00EA713A"/>
    <w:rsid w:val="00EA7927"/>
    <w:rsid w:val="00EB090D"/>
    <w:rsid w:val="00EB11C6"/>
    <w:rsid w:val="00EB1667"/>
    <w:rsid w:val="00EB1C7A"/>
    <w:rsid w:val="00EB3FF4"/>
    <w:rsid w:val="00EB4263"/>
    <w:rsid w:val="00EB4B0F"/>
    <w:rsid w:val="00EB4DB8"/>
    <w:rsid w:val="00EB578E"/>
    <w:rsid w:val="00EB70A1"/>
    <w:rsid w:val="00EB71DB"/>
    <w:rsid w:val="00EB7B23"/>
    <w:rsid w:val="00EB7BB3"/>
    <w:rsid w:val="00EB7D67"/>
    <w:rsid w:val="00EC0328"/>
    <w:rsid w:val="00EC110C"/>
    <w:rsid w:val="00EC2B9E"/>
    <w:rsid w:val="00EC2C4E"/>
    <w:rsid w:val="00EC2F71"/>
    <w:rsid w:val="00EC4314"/>
    <w:rsid w:val="00EC46B5"/>
    <w:rsid w:val="00EC57AB"/>
    <w:rsid w:val="00EC5816"/>
    <w:rsid w:val="00EC6F1E"/>
    <w:rsid w:val="00ED0276"/>
    <w:rsid w:val="00ED0BBC"/>
    <w:rsid w:val="00ED1031"/>
    <w:rsid w:val="00ED10EF"/>
    <w:rsid w:val="00ED14B1"/>
    <w:rsid w:val="00ED15B2"/>
    <w:rsid w:val="00ED1AD9"/>
    <w:rsid w:val="00ED1E4C"/>
    <w:rsid w:val="00ED1F06"/>
    <w:rsid w:val="00ED1FCD"/>
    <w:rsid w:val="00ED5228"/>
    <w:rsid w:val="00ED5536"/>
    <w:rsid w:val="00ED7809"/>
    <w:rsid w:val="00ED7934"/>
    <w:rsid w:val="00EE0746"/>
    <w:rsid w:val="00EE099D"/>
    <w:rsid w:val="00EE0B70"/>
    <w:rsid w:val="00EE1F6D"/>
    <w:rsid w:val="00EE2405"/>
    <w:rsid w:val="00EE29F1"/>
    <w:rsid w:val="00EE3228"/>
    <w:rsid w:val="00EE4EEA"/>
    <w:rsid w:val="00EE6622"/>
    <w:rsid w:val="00EE662D"/>
    <w:rsid w:val="00EE7381"/>
    <w:rsid w:val="00EE7682"/>
    <w:rsid w:val="00EE76C1"/>
    <w:rsid w:val="00EF0E45"/>
    <w:rsid w:val="00EF2798"/>
    <w:rsid w:val="00EF283C"/>
    <w:rsid w:val="00EF3771"/>
    <w:rsid w:val="00EF52E6"/>
    <w:rsid w:val="00EF5E63"/>
    <w:rsid w:val="00EF7C05"/>
    <w:rsid w:val="00EF7F4B"/>
    <w:rsid w:val="00F00C9D"/>
    <w:rsid w:val="00F0211E"/>
    <w:rsid w:val="00F025AE"/>
    <w:rsid w:val="00F02AE5"/>
    <w:rsid w:val="00F02E1A"/>
    <w:rsid w:val="00F02E9D"/>
    <w:rsid w:val="00F03280"/>
    <w:rsid w:val="00F0369D"/>
    <w:rsid w:val="00F03848"/>
    <w:rsid w:val="00F0482D"/>
    <w:rsid w:val="00F04A50"/>
    <w:rsid w:val="00F0639B"/>
    <w:rsid w:val="00F06924"/>
    <w:rsid w:val="00F06EBB"/>
    <w:rsid w:val="00F07A42"/>
    <w:rsid w:val="00F111E2"/>
    <w:rsid w:val="00F11461"/>
    <w:rsid w:val="00F13631"/>
    <w:rsid w:val="00F139D5"/>
    <w:rsid w:val="00F150AB"/>
    <w:rsid w:val="00F15A60"/>
    <w:rsid w:val="00F203A5"/>
    <w:rsid w:val="00F203F8"/>
    <w:rsid w:val="00F20585"/>
    <w:rsid w:val="00F207F8"/>
    <w:rsid w:val="00F20F6B"/>
    <w:rsid w:val="00F2352F"/>
    <w:rsid w:val="00F23831"/>
    <w:rsid w:val="00F24B16"/>
    <w:rsid w:val="00F24F2E"/>
    <w:rsid w:val="00F25DE7"/>
    <w:rsid w:val="00F30DEC"/>
    <w:rsid w:val="00F31920"/>
    <w:rsid w:val="00F32D6C"/>
    <w:rsid w:val="00F3361E"/>
    <w:rsid w:val="00F34794"/>
    <w:rsid w:val="00F35147"/>
    <w:rsid w:val="00F35A91"/>
    <w:rsid w:val="00F36516"/>
    <w:rsid w:val="00F40084"/>
    <w:rsid w:val="00F412BA"/>
    <w:rsid w:val="00F4181E"/>
    <w:rsid w:val="00F41EC7"/>
    <w:rsid w:val="00F439AE"/>
    <w:rsid w:val="00F45CFD"/>
    <w:rsid w:val="00F45F29"/>
    <w:rsid w:val="00F4711F"/>
    <w:rsid w:val="00F471A3"/>
    <w:rsid w:val="00F50E86"/>
    <w:rsid w:val="00F514D6"/>
    <w:rsid w:val="00F52093"/>
    <w:rsid w:val="00F52683"/>
    <w:rsid w:val="00F52F6B"/>
    <w:rsid w:val="00F534A8"/>
    <w:rsid w:val="00F5378A"/>
    <w:rsid w:val="00F5392C"/>
    <w:rsid w:val="00F53C2A"/>
    <w:rsid w:val="00F53D77"/>
    <w:rsid w:val="00F54646"/>
    <w:rsid w:val="00F5542A"/>
    <w:rsid w:val="00F55518"/>
    <w:rsid w:val="00F5613F"/>
    <w:rsid w:val="00F56A78"/>
    <w:rsid w:val="00F56E5A"/>
    <w:rsid w:val="00F56ED8"/>
    <w:rsid w:val="00F57121"/>
    <w:rsid w:val="00F57E17"/>
    <w:rsid w:val="00F603EF"/>
    <w:rsid w:val="00F62760"/>
    <w:rsid w:val="00F63593"/>
    <w:rsid w:val="00F63AC8"/>
    <w:rsid w:val="00F65519"/>
    <w:rsid w:val="00F670FB"/>
    <w:rsid w:val="00F7019E"/>
    <w:rsid w:val="00F7238D"/>
    <w:rsid w:val="00F73EF4"/>
    <w:rsid w:val="00F74968"/>
    <w:rsid w:val="00F75226"/>
    <w:rsid w:val="00F7561F"/>
    <w:rsid w:val="00F75BCA"/>
    <w:rsid w:val="00F75CDD"/>
    <w:rsid w:val="00F75D60"/>
    <w:rsid w:val="00F766D6"/>
    <w:rsid w:val="00F76741"/>
    <w:rsid w:val="00F77ABD"/>
    <w:rsid w:val="00F802B1"/>
    <w:rsid w:val="00F806A5"/>
    <w:rsid w:val="00F82594"/>
    <w:rsid w:val="00F82CCA"/>
    <w:rsid w:val="00F82D30"/>
    <w:rsid w:val="00F83875"/>
    <w:rsid w:val="00F83C8C"/>
    <w:rsid w:val="00F83E78"/>
    <w:rsid w:val="00F85F3D"/>
    <w:rsid w:val="00F863A6"/>
    <w:rsid w:val="00F8652B"/>
    <w:rsid w:val="00F86D73"/>
    <w:rsid w:val="00F92545"/>
    <w:rsid w:val="00F9393E"/>
    <w:rsid w:val="00F9460F"/>
    <w:rsid w:val="00F9709A"/>
    <w:rsid w:val="00F973C8"/>
    <w:rsid w:val="00FA2807"/>
    <w:rsid w:val="00FA2E8D"/>
    <w:rsid w:val="00FA30A8"/>
    <w:rsid w:val="00FA3724"/>
    <w:rsid w:val="00FA3DED"/>
    <w:rsid w:val="00FA43E7"/>
    <w:rsid w:val="00FA4409"/>
    <w:rsid w:val="00FA4B34"/>
    <w:rsid w:val="00FA5DE5"/>
    <w:rsid w:val="00FA6544"/>
    <w:rsid w:val="00FA656E"/>
    <w:rsid w:val="00FA6827"/>
    <w:rsid w:val="00FA74F1"/>
    <w:rsid w:val="00FA7643"/>
    <w:rsid w:val="00FA7EA9"/>
    <w:rsid w:val="00FB03B5"/>
    <w:rsid w:val="00FB13DF"/>
    <w:rsid w:val="00FB19EE"/>
    <w:rsid w:val="00FB2056"/>
    <w:rsid w:val="00FB2419"/>
    <w:rsid w:val="00FB3656"/>
    <w:rsid w:val="00FB3F6E"/>
    <w:rsid w:val="00FB4070"/>
    <w:rsid w:val="00FB478C"/>
    <w:rsid w:val="00FB48BA"/>
    <w:rsid w:val="00FB5188"/>
    <w:rsid w:val="00FB5BF3"/>
    <w:rsid w:val="00FB625D"/>
    <w:rsid w:val="00FB7196"/>
    <w:rsid w:val="00FB7D09"/>
    <w:rsid w:val="00FC02D3"/>
    <w:rsid w:val="00FC02F7"/>
    <w:rsid w:val="00FC03BD"/>
    <w:rsid w:val="00FC0A26"/>
    <w:rsid w:val="00FC0F6D"/>
    <w:rsid w:val="00FC238D"/>
    <w:rsid w:val="00FC3209"/>
    <w:rsid w:val="00FC36A4"/>
    <w:rsid w:val="00FC3736"/>
    <w:rsid w:val="00FC3BEC"/>
    <w:rsid w:val="00FC48C8"/>
    <w:rsid w:val="00FC4DA3"/>
    <w:rsid w:val="00FC4EEB"/>
    <w:rsid w:val="00FC502D"/>
    <w:rsid w:val="00FC5328"/>
    <w:rsid w:val="00FC64E1"/>
    <w:rsid w:val="00FC711D"/>
    <w:rsid w:val="00FC7225"/>
    <w:rsid w:val="00FD0521"/>
    <w:rsid w:val="00FD20EF"/>
    <w:rsid w:val="00FD2EF1"/>
    <w:rsid w:val="00FD3B88"/>
    <w:rsid w:val="00FD4C5B"/>
    <w:rsid w:val="00FD5449"/>
    <w:rsid w:val="00FD605C"/>
    <w:rsid w:val="00FD61A6"/>
    <w:rsid w:val="00FD65E7"/>
    <w:rsid w:val="00FD678A"/>
    <w:rsid w:val="00FD73BF"/>
    <w:rsid w:val="00FD7632"/>
    <w:rsid w:val="00FE0705"/>
    <w:rsid w:val="00FE0CA5"/>
    <w:rsid w:val="00FE139E"/>
    <w:rsid w:val="00FE1D20"/>
    <w:rsid w:val="00FE1DBA"/>
    <w:rsid w:val="00FE66BE"/>
    <w:rsid w:val="00FE746B"/>
    <w:rsid w:val="00FF07EE"/>
    <w:rsid w:val="00FF180D"/>
    <w:rsid w:val="00FF2473"/>
    <w:rsid w:val="00FF35FA"/>
    <w:rsid w:val="00FF5D0D"/>
    <w:rsid w:val="00FF6AC9"/>
    <w:rsid w:val="03257471"/>
    <w:rsid w:val="04D39D53"/>
    <w:rsid w:val="05026D4B"/>
    <w:rsid w:val="05755481"/>
    <w:rsid w:val="05F7646F"/>
    <w:rsid w:val="06011F73"/>
    <w:rsid w:val="06882242"/>
    <w:rsid w:val="06F258F7"/>
    <w:rsid w:val="0738013C"/>
    <w:rsid w:val="073A7173"/>
    <w:rsid w:val="074DF9F3"/>
    <w:rsid w:val="07703F91"/>
    <w:rsid w:val="0794D0EB"/>
    <w:rsid w:val="07ED9A0F"/>
    <w:rsid w:val="09B7A014"/>
    <w:rsid w:val="0AAF06CA"/>
    <w:rsid w:val="0B745683"/>
    <w:rsid w:val="0B7C0499"/>
    <w:rsid w:val="0BAC4ADC"/>
    <w:rsid w:val="0C390B62"/>
    <w:rsid w:val="0C5C7E64"/>
    <w:rsid w:val="0CC9393A"/>
    <w:rsid w:val="0D461B30"/>
    <w:rsid w:val="0D501741"/>
    <w:rsid w:val="0DEE5F77"/>
    <w:rsid w:val="0DFFDE8C"/>
    <w:rsid w:val="0E2E535E"/>
    <w:rsid w:val="0E75E2E0"/>
    <w:rsid w:val="0ED5F063"/>
    <w:rsid w:val="0F7F7ACF"/>
    <w:rsid w:val="0FDBD93A"/>
    <w:rsid w:val="1031756B"/>
    <w:rsid w:val="11275C77"/>
    <w:rsid w:val="11931F79"/>
    <w:rsid w:val="11BD5413"/>
    <w:rsid w:val="11EFAB9F"/>
    <w:rsid w:val="133A1F99"/>
    <w:rsid w:val="147FF452"/>
    <w:rsid w:val="14E63D87"/>
    <w:rsid w:val="15FB8984"/>
    <w:rsid w:val="16F9C773"/>
    <w:rsid w:val="1703504B"/>
    <w:rsid w:val="1733271C"/>
    <w:rsid w:val="1738BD8F"/>
    <w:rsid w:val="17BD6F03"/>
    <w:rsid w:val="17EBC4E9"/>
    <w:rsid w:val="18753A87"/>
    <w:rsid w:val="194D2360"/>
    <w:rsid w:val="19A250E6"/>
    <w:rsid w:val="19DE42E1"/>
    <w:rsid w:val="1B3BDA6D"/>
    <w:rsid w:val="1B3FFA22"/>
    <w:rsid w:val="1B487F31"/>
    <w:rsid w:val="1B737351"/>
    <w:rsid w:val="1BDFFAE9"/>
    <w:rsid w:val="1BFD85E5"/>
    <w:rsid w:val="1C5A34B6"/>
    <w:rsid w:val="1CFF414B"/>
    <w:rsid w:val="1DBB58C0"/>
    <w:rsid w:val="1DEB7023"/>
    <w:rsid w:val="1DEF59C4"/>
    <w:rsid w:val="1E5FB1B8"/>
    <w:rsid w:val="1EF7E5F1"/>
    <w:rsid w:val="1EF7FBE6"/>
    <w:rsid w:val="1EFD0303"/>
    <w:rsid w:val="1F3E742C"/>
    <w:rsid w:val="1F4652BE"/>
    <w:rsid w:val="1F6C0009"/>
    <w:rsid w:val="1F7F3089"/>
    <w:rsid w:val="1FA57D22"/>
    <w:rsid w:val="1FBB2EC2"/>
    <w:rsid w:val="1FBF0309"/>
    <w:rsid w:val="1FCDD9AA"/>
    <w:rsid w:val="226E52B9"/>
    <w:rsid w:val="238C33B2"/>
    <w:rsid w:val="239258A8"/>
    <w:rsid w:val="23FF077F"/>
    <w:rsid w:val="249A6036"/>
    <w:rsid w:val="25D78893"/>
    <w:rsid w:val="25FC4C82"/>
    <w:rsid w:val="277F2054"/>
    <w:rsid w:val="279B2AD2"/>
    <w:rsid w:val="27D60ABE"/>
    <w:rsid w:val="27FDF959"/>
    <w:rsid w:val="29483366"/>
    <w:rsid w:val="295C133B"/>
    <w:rsid w:val="29B67BB5"/>
    <w:rsid w:val="2A283EEB"/>
    <w:rsid w:val="2A8B6F09"/>
    <w:rsid w:val="2A9D47AC"/>
    <w:rsid w:val="2BFB5437"/>
    <w:rsid w:val="2D57955E"/>
    <w:rsid w:val="2D9FA04F"/>
    <w:rsid w:val="2DB8F648"/>
    <w:rsid w:val="2EBBF9A3"/>
    <w:rsid w:val="2EE47259"/>
    <w:rsid w:val="2F4F7A7D"/>
    <w:rsid w:val="2F6F0148"/>
    <w:rsid w:val="2F76C28C"/>
    <w:rsid w:val="2F7C15D8"/>
    <w:rsid w:val="2FCF2002"/>
    <w:rsid w:val="2FE53D59"/>
    <w:rsid w:val="2FEF821A"/>
    <w:rsid w:val="302502D1"/>
    <w:rsid w:val="30BD0622"/>
    <w:rsid w:val="315C6D68"/>
    <w:rsid w:val="3170B803"/>
    <w:rsid w:val="31FB6DD1"/>
    <w:rsid w:val="321D5862"/>
    <w:rsid w:val="32D54D47"/>
    <w:rsid w:val="334B2B5E"/>
    <w:rsid w:val="336C2A59"/>
    <w:rsid w:val="33B9A17D"/>
    <w:rsid w:val="33BBF0AF"/>
    <w:rsid w:val="33F6F1A4"/>
    <w:rsid w:val="3406592D"/>
    <w:rsid w:val="34523632"/>
    <w:rsid w:val="3480002C"/>
    <w:rsid w:val="350B5EF2"/>
    <w:rsid w:val="35325872"/>
    <w:rsid w:val="35777913"/>
    <w:rsid w:val="357DAA2F"/>
    <w:rsid w:val="358C4137"/>
    <w:rsid w:val="359BF424"/>
    <w:rsid w:val="35D346CC"/>
    <w:rsid w:val="35D727FD"/>
    <w:rsid w:val="364FA772"/>
    <w:rsid w:val="367B3895"/>
    <w:rsid w:val="36DEE552"/>
    <w:rsid w:val="36FC5189"/>
    <w:rsid w:val="3775E35A"/>
    <w:rsid w:val="37C3E342"/>
    <w:rsid w:val="37CD23E8"/>
    <w:rsid w:val="37E59665"/>
    <w:rsid w:val="37E670AF"/>
    <w:rsid w:val="37EED666"/>
    <w:rsid w:val="37F785FF"/>
    <w:rsid w:val="37F883BD"/>
    <w:rsid w:val="37FA8E25"/>
    <w:rsid w:val="38473916"/>
    <w:rsid w:val="38B9BD68"/>
    <w:rsid w:val="38F94ECD"/>
    <w:rsid w:val="39585634"/>
    <w:rsid w:val="395F216C"/>
    <w:rsid w:val="39EF2089"/>
    <w:rsid w:val="3A8258AD"/>
    <w:rsid w:val="3AB37492"/>
    <w:rsid w:val="3AEA78A1"/>
    <w:rsid w:val="3AED135B"/>
    <w:rsid w:val="3AF78677"/>
    <w:rsid w:val="3B7D71CC"/>
    <w:rsid w:val="3B9FB96D"/>
    <w:rsid w:val="3BDD156D"/>
    <w:rsid w:val="3C072F26"/>
    <w:rsid w:val="3C77988A"/>
    <w:rsid w:val="3C8B3830"/>
    <w:rsid w:val="3CDE1871"/>
    <w:rsid w:val="3CDF526A"/>
    <w:rsid w:val="3CE75508"/>
    <w:rsid w:val="3CFA5C70"/>
    <w:rsid w:val="3CFD7226"/>
    <w:rsid w:val="3CFE02EA"/>
    <w:rsid w:val="3D73E980"/>
    <w:rsid w:val="3D8D34C8"/>
    <w:rsid w:val="3DB9B48E"/>
    <w:rsid w:val="3DBF2FAE"/>
    <w:rsid w:val="3DDE6685"/>
    <w:rsid w:val="3DE28566"/>
    <w:rsid w:val="3DF3419F"/>
    <w:rsid w:val="3DF99385"/>
    <w:rsid w:val="3E74F004"/>
    <w:rsid w:val="3E7FD2B8"/>
    <w:rsid w:val="3EA7BC07"/>
    <w:rsid w:val="3EB54A1B"/>
    <w:rsid w:val="3EBF9715"/>
    <w:rsid w:val="3EEDCB0D"/>
    <w:rsid w:val="3EF9FA8C"/>
    <w:rsid w:val="3EFBA353"/>
    <w:rsid w:val="3EFFFDBD"/>
    <w:rsid w:val="3F5A0424"/>
    <w:rsid w:val="3F7E5EB1"/>
    <w:rsid w:val="3F8F1AB2"/>
    <w:rsid w:val="3F986E86"/>
    <w:rsid w:val="3FB50DB9"/>
    <w:rsid w:val="3FB6D05C"/>
    <w:rsid w:val="3FB79853"/>
    <w:rsid w:val="3FBBD6FC"/>
    <w:rsid w:val="3FD43472"/>
    <w:rsid w:val="3FDD07DC"/>
    <w:rsid w:val="3FE7C132"/>
    <w:rsid w:val="3FEEF7D0"/>
    <w:rsid w:val="3FF7C09F"/>
    <w:rsid w:val="3FFB89FA"/>
    <w:rsid w:val="3FFCB57A"/>
    <w:rsid w:val="3FFCE46E"/>
    <w:rsid w:val="3FFF4FB8"/>
    <w:rsid w:val="3FFF6282"/>
    <w:rsid w:val="3FFF6380"/>
    <w:rsid w:val="3FFFACD9"/>
    <w:rsid w:val="3FFFD90D"/>
    <w:rsid w:val="40244F73"/>
    <w:rsid w:val="40CF51AE"/>
    <w:rsid w:val="415EEB71"/>
    <w:rsid w:val="419F2DC1"/>
    <w:rsid w:val="42DE52BC"/>
    <w:rsid w:val="4301054F"/>
    <w:rsid w:val="43DB3FAF"/>
    <w:rsid w:val="43ED6CE9"/>
    <w:rsid w:val="4501774B"/>
    <w:rsid w:val="451B1EC8"/>
    <w:rsid w:val="4556490C"/>
    <w:rsid w:val="4559200A"/>
    <w:rsid w:val="457BAEA1"/>
    <w:rsid w:val="45FB0EBB"/>
    <w:rsid w:val="46DCFC67"/>
    <w:rsid w:val="476F2604"/>
    <w:rsid w:val="477F75FB"/>
    <w:rsid w:val="479FA454"/>
    <w:rsid w:val="47B3FCFE"/>
    <w:rsid w:val="47D62CD2"/>
    <w:rsid w:val="484C29A9"/>
    <w:rsid w:val="48598FC3"/>
    <w:rsid w:val="48700954"/>
    <w:rsid w:val="48FFF461"/>
    <w:rsid w:val="4A6A4369"/>
    <w:rsid w:val="4AC05CD6"/>
    <w:rsid w:val="4AF505EB"/>
    <w:rsid w:val="4BAB026F"/>
    <w:rsid w:val="4BBD49D0"/>
    <w:rsid w:val="4BF46C68"/>
    <w:rsid w:val="4BFBF4E3"/>
    <w:rsid w:val="4C912CFD"/>
    <w:rsid w:val="4CD22221"/>
    <w:rsid w:val="4D066243"/>
    <w:rsid w:val="4D736872"/>
    <w:rsid w:val="4DA94C04"/>
    <w:rsid w:val="4DC15695"/>
    <w:rsid w:val="4DFF069B"/>
    <w:rsid w:val="4DFF6E57"/>
    <w:rsid w:val="4EEF29BB"/>
    <w:rsid w:val="4F7BF497"/>
    <w:rsid w:val="4F7E6DA5"/>
    <w:rsid w:val="4FBB958A"/>
    <w:rsid w:val="4FBDADC8"/>
    <w:rsid w:val="4FD74ACC"/>
    <w:rsid w:val="4FFBAC9D"/>
    <w:rsid w:val="500736A0"/>
    <w:rsid w:val="503B103B"/>
    <w:rsid w:val="5050538F"/>
    <w:rsid w:val="512E0303"/>
    <w:rsid w:val="51D75ED3"/>
    <w:rsid w:val="530748AA"/>
    <w:rsid w:val="537DE542"/>
    <w:rsid w:val="538E3AD1"/>
    <w:rsid w:val="538E7ED0"/>
    <w:rsid w:val="53FFE21F"/>
    <w:rsid w:val="547F7CFA"/>
    <w:rsid w:val="55A87015"/>
    <w:rsid w:val="55FFEC09"/>
    <w:rsid w:val="56390221"/>
    <w:rsid w:val="56501B9C"/>
    <w:rsid w:val="56B3B432"/>
    <w:rsid w:val="56BF5DE1"/>
    <w:rsid w:val="56FBCBEF"/>
    <w:rsid w:val="57712235"/>
    <w:rsid w:val="57930EA2"/>
    <w:rsid w:val="57D73424"/>
    <w:rsid w:val="57EB987F"/>
    <w:rsid w:val="57F72CB6"/>
    <w:rsid w:val="57F7FFDF"/>
    <w:rsid w:val="57FB11FD"/>
    <w:rsid w:val="57FC5C33"/>
    <w:rsid w:val="580679EB"/>
    <w:rsid w:val="58463DF3"/>
    <w:rsid w:val="58A334CB"/>
    <w:rsid w:val="590837E9"/>
    <w:rsid w:val="595E394E"/>
    <w:rsid w:val="59AEAB1E"/>
    <w:rsid w:val="59DFE2F9"/>
    <w:rsid w:val="59F19D15"/>
    <w:rsid w:val="5A4017EE"/>
    <w:rsid w:val="5A7C108E"/>
    <w:rsid w:val="5AAA060E"/>
    <w:rsid w:val="5AE7FEF3"/>
    <w:rsid w:val="5AFFDB19"/>
    <w:rsid w:val="5B3FA485"/>
    <w:rsid w:val="5B9531DB"/>
    <w:rsid w:val="5BB16861"/>
    <w:rsid w:val="5BB53817"/>
    <w:rsid w:val="5BE9381F"/>
    <w:rsid w:val="5BEF561B"/>
    <w:rsid w:val="5BFB00CD"/>
    <w:rsid w:val="5C3F6100"/>
    <w:rsid w:val="5C7BE46C"/>
    <w:rsid w:val="5C9C2A1D"/>
    <w:rsid w:val="5CDA733D"/>
    <w:rsid w:val="5D1FE9B9"/>
    <w:rsid w:val="5D6D170F"/>
    <w:rsid w:val="5D7DA08E"/>
    <w:rsid w:val="5DADB071"/>
    <w:rsid w:val="5DAF9677"/>
    <w:rsid w:val="5DDF11AC"/>
    <w:rsid w:val="5DE75D41"/>
    <w:rsid w:val="5DEE3896"/>
    <w:rsid w:val="5DEFAF62"/>
    <w:rsid w:val="5DFAC4DC"/>
    <w:rsid w:val="5DFCC0AF"/>
    <w:rsid w:val="5DFDCB88"/>
    <w:rsid w:val="5DFEB1B3"/>
    <w:rsid w:val="5E122951"/>
    <w:rsid w:val="5E6E0D0C"/>
    <w:rsid w:val="5E940777"/>
    <w:rsid w:val="5EAF4465"/>
    <w:rsid w:val="5EBF4CDB"/>
    <w:rsid w:val="5ED76B26"/>
    <w:rsid w:val="5EDF6D0E"/>
    <w:rsid w:val="5F0D725D"/>
    <w:rsid w:val="5F190DDA"/>
    <w:rsid w:val="5F3B564C"/>
    <w:rsid w:val="5F3EBE45"/>
    <w:rsid w:val="5F4FCB8C"/>
    <w:rsid w:val="5F5E022E"/>
    <w:rsid w:val="5F5F0A3E"/>
    <w:rsid w:val="5F643CCB"/>
    <w:rsid w:val="5F6497B5"/>
    <w:rsid w:val="5F683235"/>
    <w:rsid w:val="5F7BF44E"/>
    <w:rsid w:val="5F7DC7D1"/>
    <w:rsid w:val="5F7E8FAE"/>
    <w:rsid w:val="5F7EFBCD"/>
    <w:rsid w:val="5F7F1FB1"/>
    <w:rsid w:val="5F9F5BFA"/>
    <w:rsid w:val="5FA7E5F9"/>
    <w:rsid w:val="5FB76FFD"/>
    <w:rsid w:val="5FCF408C"/>
    <w:rsid w:val="5FCF8A36"/>
    <w:rsid w:val="5FD67BC5"/>
    <w:rsid w:val="5FDA59CB"/>
    <w:rsid w:val="5FDBB4A9"/>
    <w:rsid w:val="5FE8EB8C"/>
    <w:rsid w:val="5FECBB75"/>
    <w:rsid w:val="5FEFAAE1"/>
    <w:rsid w:val="5FFD1B9B"/>
    <w:rsid w:val="5FFE6AE2"/>
    <w:rsid w:val="5FFEC04C"/>
    <w:rsid w:val="5FFF22BB"/>
    <w:rsid w:val="5FFF6BA0"/>
    <w:rsid w:val="606ABF91"/>
    <w:rsid w:val="60825A37"/>
    <w:rsid w:val="61F8823D"/>
    <w:rsid w:val="6233322B"/>
    <w:rsid w:val="6274048D"/>
    <w:rsid w:val="63BEEAC4"/>
    <w:rsid w:val="647FB6F4"/>
    <w:rsid w:val="6497BDD7"/>
    <w:rsid w:val="64CF81B8"/>
    <w:rsid w:val="64D98556"/>
    <w:rsid w:val="65BD6B43"/>
    <w:rsid w:val="65CBBEC7"/>
    <w:rsid w:val="65DBB81E"/>
    <w:rsid w:val="65E5C601"/>
    <w:rsid w:val="66276B33"/>
    <w:rsid w:val="667B6202"/>
    <w:rsid w:val="66BE43AE"/>
    <w:rsid w:val="66DF7F3B"/>
    <w:rsid w:val="67365B12"/>
    <w:rsid w:val="677996E1"/>
    <w:rsid w:val="677EF5F4"/>
    <w:rsid w:val="677F7EE4"/>
    <w:rsid w:val="67BB3F3B"/>
    <w:rsid w:val="67CBFE08"/>
    <w:rsid w:val="67D29154"/>
    <w:rsid w:val="67DF21BE"/>
    <w:rsid w:val="67EF1E8A"/>
    <w:rsid w:val="67EFBBBB"/>
    <w:rsid w:val="67FFA012"/>
    <w:rsid w:val="67FFA517"/>
    <w:rsid w:val="683755CB"/>
    <w:rsid w:val="689B27BB"/>
    <w:rsid w:val="69971412"/>
    <w:rsid w:val="69BBA61F"/>
    <w:rsid w:val="69EF9D6C"/>
    <w:rsid w:val="6A64148A"/>
    <w:rsid w:val="6A76A750"/>
    <w:rsid w:val="6ABF3567"/>
    <w:rsid w:val="6AD3CFA4"/>
    <w:rsid w:val="6AF7CDDC"/>
    <w:rsid w:val="6AFBB243"/>
    <w:rsid w:val="6B48784C"/>
    <w:rsid w:val="6B5FC19B"/>
    <w:rsid w:val="6B66E548"/>
    <w:rsid w:val="6B7D0742"/>
    <w:rsid w:val="6B8F5BD1"/>
    <w:rsid w:val="6BD73154"/>
    <w:rsid w:val="6BFD0739"/>
    <w:rsid w:val="6BFE87C7"/>
    <w:rsid w:val="6BFF3143"/>
    <w:rsid w:val="6BFFF06D"/>
    <w:rsid w:val="6C027254"/>
    <w:rsid w:val="6C176C2D"/>
    <w:rsid w:val="6C9B2F1B"/>
    <w:rsid w:val="6CDC16CA"/>
    <w:rsid w:val="6CDE9BBF"/>
    <w:rsid w:val="6CEEFB6C"/>
    <w:rsid w:val="6CFDE3D9"/>
    <w:rsid w:val="6D637EC6"/>
    <w:rsid w:val="6DAF0AAC"/>
    <w:rsid w:val="6DCF8297"/>
    <w:rsid w:val="6DDF2565"/>
    <w:rsid w:val="6DEE19AB"/>
    <w:rsid w:val="6DF54B59"/>
    <w:rsid w:val="6DF7E2EC"/>
    <w:rsid w:val="6DFD14D4"/>
    <w:rsid w:val="6DFE5252"/>
    <w:rsid w:val="6DFEA0AA"/>
    <w:rsid w:val="6DFF7113"/>
    <w:rsid w:val="6DFF8A25"/>
    <w:rsid w:val="6E46739E"/>
    <w:rsid w:val="6E7F067A"/>
    <w:rsid w:val="6EBDDC90"/>
    <w:rsid w:val="6ECAB4E3"/>
    <w:rsid w:val="6ECB1B80"/>
    <w:rsid w:val="6ED7348E"/>
    <w:rsid w:val="6EDD239C"/>
    <w:rsid w:val="6EE76F97"/>
    <w:rsid w:val="6EF5CB8E"/>
    <w:rsid w:val="6EFA8E61"/>
    <w:rsid w:val="6EFFCB96"/>
    <w:rsid w:val="6EFFDC49"/>
    <w:rsid w:val="6F133F6C"/>
    <w:rsid w:val="6F2FB053"/>
    <w:rsid w:val="6F3F9F45"/>
    <w:rsid w:val="6F58F130"/>
    <w:rsid w:val="6F5E433E"/>
    <w:rsid w:val="6F615109"/>
    <w:rsid w:val="6F735177"/>
    <w:rsid w:val="6F796A39"/>
    <w:rsid w:val="6F7F25B9"/>
    <w:rsid w:val="6F9B90A3"/>
    <w:rsid w:val="6F9F6808"/>
    <w:rsid w:val="6FAF7C23"/>
    <w:rsid w:val="6FB7AA55"/>
    <w:rsid w:val="6FBFE009"/>
    <w:rsid w:val="6FC70803"/>
    <w:rsid w:val="6FCD4DB0"/>
    <w:rsid w:val="6FCF99B9"/>
    <w:rsid w:val="6FDB7227"/>
    <w:rsid w:val="6FE20EA7"/>
    <w:rsid w:val="6FED2A25"/>
    <w:rsid w:val="6FEF8DBC"/>
    <w:rsid w:val="6FF27A2E"/>
    <w:rsid w:val="6FF7E9EE"/>
    <w:rsid w:val="6FFC68F4"/>
    <w:rsid w:val="6FFF3CF1"/>
    <w:rsid w:val="6FFF88F7"/>
    <w:rsid w:val="6FFFAAB2"/>
    <w:rsid w:val="70126C4D"/>
    <w:rsid w:val="70AE6BA7"/>
    <w:rsid w:val="70ED9C73"/>
    <w:rsid w:val="717FEAD9"/>
    <w:rsid w:val="71DF82D7"/>
    <w:rsid w:val="71E76416"/>
    <w:rsid w:val="71EF1D20"/>
    <w:rsid w:val="71F75308"/>
    <w:rsid w:val="71FDACB6"/>
    <w:rsid w:val="722B6294"/>
    <w:rsid w:val="722F1EB8"/>
    <w:rsid w:val="72CFCC9C"/>
    <w:rsid w:val="72FFEAAF"/>
    <w:rsid w:val="73BD072A"/>
    <w:rsid w:val="73DE0BD0"/>
    <w:rsid w:val="73EA8A1D"/>
    <w:rsid w:val="73FEB562"/>
    <w:rsid w:val="73FF30D6"/>
    <w:rsid w:val="743F3A42"/>
    <w:rsid w:val="746058BD"/>
    <w:rsid w:val="74727280"/>
    <w:rsid w:val="74B9D1FF"/>
    <w:rsid w:val="7573110B"/>
    <w:rsid w:val="757D3C0C"/>
    <w:rsid w:val="75BB01EC"/>
    <w:rsid w:val="75DFB8EB"/>
    <w:rsid w:val="75F798FF"/>
    <w:rsid w:val="75FDC1B4"/>
    <w:rsid w:val="75FF0F53"/>
    <w:rsid w:val="761ABDC0"/>
    <w:rsid w:val="763DBC23"/>
    <w:rsid w:val="764F2F6D"/>
    <w:rsid w:val="767F9574"/>
    <w:rsid w:val="76CB553E"/>
    <w:rsid w:val="76D961D7"/>
    <w:rsid w:val="76FB9BD7"/>
    <w:rsid w:val="76FEF82E"/>
    <w:rsid w:val="77160A92"/>
    <w:rsid w:val="77595339"/>
    <w:rsid w:val="776F9B31"/>
    <w:rsid w:val="777F59B7"/>
    <w:rsid w:val="778F03BE"/>
    <w:rsid w:val="77AA3248"/>
    <w:rsid w:val="77AE9B9B"/>
    <w:rsid w:val="77B9C990"/>
    <w:rsid w:val="77DF9DCB"/>
    <w:rsid w:val="77E2B723"/>
    <w:rsid w:val="77EAE132"/>
    <w:rsid w:val="77EB225D"/>
    <w:rsid w:val="77EFA6C1"/>
    <w:rsid w:val="77F50F1B"/>
    <w:rsid w:val="77F737BD"/>
    <w:rsid w:val="77FB26DC"/>
    <w:rsid w:val="77FC5075"/>
    <w:rsid w:val="77FDEA60"/>
    <w:rsid w:val="77FDF57C"/>
    <w:rsid w:val="77FE984F"/>
    <w:rsid w:val="77FF3A94"/>
    <w:rsid w:val="77FFE031"/>
    <w:rsid w:val="783A9350"/>
    <w:rsid w:val="78423D13"/>
    <w:rsid w:val="786625C1"/>
    <w:rsid w:val="78BFE71E"/>
    <w:rsid w:val="78EA67CE"/>
    <w:rsid w:val="797FCF2F"/>
    <w:rsid w:val="79AF2782"/>
    <w:rsid w:val="79D8F9BD"/>
    <w:rsid w:val="79ED3711"/>
    <w:rsid w:val="79FB95F8"/>
    <w:rsid w:val="79FCB030"/>
    <w:rsid w:val="79FEA0F1"/>
    <w:rsid w:val="79FF5F25"/>
    <w:rsid w:val="7A383883"/>
    <w:rsid w:val="7A5F2438"/>
    <w:rsid w:val="7AB5C788"/>
    <w:rsid w:val="7ABB2E41"/>
    <w:rsid w:val="7AC7FFFC"/>
    <w:rsid w:val="7AD71DEF"/>
    <w:rsid w:val="7ADB5FA8"/>
    <w:rsid w:val="7ADB6072"/>
    <w:rsid w:val="7AF72DA7"/>
    <w:rsid w:val="7AFE7BB9"/>
    <w:rsid w:val="7AFF5990"/>
    <w:rsid w:val="7B0B2CBC"/>
    <w:rsid w:val="7B294E15"/>
    <w:rsid w:val="7B4DF754"/>
    <w:rsid w:val="7B97C7EC"/>
    <w:rsid w:val="7BA6E560"/>
    <w:rsid w:val="7BB10551"/>
    <w:rsid w:val="7BB367F5"/>
    <w:rsid w:val="7BBFFE9D"/>
    <w:rsid w:val="7BDB6C82"/>
    <w:rsid w:val="7BDE9FE4"/>
    <w:rsid w:val="7BE1525C"/>
    <w:rsid w:val="7BE33D5A"/>
    <w:rsid w:val="7BF75266"/>
    <w:rsid w:val="7BF7A9D7"/>
    <w:rsid w:val="7BFB5772"/>
    <w:rsid w:val="7BFD1290"/>
    <w:rsid w:val="7BFDA493"/>
    <w:rsid w:val="7BFEDC3F"/>
    <w:rsid w:val="7BFF4DC6"/>
    <w:rsid w:val="7BFF69C9"/>
    <w:rsid w:val="7BFF7A4B"/>
    <w:rsid w:val="7BFFA718"/>
    <w:rsid w:val="7C1977A8"/>
    <w:rsid w:val="7C32BA45"/>
    <w:rsid w:val="7C5F07AE"/>
    <w:rsid w:val="7C5F70B7"/>
    <w:rsid w:val="7C7A1DDA"/>
    <w:rsid w:val="7C7F6047"/>
    <w:rsid w:val="7C992F21"/>
    <w:rsid w:val="7CAA1482"/>
    <w:rsid w:val="7CAE4944"/>
    <w:rsid w:val="7CE5A62E"/>
    <w:rsid w:val="7CED0F0D"/>
    <w:rsid w:val="7CF6457B"/>
    <w:rsid w:val="7CFF8AC5"/>
    <w:rsid w:val="7D1F0F5A"/>
    <w:rsid w:val="7D2FE12E"/>
    <w:rsid w:val="7D6AB12F"/>
    <w:rsid w:val="7D6E736C"/>
    <w:rsid w:val="7D6FFE28"/>
    <w:rsid w:val="7D78CAFA"/>
    <w:rsid w:val="7D7B66AA"/>
    <w:rsid w:val="7D7C112C"/>
    <w:rsid w:val="7D7F07B2"/>
    <w:rsid w:val="7D97A6DC"/>
    <w:rsid w:val="7D9E3215"/>
    <w:rsid w:val="7DAB27FE"/>
    <w:rsid w:val="7DB96489"/>
    <w:rsid w:val="7DBB7344"/>
    <w:rsid w:val="7DBBB84D"/>
    <w:rsid w:val="7DBD797D"/>
    <w:rsid w:val="7DBFF487"/>
    <w:rsid w:val="7DD6C59C"/>
    <w:rsid w:val="7DDBEFD6"/>
    <w:rsid w:val="7DDF8DD3"/>
    <w:rsid w:val="7DEB5E24"/>
    <w:rsid w:val="7DEEA260"/>
    <w:rsid w:val="7DF7FA69"/>
    <w:rsid w:val="7DFF17DB"/>
    <w:rsid w:val="7DFF3412"/>
    <w:rsid w:val="7E3F3E2F"/>
    <w:rsid w:val="7E5F44D2"/>
    <w:rsid w:val="7E7A8C24"/>
    <w:rsid w:val="7E7FE011"/>
    <w:rsid w:val="7E99450F"/>
    <w:rsid w:val="7E9F65EF"/>
    <w:rsid w:val="7EA6F4D0"/>
    <w:rsid w:val="7EBBF8AB"/>
    <w:rsid w:val="7ED74442"/>
    <w:rsid w:val="7EDB0CBC"/>
    <w:rsid w:val="7EDB9DC8"/>
    <w:rsid w:val="7EEDB958"/>
    <w:rsid w:val="7EEF4590"/>
    <w:rsid w:val="7EF3D7CC"/>
    <w:rsid w:val="7EF77678"/>
    <w:rsid w:val="7EFC4C37"/>
    <w:rsid w:val="7EFE50CB"/>
    <w:rsid w:val="7EFE6B23"/>
    <w:rsid w:val="7EFF0B6F"/>
    <w:rsid w:val="7EFF7B69"/>
    <w:rsid w:val="7EFFE6A8"/>
    <w:rsid w:val="7F075BC0"/>
    <w:rsid w:val="7F0B1FF2"/>
    <w:rsid w:val="7F0F1DA7"/>
    <w:rsid w:val="7F174713"/>
    <w:rsid w:val="7F1D3D5E"/>
    <w:rsid w:val="7F1E259A"/>
    <w:rsid w:val="7F1F6E1F"/>
    <w:rsid w:val="7F2B921D"/>
    <w:rsid w:val="7F571E67"/>
    <w:rsid w:val="7F5F55A6"/>
    <w:rsid w:val="7F5F5D8D"/>
    <w:rsid w:val="7F5F8489"/>
    <w:rsid w:val="7F6481B7"/>
    <w:rsid w:val="7F6BB1F7"/>
    <w:rsid w:val="7F6E9AC4"/>
    <w:rsid w:val="7F6F0251"/>
    <w:rsid w:val="7F6FFC9A"/>
    <w:rsid w:val="7F751BA6"/>
    <w:rsid w:val="7F778ADE"/>
    <w:rsid w:val="7F790518"/>
    <w:rsid w:val="7F7B16B6"/>
    <w:rsid w:val="7F7B2A8A"/>
    <w:rsid w:val="7F7BCEC0"/>
    <w:rsid w:val="7F7CBD32"/>
    <w:rsid w:val="7F7F4F9B"/>
    <w:rsid w:val="7F7F7D25"/>
    <w:rsid w:val="7F7FCE60"/>
    <w:rsid w:val="7F7FDCC5"/>
    <w:rsid w:val="7F8F02C3"/>
    <w:rsid w:val="7F9BF628"/>
    <w:rsid w:val="7F9F9A25"/>
    <w:rsid w:val="7FB498EB"/>
    <w:rsid w:val="7FB5E271"/>
    <w:rsid w:val="7FB725F3"/>
    <w:rsid w:val="7FB73A99"/>
    <w:rsid w:val="7FBC9B9D"/>
    <w:rsid w:val="7FBCCB97"/>
    <w:rsid w:val="7FBF6F5C"/>
    <w:rsid w:val="7FBFEAD1"/>
    <w:rsid w:val="7FBFEEEA"/>
    <w:rsid w:val="7FCA25C7"/>
    <w:rsid w:val="7FCF3F45"/>
    <w:rsid w:val="7FD740A6"/>
    <w:rsid w:val="7FDB2374"/>
    <w:rsid w:val="7FDC2C7D"/>
    <w:rsid w:val="7FDD13A4"/>
    <w:rsid w:val="7FDD90C2"/>
    <w:rsid w:val="7FDE254A"/>
    <w:rsid w:val="7FDEC9C7"/>
    <w:rsid w:val="7FDF5695"/>
    <w:rsid w:val="7FDF670E"/>
    <w:rsid w:val="7FEB104A"/>
    <w:rsid w:val="7FEB60B0"/>
    <w:rsid w:val="7FEB6E46"/>
    <w:rsid w:val="7FED6913"/>
    <w:rsid w:val="7FEEBFF1"/>
    <w:rsid w:val="7FEED4FB"/>
    <w:rsid w:val="7FEF22CB"/>
    <w:rsid w:val="7FF2AAFA"/>
    <w:rsid w:val="7FF2FD5E"/>
    <w:rsid w:val="7FF30E83"/>
    <w:rsid w:val="7FF3F163"/>
    <w:rsid w:val="7FF65232"/>
    <w:rsid w:val="7FF86BBF"/>
    <w:rsid w:val="7FFB14ED"/>
    <w:rsid w:val="7FFB3EF3"/>
    <w:rsid w:val="7FFB8B13"/>
    <w:rsid w:val="7FFC5239"/>
    <w:rsid w:val="7FFD47DB"/>
    <w:rsid w:val="7FFDD731"/>
    <w:rsid w:val="7FFE7725"/>
    <w:rsid w:val="7FFED17E"/>
    <w:rsid w:val="7FFF5823"/>
    <w:rsid w:val="7FFF65BB"/>
    <w:rsid w:val="7FFF8EAB"/>
    <w:rsid w:val="7FFF95BF"/>
    <w:rsid w:val="7FFF9795"/>
    <w:rsid w:val="7FFFC8EC"/>
    <w:rsid w:val="7FFFCB03"/>
    <w:rsid w:val="7FFFEDF2"/>
    <w:rsid w:val="83BFD64C"/>
    <w:rsid w:val="865F0948"/>
    <w:rsid w:val="87E76729"/>
    <w:rsid w:val="88EFDD46"/>
    <w:rsid w:val="8BDD2D11"/>
    <w:rsid w:val="8BFB81A2"/>
    <w:rsid w:val="8DB92E08"/>
    <w:rsid w:val="8F1DA4C1"/>
    <w:rsid w:val="8F5CD62F"/>
    <w:rsid w:val="93F73735"/>
    <w:rsid w:val="947A5510"/>
    <w:rsid w:val="957CEC5C"/>
    <w:rsid w:val="97F91B66"/>
    <w:rsid w:val="97FF75D9"/>
    <w:rsid w:val="97FFCF6F"/>
    <w:rsid w:val="9A67B193"/>
    <w:rsid w:val="9A9B3806"/>
    <w:rsid w:val="9AFE503D"/>
    <w:rsid w:val="9B7CA2F4"/>
    <w:rsid w:val="9B933EA7"/>
    <w:rsid w:val="9BAF34C6"/>
    <w:rsid w:val="9BFFE5D9"/>
    <w:rsid w:val="9CAF1639"/>
    <w:rsid w:val="9CED2955"/>
    <w:rsid w:val="9CEFCE36"/>
    <w:rsid w:val="9D7D666A"/>
    <w:rsid w:val="9DFFAC36"/>
    <w:rsid w:val="9E3ECBEE"/>
    <w:rsid w:val="9E4F1123"/>
    <w:rsid w:val="9EEFC51B"/>
    <w:rsid w:val="9EF952AE"/>
    <w:rsid w:val="9EFA0FFD"/>
    <w:rsid w:val="9EFFDECA"/>
    <w:rsid w:val="9F6FE640"/>
    <w:rsid w:val="9F94998B"/>
    <w:rsid w:val="9F9DBB0C"/>
    <w:rsid w:val="9FBE6AB9"/>
    <w:rsid w:val="9FBE7698"/>
    <w:rsid w:val="9FC7FCA5"/>
    <w:rsid w:val="9FDFA5FE"/>
    <w:rsid w:val="9FFDCDEE"/>
    <w:rsid w:val="9FFFF9D6"/>
    <w:rsid w:val="A26DFE41"/>
    <w:rsid w:val="A4BED7D7"/>
    <w:rsid w:val="A5CF3A02"/>
    <w:rsid w:val="A6B5B875"/>
    <w:rsid w:val="A6BBBF37"/>
    <w:rsid w:val="A77FECDB"/>
    <w:rsid w:val="AACDDC5C"/>
    <w:rsid w:val="ABBFB5A3"/>
    <w:rsid w:val="ABFEC53C"/>
    <w:rsid w:val="ADDEB295"/>
    <w:rsid w:val="ADEFB8F4"/>
    <w:rsid w:val="AE1E3A1A"/>
    <w:rsid w:val="AE3AF747"/>
    <w:rsid w:val="AF7F17C5"/>
    <w:rsid w:val="AF8FFBFD"/>
    <w:rsid w:val="AFA64DFC"/>
    <w:rsid w:val="AFB6AD3A"/>
    <w:rsid w:val="AFDEBD6E"/>
    <w:rsid w:val="AFF1A459"/>
    <w:rsid w:val="AFF90A9E"/>
    <w:rsid w:val="AFFB7E36"/>
    <w:rsid w:val="AFFF6A00"/>
    <w:rsid w:val="B0F748BA"/>
    <w:rsid w:val="B0FEF6B6"/>
    <w:rsid w:val="B1FF8D4E"/>
    <w:rsid w:val="B2EE62AA"/>
    <w:rsid w:val="B36E5179"/>
    <w:rsid w:val="B3F29275"/>
    <w:rsid w:val="B3F7B197"/>
    <w:rsid w:val="B3FCA770"/>
    <w:rsid w:val="B3FF2768"/>
    <w:rsid w:val="B57B28D5"/>
    <w:rsid w:val="B58F3BB5"/>
    <w:rsid w:val="B5DE82AA"/>
    <w:rsid w:val="B5EC47C0"/>
    <w:rsid w:val="B5EFF886"/>
    <w:rsid w:val="B6571943"/>
    <w:rsid w:val="B67F5C11"/>
    <w:rsid w:val="B6EF4211"/>
    <w:rsid w:val="B6FA68BE"/>
    <w:rsid w:val="B715923B"/>
    <w:rsid w:val="B776F3D5"/>
    <w:rsid w:val="B77B0FA3"/>
    <w:rsid w:val="B77B6F60"/>
    <w:rsid w:val="B77F5244"/>
    <w:rsid w:val="B7CF5A26"/>
    <w:rsid w:val="B7ED04B2"/>
    <w:rsid w:val="B7FB7BA5"/>
    <w:rsid w:val="B9B7335F"/>
    <w:rsid w:val="B9FE7C18"/>
    <w:rsid w:val="BAD3055B"/>
    <w:rsid w:val="BAF6A80D"/>
    <w:rsid w:val="BAFEA682"/>
    <w:rsid w:val="BB3A48BB"/>
    <w:rsid w:val="BB5F8ED4"/>
    <w:rsid w:val="BBFBEB5E"/>
    <w:rsid w:val="BC999329"/>
    <w:rsid w:val="BD50C970"/>
    <w:rsid w:val="BD5B5AAB"/>
    <w:rsid w:val="BD5E2A4D"/>
    <w:rsid w:val="BD7D08EA"/>
    <w:rsid w:val="BDDBBEBC"/>
    <w:rsid w:val="BDE7E7F3"/>
    <w:rsid w:val="BDEE64A5"/>
    <w:rsid w:val="BDF7276A"/>
    <w:rsid w:val="BDFFEBF0"/>
    <w:rsid w:val="BE62DA3C"/>
    <w:rsid w:val="BE732394"/>
    <w:rsid w:val="BE7F1684"/>
    <w:rsid w:val="BEBCE093"/>
    <w:rsid w:val="BEBFB6AA"/>
    <w:rsid w:val="BEF1CF7F"/>
    <w:rsid w:val="BEF6429D"/>
    <w:rsid w:val="BEF93BF3"/>
    <w:rsid w:val="BEFED930"/>
    <w:rsid w:val="BEFF17BE"/>
    <w:rsid w:val="BEFFBFFC"/>
    <w:rsid w:val="BEFFFF39"/>
    <w:rsid w:val="BF5EEA74"/>
    <w:rsid w:val="BF779D8E"/>
    <w:rsid w:val="BF7F0CD6"/>
    <w:rsid w:val="BF7F10E1"/>
    <w:rsid w:val="BF7F1966"/>
    <w:rsid w:val="BF9B9225"/>
    <w:rsid w:val="BF9FC674"/>
    <w:rsid w:val="BFB3CDA1"/>
    <w:rsid w:val="BFBB6F5E"/>
    <w:rsid w:val="BFBEF1B1"/>
    <w:rsid w:val="BFBFD05B"/>
    <w:rsid w:val="BFC77E5F"/>
    <w:rsid w:val="BFCA4A4B"/>
    <w:rsid w:val="BFDAB7B1"/>
    <w:rsid w:val="BFDBBD83"/>
    <w:rsid w:val="BFEF5F06"/>
    <w:rsid w:val="BFEF7109"/>
    <w:rsid w:val="BFF34CA3"/>
    <w:rsid w:val="BFF46BAC"/>
    <w:rsid w:val="BFF479AD"/>
    <w:rsid w:val="BFF5C3A8"/>
    <w:rsid w:val="BFF6F5D0"/>
    <w:rsid w:val="BFFEAF31"/>
    <w:rsid w:val="BFFF9A57"/>
    <w:rsid w:val="C5DC0E3F"/>
    <w:rsid w:val="C66B9FEB"/>
    <w:rsid w:val="C7BDA248"/>
    <w:rsid w:val="C7D72C8A"/>
    <w:rsid w:val="C8BEB855"/>
    <w:rsid w:val="CB6490A2"/>
    <w:rsid w:val="CB9A93B2"/>
    <w:rsid w:val="CBD39841"/>
    <w:rsid w:val="CBDB22A3"/>
    <w:rsid w:val="CBFF77AE"/>
    <w:rsid w:val="CD5D91C3"/>
    <w:rsid w:val="CE47082E"/>
    <w:rsid w:val="CEA92C04"/>
    <w:rsid w:val="CEFB3173"/>
    <w:rsid w:val="CEFD6FD5"/>
    <w:rsid w:val="CEFF4050"/>
    <w:rsid w:val="CEFF5149"/>
    <w:rsid w:val="CF4BBE3F"/>
    <w:rsid w:val="CF64B160"/>
    <w:rsid w:val="CF656061"/>
    <w:rsid w:val="CF7E832A"/>
    <w:rsid w:val="CF7EF2D1"/>
    <w:rsid w:val="CFCA55ED"/>
    <w:rsid w:val="CFD5B1AD"/>
    <w:rsid w:val="CFDDB635"/>
    <w:rsid w:val="CFDE9DF3"/>
    <w:rsid w:val="CFEF09AF"/>
    <w:rsid w:val="CFEFCFAE"/>
    <w:rsid w:val="CFF57357"/>
    <w:rsid w:val="CFFE7D40"/>
    <w:rsid w:val="CFFF9AF5"/>
    <w:rsid w:val="CFFFED6A"/>
    <w:rsid w:val="D1339C79"/>
    <w:rsid w:val="D2FC0B8E"/>
    <w:rsid w:val="D30F8CB5"/>
    <w:rsid w:val="D31FFE88"/>
    <w:rsid w:val="D36C18D8"/>
    <w:rsid w:val="D3FEFBEF"/>
    <w:rsid w:val="D567CE78"/>
    <w:rsid w:val="D5FBCDB7"/>
    <w:rsid w:val="D667971C"/>
    <w:rsid w:val="D6E4FEA2"/>
    <w:rsid w:val="D6F723CD"/>
    <w:rsid w:val="D6FFB27C"/>
    <w:rsid w:val="D71AC84C"/>
    <w:rsid w:val="D73D97C9"/>
    <w:rsid w:val="D75E0D0B"/>
    <w:rsid w:val="D77F2315"/>
    <w:rsid w:val="D7CFA427"/>
    <w:rsid w:val="D7DA153C"/>
    <w:rsid w:val="D7DCCD67"/>
    <w:rsid w:val="D7DE9A82"/>
    <w:rsid w:val="D7EBB7B4"/>
    <w:rsid w:val="D7EF2406"/>
    <w:rsid w:val="D7FF01A0"/>
    <w:rsid w:val="D87FD8D7"/>
    <w:rsid w:val="D8DC649D"/>
    <w:rsid w:val="D92F890E"/>
    <w:rsid w:val="D9775417"/>
    <w:rsid w:val="D9DF5DBE"/>
    <w:rsid w:val="D9F7F80C"/>
    <w:rsid w:val="D9FDB461"/>
    <w:rsid w:val="DA1D5E1E"/>
    <w:rsid w:val="DA5FB176"/>
    <w:rsid w:val="DAAB7AA4"/>
    <w:rsid w:val="DAEDC090"/>
    <w:rsid w:val="DB73F3A3"/>
    <w:rsid w:val="DBFE44CC"/>
    <w:rsid w:val="DBFE8A31"/>
    <w:rsid w:val="DCFB9A6D"/>
    <w:rsid w:val="DD39FABE"/>
    <w:rsid w:val="DD79D06D"/>
    <w:rsid w:val="DDDB7160"/>
    <w:rsid w:val="DDDD5041"/>
    <w:rsid w:val="DDEF463F"/>
    <w:rsid w:val="DDF79BF9"/>
    <w:rsid w:val="DDF7AC06"/>
    <w:rsid w:val="DDF8F1A5"/>
    <w:rsid w:val="DDFE7CCC"/>
    <w:rsid w:val="DE37894B"/>
    <w:rsid w:val="DE7CBE08"/>
    <w:rsid w:val="DEBB51CB"/>
    <w:rsid w:val="DEDBCFA8"/>
    <w:rsid w:val="DEE31FCB"/>
    <w:rsid w:val="DEFF9A39"/>
    <w:rsid w:val="DF13C9E3"/>
    <w:rsid w:val="DF357310"/>
    <w:rsid w:val="DF5B5945"/>
    <w:rsid w:val="DF6F8B6A"/>
    <w:rsid w:val="DF6FEB77"/>
    <w:rsid w:val="DF6FFF27"/>
    <w:rsid w:val="DF7B0560"/>
    <w:rsid w:val="DF7DAD96"/>
    <w:rsid w:val="DF7E0415"/>
    <w:rsid w:val="DF8DEDFC"/>
    <w:rsid w:val="DF97C28B"/>
    <w:rsid w:val="DFB6AE9C"/>
    <w:rsid w:val="DFC9C963"/>
    <w:rsid w:val="DFD2793F"/>
    <w:rsid w:val="DFD4D46E"/>
    <w:rsid w:val="DFDBE325"/>
    <w:rsid w:val="DFDDCB3E"/>
    <w:rsid w:val="DFDE1A02"/>
    <w:rsid w:val="DFDF7368"/>
    <w:rsid w:val="DFEB8292"/>
    <w:rsid w:val="DFF78F27"/>
    <w:rsid w:val="DFF96272"/>
    <w:rsid w:val="DFF994AD"/>
    <w:rsid w:val="DFFEF938"/>
    <w:rsid w:val="DFFF0A2F"/>
    <w:rsid w:val="DFFF797A"/>
    <w:rsid w:val="DFFFAD01"/>
    <w:rsid w:val="E1F3F0CE"/>
    <w:rsid w:val="E1F4654E"/>
    <w:rsid w:val="E2FFD23E"/>
    <w:rsid w:val="E32DBE6E"/>
    <w:rsid w:val="E377F8F3"/>
    <w:rsid w:val="E3AD1835"/>
    <w:rsid w:val="E3BFEF14"/>
    <w:rsid w:val="E3F68DE5"/>
    <w:rsid w:val="E4D321EB"/>
    <w:rsid w:val="E4DC9553"/>
    <w:rsid w:val="E5F7A8B6"/>
    <w:rsid w:val="E5F94DFB"/>
    <w:rsid w:val="E6974AE4"/>
    <w:rsid w:val="E6BD1C4C"/>
    <w:rsid w:val="E6DB6CAA"/>
    <w:rsid w:val="E6ED7800"/>
    <w:rsid w:val="E6EF50A9"/>
    <w:rsid w:val="E75B2F4E"/>
    <w:rsid w:val="E7778BA4"/>
    <w:rsid w:val="E77FB12E"/>
    <w:rsid w:val="E7B58720"/>
    <w:rsid w:val="E7D56EF7"/>
    <w:rsid w:val="E7DFA9D7"/>
    <w:rsid w:val="E7F78DBA"/>
    <w:rsid w:val="E8FFB8F4"/>
    <w:rsid w:val="E9B7E745"/>
    <w:rsid w:val="EA7F8EE7"/>
    <w:rsid w:val="EAB518B0"/>
    <w:rsid w:val="EAF94FAB"/>
    <w:rsid w:val="EB4F03C4"/>
    <w:rsid w:val="EB5FB8FF"/>
    <w:rsid w:val="EB7DADF7"/>
    <w:rsid w:val="EBB330BD"/>
    <w:rsid w:val="EBBEEBC0"/>
    <w:rsid w:val="EBBFFDFC"/>
    <w:rsid w:val="EBDE82E4"/>
    <w:rsid w:val="EBDEA5CC"/>
    <w:rsid w:val="EBEBE157"/>
    <w:rsid w:val="EBF95E81"/>
    <w:rsid w:val="EC3BF733"/>
    <w:rsid w:val="ECD25E0C"/>
    <w:rsid w:val="ECDAF89C"/>
    <w:rsid w:val="ECFF25E8"/>
    <w:rsid w:val="ED577024"/>
    <w:rsid w:val="ED5FA988"/>
    <w:rsid w:val="ED5FED7D"/>
    <w:rsid w:val="ED77E293"/>
    <w:rsid w:val="ED7BABEA"/>
    <w:rsid w:val="ED8EE9BA"/>
    <w:rsid w:val="EDE72ECC"/>
    <w:rsid w:val="EDEFA37C"/>
    <w:rsid w:val="EDFB8758"/>
    <w:rsid w:val="EDFCB815"/>
    <w:rsid w:val="EE37BC0D"/>
    <w:rsid w:val="EE7E9BC6"/>
    <w:rsid w:val="EE9B89A4"/>
    <w:rsid w:val="EEAF4233"/>
    <w:rsid w:val="EEBE5B2F"/>
    <w:rsid w:val="EED759A7"/>
    <w:rsid w:val="EEF7E284"/>
    <w:rsid w:val="EEFE9A53"/>
    <w:rsid w:val="EF35808D"/>
    <w:rsid w:val="EF3596C0"/>
    <w:rsid w:val="EF5F549F"/>
    <w:rsid w:val="EF7E9546"/>
    <w:rsid w:val="EF7F0D12"/>
    <w:rsid w:val="EF995AC1"/>
    <w:rsid w:val="EF9FCBAF"/>
    <w:rsid w:val="EFA70C80"/>
    <w:rsid w:val="EFAD5772"/>
    <w:rsid w:val="EFB37416"/>
    <w:rsid w:val="EFBE5199"/>
    <w:rsid w:val="EFCA7C54"/>
    <w:rsid w:val="EFCB5822"/>
    <w:rsid w:val="EFDD2462"/>
    <w:rsid w:val="EFF38F7F"/>
    <w:rsid w:val="EFF7E79C"/>
    <w:rsid w:val="EFF7EEC4"/>
    <w:rsid w:val="EFFC930C"/>
    <w:rsid w:val="EFFD14C7"/>
    <w:rsid w:val="EFFD19B5"/>
    <w:rsid w:val="EFFE0E91"/>
    <w:rsid w:val="EFFE1072"/>
    <w:rsid w:val="EFFE4854"/>
    <w:rsid w:val="EFFE9ADB"/>
    <w:rsid w:val="EFFFBF8B"/>
    <w:rsid w:val="EFFFDEA6"/>
    <w:rsid w:val="EFFFF8D3"/>
    <w:rsid w:val="EFFFFB17"/>
    <w:rsid w:val="F0F5519B"/>
    <w:rsid w:val="F167CAB1"/>
    <w:rsid w:val="F1BFE9ED"/>
    <w:rsid w:val="F1E37086"/>
    <w:rsid w:val="F1ED405F"/>
    <w:rsid w:val="F27BD834"/>
    <w:rsid w:val="F2BF58D8"/>
    <w:rsid w:val="F2FB57BD"/>
    <w:rsid w:val="F2FF7BA2"/>
    <w:rsid w:val="F31FC317"/>
    <w:rsid w:val="F37F4FEE"/>
    <w:rsid w:val="F39B163C"/>
    <w:rsid w:val="F3BE7DE3"/>
    <w:rsid w:val="F3DFC48A"/>
    <w:rsid w:val="F3DFCAE4"/>
    <w:rsid w:val="F3DFF222"/>
    <w:rsid w:val="F3EB2583"/>
    <w:rsid w:val="F3FD1286"/>
    <w:rsid w:val="F47D5AF7"/>
    <w:rsid w:val="F4BF0967"/>
    <w:rsid w:val="F4BFB974"/>
    <w:rsid w:val="F56F22EA"/>
    <w:rsid w:val="F56F86AE"/>
    <w:rsid w:val="F578C90D"/>
    <w:rsid w:val="F57FF291"/>
    <w:rsid w:val="F5BA7558"/>
    <w:rsid w:val="F5C7FA36"/>
    <w:rsid w:val="F5ED3376"/>
    <w:rsid w:val="F5EFA01E"/>
    <w:rsid w:val="F5F87707"/>
    <w:rsid w:val="F5F9F206"/>
    <w:rsid w:val="F5FF167F"/>
    <w:rsid w:val="F5FF8AA0"/>
    <w:rsid w:val="F5FFAC7B"/>
    <w:rsid w:val="F5FFB075"/>
    <w:rsid w:val="F5FFEF8A"/>
    <w:rsid w:val="F6BB0101"/>
    <w:rsid w:val="F6FC556E"/>
    <w:rsid w:val="F6FDDB1D"/>
    <w:rsid w:val="F6FF8109"/>
    <w:rsid w:val="F6FFB558"/>
    <w:rsid w:val="F73291CF"/>
    <w:rsid w:val="F75EF2F1"/>
    <w:rsid w:val="F76749FE"/>
    <w:rsid w:val="F77D5A68"/>
    <w:rsid w:val="F77F0F55"/>
    <w:rsid w:val="F7B598AD"/>
    <w:rsid w:val="F7B7705E"/>
    <w:rsid w:val="F7B7989D"/>
    <w:rsid w:val="F7BE2F5C"/>
    <w:rsid w:val="F7BFD072"/>
    <w:rsid w:val="F7DF7E8F"/>
    <w:rsid w:val="F7EC0D58"/>
    <w:rsid w:val="F7EC7BB3"/>
    <w:rsid w:val="F7EEC53B"/>
    <w:rsid w:val="F7EFBBEC"/>
    <w:rsid w:val="F7F6DB64"/>
    <w:rsid w:val="F7F79B7A"/>
    <w:rsid w:val="F7FB8AFB"/>
    <w:rsid w:val="F7FEAB6A"/>
    <w:rsid w:val="F7FFAFAC"/>
    <w:rsid w:val="F7FFF598"/>
    <w:rsid w:val="F7FFFEA2"/>
    <w:rsid w:val="F87B109A"/>
    <w:rsid w:val="F8E701ED"/>
    <w:rsid w:val="F8F7D448"/>
    <w:rsid w:val="F8FF5DE6"/>
    <w:rsid w:val="F935474C"/>
    <w:rsid w:val="F973E303"/>
    <w:rsid w:val="F97BD2F7"/>
    <w:rsid w:val="F97E8FAD"/>
    <w:rsid w:val="F989BCE8"/>
    <w:rsid w:val="F9D5EEE4"/>
    <w:rsid w:val="F9EBAD40"/>
    <w:rsid w:val="F9FE34DA"/>
    <w:rsid w:val="FA3B60A2"/>
    <w:rsid w:val="FA67B7F9"/>
    <w:rsid w:val="FA6F3E70"/>
    <w:rsid w:val="FA7F2156"/>
    <w:rsid w:val="FABF5568"/>
    <w:rsid w:val="FAD5A73A"/>
    <w:rsid w:val="FAE6603B"/>
    <w:rsid w:val="FAE7269E"/>
    <w:rsid w:val="FAEF0ACD"/>
    <w:rsid w:val="FAEFD81C"/>
    <w:rsid w:val="FAFBDDD8"/>
    <w:rsid w:val="FAFD88EB"/>
    <w:rsid w:val="FAFE7B2C"/>
    <w:rsid w:val="FB587594"/>
    <w:rsid w:val="FB6DB040"/>
    <w:rsid w:val="FB7ABBD4"/>
    <w:rsid w:val="FB7DFB10"/>
    <w:rsid w:val="FB7F4B15"/>
    <w:rsid w:val="FB7FDA2F"/>
    <w:rsid w:val="FB997A69"/>
    <w:rsid w:val="FBAF1493"/>
    <w:rsid w:val="FBB3EAC1"/>
    <w:rsid w:val="FBBB231F"/>
    <w:rsid w:val="FBBB7E16"/>
    <w:rsid w:val="FBBF0695"/>
    <w:rsid w:val="FBC192C2"/>
    <w:rsid w:val="FBC2B7E7"/>
    <w:rsid w:val="FBC70928"/>
    <w:rsid w:val="FBDBFF00"/>
    <w:rsid w:val="FBE0C1FC"/>
    <w:rsid w:val="FBE2E6C1"/>
    <w:rsid w:val="FBF0ABF8"/>
    <w:rsid w:val="FBF32540"/>
    <w:rsid w:val="FBF6935F"/>
    <w:rsid w:val="FBF76111"/>
    <w:rsid w:val="FBF92603"/>
    <w:rsid w:val="FBFC4870"/>
    <w:rsid w:val="FBFD3067"/>
    <w:rsid w:val="FBFDF176"/>
    <w:rsid w:val="FBFE2CE0"/>
    <w:rsid w:val="FBFEC5B0"/>
    <w:rsid w:val="FBFEEE2D"/>
    <w:rsid w:val="FBFF0D31"/>
    <w:rsid w:val="FBFFC873"/>
    <w:rsid w:val="FBFFF2F4"/>
    <w:rsid w:val="FC55BFA8"/>
    <w:rsid w:val="FC575829"/>
    <w:rsid w:val="FC7898D7"/>
    <w:rsid w:val="FC7F5D0D"/>
    <w:rsid w:val="FCB1D545"/>
    <w:rsid w:val="FCB75032"/>
    <w:rsid w:val="FCBFE769"/>
    <w:rsid w:val="FCDED1FF"/>
    <w:rsid w:val="FCDF580D"/>
    <w:rsid w:val="FCFE1A13"/>
    <w:rsid w:val="FCFE7E79"/>
    <w:rsid w:val="FCFF30AB"/>
    <w:rsid w:val="FD45B524"/>
    <w:rsid w:val="FD754BBA"/>
    <w:rsid w:val="FD7AC442"/>
    <w:rsid w:val="FD7E939C"/>
    <w:rsid w:val="FD7F05A4"/>
    <w:rsid w:val="FD7FF3C1"/>
    <w:rsid w:val="FD8F70B2"/>
    <w:rsid w:val="FDCF27B9"/>
    <w:rsid w:val="FDD5A136"/>
    <w:rsid w:val="FDDABDF9"/>
    <w:rsid w:val="FDDADE22"/>
    <w:rsid w:val="FDDB76C7"/>
    <w:rsid w:val="FDE7330F"/>
    <w:rsid w:val="FDEB3DFF"/>
    <w:rsid w:val="FDEB9D10"/>
    <w:rsid w:val="FDECD6F2"/>
    <w:rsid w:val="FDEDC709"/>
    <w:rsid w:val="FDEF56BA"/>
    <w:rsid w:val="FDF2B6F1"/>
    <w:rsid w:val="FDF36DC7"/>
    <w:rsid w:val="FDF63529"/>
    <w:rsid w:val="FDF74124"/>
    <w:rsid w:val="FDF75B62"/>
    <w:rsid w:val="FDFB2A11"/>
    <w:rsid w:val="FDFD2422"/>
    <w:rsid w:val="FDFD9D19"/>
    <w:rsid w:val="FDFDE6BA"/>
    <w:rsid w:val="FDFEA790"/>
    <w:rsid w:val="FDFF7EAF"/>
    <w:rsid w:val="FDFF94C4"/>
    <w:rsid w:val="FDFFE98A"/>
    <w:rsid w:val="FE1FE7D7"/>
    <w:rsid w:val="FE36DAA5"/>
    <w:rsid w:val="FE53CFCF"/>
    <w:rsid w:val="FE7D59FF"/>
    <w:rsid w:val="FE7E4CB6"/>
    <w:rsid w:val="FE7F97BA"/>
    <w:rsid w:val="FE9B7309"/>
    <w:rsid w:val="FE9EA74D"/>
    <w:rsid w:val="FE9FDBD7"/>
    <w:rsid w:val="FEABB1FD"/>
    <w:rsid w:val="FEB772AB"/>
    <w:rsid w:val="FED94C7D"/>
    <w:rsid w:val="FEDF20A8"/>
    <w:rsid w:val="FEE7520C"/>
    <w:rsid w:val="FEE7C03F"/>
    <w:rsid w:val="FEECB418"/>
    <w:rsid w:val="FEEF16D9"/>
    <w:rsid w:val="FEEF310D"/>
    <w:rsid w:val="FEF7557B"/>
    <w:rsid w:val="FEF8EB3B"/>
    <w:rsid w:val="FEFCF7D4"/>
    <w:rsid w:val="FEFD7249"/>
    <w:rsid w:val="FEFE6B30"/>
    <w:rsid w:val="FEFF4BB5"/>
    <w:rsid w:val="FF2B7C5F"/>
    <w:rsid w:val="FF2D0EBC"/>
    <w:rsid w:val="FF372FFF"/>
    <w:rsid w:val="FF3A91E1"/>
    <w:rsid w:val="FF3FBE0C"/>
    <w:rsid w:val="FF5509FB"/>
    <w:rsid w:val="FF5757B8"/>
    <w:rsid w:val="FF5F2F33"/>
    <w:rsid w:val="FF63452B"/>
    <w:rsid w:val="FF6B77E7"/>
    <w:rsid w:val="FF6F8271"/>
    <w:rsid w:val="FF6FC3D0"/>
    <w:rsid w:val="FF7753CC"/>
    <w:rsid w:val="FF77A231"/>
    <w:rsid w:val="FF7D6919"/>
    <w:rsid w:val="FF7F23FD"/>
    <w:rsid w:val="FF7F32C1"/>
    <w:rsid w:val="FF7F5935"/>
    <w:rsid w:val="FF7F68AE"/>
    <w:rsid w:val="FF7F7A0B"/>
    <w:rsid w:val="FF7F7BA5"/>
    <w:rsid w:val="FF7F97B9"/>
    <w:rsid w:val="FF8FAA62"/>
    <w:rsid w:val="FF8FB52A"/>
    <w:rsid w:val="FF940639"/>
    <w:rsid w:val="FF9B26FD"/>
    <w:rsid w:val="FFA5E8BF"/>
    <w:rsid w:val="FFAE5AAE"/>
    <w:rsid w:val="FFAF258A"/>
    <w:rsid w:val="FFAF41C6"/>
    <w:rsid w:val="FFAFC2A5"/>
    <w:rsid w:val="FFAFE52E"/>
    <w:rsid w:val="FFB2807B"/>
    <w:rsid w:val="FFB7AD4D"/>
    <w:rsid w:val="FFBD3C71"/>
    <w:rsid w:val="FFBE0ACA"/>
    <w:rsid w:val="FFBEB288"/>
    <w:rsid w:val="FFBF4905"/>
    <w:rsid w:val="FFBF6738"/>
    <w:rsid w:val="FFBF8D58"/>
    <w:rsid w:val="FFC2A09D"/>
    <w:rsid w:val="FFC7DDBF"/>
    <w:rsid w:val="FFCB4822"/>
    <w:rsid w:val="FFCE12C2"/>
    <w:rsid w:val="FFCF2151"/>
    <w:rsid w:val="FFCFFEFE"/>
    <w:rsid w:val="FFD36876"/>
    <w:rsid w:val="FFD6FE28"/>
    <w:rsid w:val="FFD97AF0"/>
    <w:rsid w:val="FFDDEB4A"/>
    <w:rsid w:val="FFDF2B71"/>
    <w:rsid w:val="FFDF65FC"/>
    <w:rsid w:val="FFDF79E6"/>
    <w:rsid w:val="FFDF82FC"/>
    <w:rsid w:val="FFDFCCA9"/>
    <w:rsid w:val="FFDFD518"/>
    <w:rsid w:val="FFDFDAB5"/>
    <w:rsid w:val="FFDFE918"/>
    <w:rsid w:val="FFE3CB32"/>
    <w:rsid w:val="FFE75944"/>
    <w:rsid w:val="FFE940FA"/>
    <w:rsid w:val="FFE9E2B2"/>
    <w:rsid w:val="FFEA3193"/>
    <w:rsid w:val="FFEB7173"/>
    <w:rsid w:val="FFEBF2A3"/>
    <w:rsid w:val="FFEC6AC9"/>
    <w:rsid w:val="FFED513F"/>
    <w:rsid w:val="FFEDEFE3"/>
    <w:rsid w:val="FFEF28CC"/>
    <w:rsid w:val="FFEF8DD2"/>
    <w:rsid w:val="FFF15A00"/>
    <w:rsid w:val="FFF39CAC"/>
    <w:rsid w:val="FFF67C4B"/>
    <w:rsid w:val="FFF71217"/>
    <w:rsid w:val="FFF71AB4"/>
    <w:rsid w:val="FFF721F4"/>
    <w:rsid w:val="FFF9166F"/>
    <w:rsid w:val="FFF9F249"/>
    <w:rsid w:val="FFFA0E8C"/>
    <w:rsid w:val="FFFA551F"/>
    <w:rsid w:val="FFFC5155"/>
    <w:rsid w:val="FFFCBBC5"/>
    <w:rsid w:val="FFFD7161"/>
    <w:rsid w:val="FFFD7DAB"/>
    <w:rsid w:val="FFFD8445"/>
    <w:rsid w:val="FFFE50EF"/>
    <w:rsid w:val="FFFE612D"/>
    <w:rsid w:val="FFFE94BE"/>
    <w:rsid w:val="FFFF0927"/>
    <w:rsid w:val="FFFF0E25"/>
    <w:rsid w:val="FFFF0E34"/>
    <w:rsid w:val="FFFF72D0"/>
    <w:rsid w:val="FFFF77C1"/>
    <w:rsid w:val="FFFFB04E"/>
    <w:rsid w:val="FFFFC286"/>
    <w:rsid w:val="FFFFD8F8"/>
    <w:rsid w:val="FFFFDB02"/>
    <w:rsid w:val="FFFFE837"/>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1"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line="588" w:lineRule="exact"/>
      <w:ind w:firstLine="200" w:firstLineChars="200"/>
      <w:jc w:val="both"/>
    </w:pPr>
    <w:rPr>
      <w:rFonts w:ascii="宋体" w:hAnsi="宋体" w:eastAsia="仿宋_GB2312" w:cs="Times New Roman"/>
      <w:kern w:val="2"/>
      <w:sz w:val="32"/>
      <w:szCs w:val="22"/>
      <w:lang w:val="en-US" w:eastAsia="zh-CN" w:bidi="ar-SA"/>
    </w:rPr>
  </w:style>
  <w:style w:type="paragraph" w:styleId="2">
    <w:name w:val="heading 1"/>
    <w:next w:val="1"/>
    <w:link w:val="40"/>
    <w:qFormat/>
    <w:uiPriority w:val="9"/>
    <w:pPr>
      <w:keepNext/>
      <w:keepLines/>
      <w:numPr>
        <w:ilvl w:val="0"/>
        <w:numId w:val="1"/>
      </w:numPr>
      <w:adjustRightInd w:val="0"/>
      <w:snapToGrid w:val="0"/>
      <w:spacing w:before="150" w:beforeLines="150" w:after="150" w:afterLines="150"/>
      <w:ind w:left="0"/>
      <w:jc w:val="center"/>
      <w:outlineLvl w:val="0"/>
    </w:pPr>
    <w:rPr>
      <w:rFonts w:ascii="方正小标宋简体" w:hAnsi="方正小标宋简体" w:eastAsia="方正小标宋简体" w:cs="方正小标宋简体"/>
      <w:bCs/>
      <w:kern w:val="44"/>
      <w:sz w:val="36"/>
      <w:szCs w:val="36"/>
      <w:lang w:val="en-US" w:eastAsia="zh-CN" w:bidi="ar-SA"/>
    </w:rPr>
  </w:style>
  <w:style w:type="paragraph" w:styleId="3">
    <w:name w:val="heading 2"/>
    <w:next w:val="1"/>
    <w:link w:val="41"/>
    <w:qFormat/>
    <w:uiPriority w:val="9"/>
    <w:pPr>
      <w:keepNext/>
      <w:keepLines/>
      <w:numPr>
        <w:ilvl w:val="1"/>
        <w:numId w:val="1"/>
      </w:numPr>
      <w:adjustRightInd w:val="0"/>
      <w:snapToGrid w:val="0"/>
      <w:spacing w:before="200" w:after="200"/>
      <w:ind w:left="0"/>
      <w:jc w:val="center"/>
      <w:outlineLvl w:val="1"/>
    </w:pPr>
    <w:rPr>
      <w:rFonts w:ascii="黑体" w:hAnsi="Cambria" w:eastAsia="黑体" w:cs="Times New Roman"/>
      <w:bCs/>
      <w:kern w:val="2"/>
      <w:sz w:val="32"/>
      <w:szCs w:val="30"/>
      <w:lang w:val="en-US" w:eastAsia="zh-CN" w:bidi="ar-SA"/>
    </w:rPr>
  </w:style>
  <w:style w:type="paragraph" w:styleId="4">
    <w:name w:val="heading 3"/>
    <w:next w:val="1"/>
    <w:link w:val="42"/>
    <w:qFormat/>
    <w:uiPriority w:val="9"/>
    <w:pPr>
      <w:keepNext/>
      <w:keepLines/>
      <w:numPr>
        <w:ilvl w:val="2"/>
        <w:numId w:val="1"/>
      </w:numPr>
      <w:adjustRightInd w:val="0"/>
      <w:snapToGrid w:val="0"/>
      <w:spacing w:line="588" w:lineRule="exact"/>
      <w:outlineLvl w:val="2"/>
    </w:pPr>
    <w:rPr>
      <w:rFonts w:ascii="楷体" w:hAnsi="楷体" w:eastAsia="楷体" w:cs="楷体"/>
      <w:bCs/>
      <w:kern w:val="2"/>
      <w:sz w:val="32"/>
      <w:szCs w:val="32"/>
      <w:lang w:val="en-US" w:eastAsia="zh-CN" w:bidi="ar-SA"/>
    </w:rPr>
  </w:style>
  <w:style w:type="paragraph" w:styleId="5">
    <w:name w:val="heading 4"/>
    <w:next w:val="1"/>
    <w:link w:val="43"/>
    <w:qFormat/>
    <w:uiPriority w:val="9"/>
    <w:pPr>
      <w:keepNext/>
      <w:keepLines/>
      <w:numPr>
        <w:ilvl w:val="3"/>
        <w:numId w:val="1"/>
      </w:numPr>
      <w:adjustRightInd w:val="0"/>
      <w:snapToGrid w:val="0"/>
      <w:spacing w:line="560" w:lineRule="exact"/>
      <w:outlineLvl w:val="3"/>
    </w:pPr>
    <w:rPr>
      <w:rFonts w:ascii="仿宋_GB2312" w:hAnsi="仿宋_GB2312" w:eastAsia="仿宋_GB2312" w:cs="仿宋_GB2312"/>
      <w:bCs/>
      <w:kern w:val="2"/>
      <w:sz w:val="32"/>
      <w:szCs w:val="32"/>
      <w:lang w:val="en-US" w:eastAsia="zh-CN" w:bidi="ar-SA"/>
    </w:rPr>
  </w:style>
  <w:style w:type="paragraph" w:styleId="6">
    <w:name w:val="heading 5"/>
    <w:basedOn w:val="5"/>
    <w:next w:val="1"/>
    <w:link w:val="44"/>
    <w:qFormat/>
    <w:uiPriority w:val="9"/>
    <w:pPr>
      <w:numPr>
        <w:ilvl w:val="4"/>
      </w:numPr>
      <w:outlineLvl w:val="4"/>
    </w:pPr>
  </w:style>
  <w:style w:type="paragraph" w:styleId="7">
    <w:name w:val="heading 6"/>
    <w:basedOn w:val="1"/>
    <w:next w:val="1"/>
    <w:link w:val="45"/>
    <w:qFormat/>
    <w:uiPriority w:val="9"/>
    <w:pPr>
      <w:keepNext/>
      <w:keepLines/>
      <w:spacing w:before="240" w:after="64" w:line="320" w:lineRule="auto"/>
      <w:ind w:firstLine="0" w:firstLineChars="0"/>
      <w:outlineLvl w:val="5"/>
    </w:pPr>
    <w:rPr>
      <w:rFonts w:ascii="Cambria" w:hAnsi="Cambria"/>
      <w:b/>
      <w:bCs/>
      <w:szCs w:val="24"/>
    </w:rPr>
  </w:style>
  <w:style w:type="paragraph" w:styleId="8">
    <w:name w:val="heading 7"/>
    <w:basedOn w:val="1"/>
    <w:next w:val="1"/>
    <w:link w:val="46"/>
    <w:qFormat/>
    <w:uiPriority w:val="9"/>
    <w:pPr>
      <w:keepNext/>
      <w:keepLines/>
      <w:spacing w:before="240" w:after="64" w:line="320" w:lineRule="auto"/>
      <w:ind w:firstLine="0" w:firstLineChars="0"/>
      <w:outlineLvl w:val="6"/>
    </w:pPr>
    <w:rPr>
      <w:b/>
      <w:bCs/>
      <w:szCs w:val="24"/>
    </w:rPr>
  </w:style>
  <w:style w:type="paragraph" w:styleId="9">
    <w:name w:val="heading 8"/>
    <w:basedOn w:val="1"/>
    <w:next w:val="1"/>
    <w:link w:val="47"/>
    <w:qFormat/>
    <w:uiPriority w:val="9"/>
    <w:pPr>
      <w:keepNext/>
      <w:keepLines/>
      <w:numPr>
        <w:ilvl w:val="7"/>
        <w:numId w:val="1"/>
      </w:numPr>
      <w:spacing w:before="240" w:after="64" w:line="320" w:lineRule="auto"/>
      <w:ind w:firstLine="0" w:firstLineChars="0"/>
      <w:outlineLvl w:val="7"/>
    </w:pPr>
    <w:rPr>
      <w:rFonts w:ascii="Cambria" w:hAnsi="Cambria"/>
      <w:szCs w:val="24"/>
    </w:rPr>
  </w:style>
  <w:style w:type="paragraph" w:styleId="10">
    <w:name w:val="heading 9"/>
    <w:basedOn w:val="1"/>
    <w:next w:val="1"/>
    <w:link w:val="48"/>
    <w:qFormat/>
    <w:uiPriority w:val="9"/>
    <w:pPr>
      <w:keepNext/>
      <w:keepLines/>
      <w:numPr>
        <w:ilvl w:val="8"/>
        <w:numId w:val="1"/>
      </w:numPr>
      <w:spacing w:before="240" w:after="64" w:line="320" w:lineRule="auto"/>
      <w:ind w:firstLine="0" w:firstLineChars="0"/>
      <w:outlineLvl w:val="8"/>
    </w:pPr>
    <w:rPr>
      <w:rFonts w:ascii="Cambria" w:hAnsi="Cambria"/>
      <w:szCs w:val="21"/>
    </w:rPr>
  </w:style>
  <w:style w:type="character" w:default="1" w:styleId="32">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widowControl w:val="0"/>
      <w:adjustRightInd/>
      <w:snapToGrid/>
      <w:spacing w:line="240" w:lineRule="auto"/>
      <w:ind w:left="2520" w:leftChars="1200" w:firstLine="0" w:firstLineChars="0"/>
    </w:pPr>
    <w:rPr>
      <w:rFonts w:asciiTheme="minorHAnsi" w:hAnsiTheme="minorHAnsi" w:eastAsiaTheme="minorEastAsia" w:cstheme="minorBidi"/>
      <w:sz w:val="21"/>
    </w:rPr>
  </w:style>
  <w:style w:type="paragraph" w:styleId="12">
    <w:name w:val="caption"/>
    <w:basedOn w:val="1"/>
    <w:next w:val="1"/>
    <w:link w:val="95"/>
    <w:qFormat/>
    <w:uiPriority w:val="35"/>
    <w:pPr>
      <w:widowControl w:val="0"/>
      <w:adjustRightInd/>
      <w:snapToGrid/>
    </w:pPr>
    <w:rPr>
      <w:rFonts w:ascii="等线 Light" w:hAnsi="等线 Light" w:eastAsia="黑体"/>
      <w:sz w:val="20"/>
      <w:szCs w:val="20"/>
    </w:rPr>
  </w:style>
  <w:style w:type="paragraph" w:styleId="13">
    <w:name w:val="annotation text"/>
    <w:basedOn w:val="1"/>
    <w:link w:val="65"/>
    <w:unhideWhenUsed/>
    <w:qFormat/>
    <w:uiPriority w:val="99"/>
    <w:pPr>
      <w:jc w:val="left"/>
    </w:pPr>
  </w:style>
  <w:style w:type="paragraph" w:styleId="14">
    <w:name w:val="Body Text"/>
    <w:basedOn w:val="1"/>
    <w:link w:val="80"/>
    <w:unhideWhenUsed/>
    <w:qFormat/>
    <w:uiPriority w:val="1"/>
    <w:pPr>
      <w:widowControl w:val="0"/>
      <w:spacing w:after="120"/>
    </w:pPr>
    <w:rPr>
      <w:rFonts w:ascii="Times New Roman"/>
      <w:sz w:val="28"/>
      <w:szCs w:val="24"/>
    </w:rPr>
  </w:style>
  <w:style w:type="paragraph" w:styleId="15">
    <w:name w:val="Body Text Indent"/>
    <w:basedOn w:val="1"/>
    <w:link w:val="75"/>
    <w:unhideWhenUsed/>
    <w:qFormat/>
    <w:uiPriority w:val="99"/>
    <w:pPr>
      <w:spacing w:after="120"/>
      <w:ind w:left="420" w:leftChars="200"/>
    </w:pPr>
  </w:style>
  <w:style w:type="paragraph" w:styleId="16">
    <w:name w:val="toc 5"/>
    <w:basedOn w:val="1"/>
    <w:next w:val="1"/>
    <w:unhideWhenUsed/>
    <w:qFormat/>
    <w:uiPriority w:val="39"/>
    <w:pPr>
      <w:widowControl w:val="0"/>
      <w:adjustRightInd/>
      <w:snapToGrid/>
      <w:spacing w:line="240" w:lineRule="auto"/>
      <w:ind w:left="1680" w:leftChars="800" w:firstLine="0" w:firstLineChars="0"/>
    </w:pPr>
    <w:rPr>
      <w:rFonts w:asciiTheme="minorHAnsi" w:hAnsiTheme="minorHAnsi" w:eastAsiaTheme="minorEastAsia" w:cstheme="minorBidi"/>
      <w:sz w:val="21"/>
    </w:rPr>
  </w:style>
  <w:style w:type="paragraph" w:styleId="17">
    <w:name w:val="toc 3"/>
    <w:next w:val="1"/>
    <w:unhideWhenUsed/>
    <w:qFormat/>
    <w:uiPriority w:val="39"/>
    <w:pPr>
      <w:adjustRightInd w:val="0"/>
      <w:snapToGrid w:val="0"/>
      <w:spacing w:before="50" w:beforeLines="50" w:after="50" w:afterLines="50"/>
      <w:ind w:left="680"/>
      <w:jc w:val="both"/>
    </w:pPr>
    <w:rPr>
      <w:rFonts w:ascii="等线" w:hAnsi="等线" w:eastAsia="黑体" w:cs="Times New Roman"/>
      <w:sz w:val="24"/>
      <w:szCs w:val="22"/>
      <w:lang w:val="en-US" w:eastAsia="zh-CN" w:bidi="ar-SA"/>
    </w:rPr>
  </w:style>
  <w:style w:type="paragraph" w:styleId="18">
    <w:name w:val="toc 8"/>
    <w:basedOn w:val="1"/>
    <w:next w:val="1"/>
    <w:unhideWhenUsed/>
    <w:qFormat/>
    <w:uiPriority w:val="39"/>
    <w:pPr>
      <w:widowControl w:val="0"/>
      <w:adjustRightInd/>
      <w:snapToGrid/>
      <w:spacing w:line="240" w:lineRule="auto"/>
      <w:ind w:left="2940" w:leftChars="1400" w:firstLine="0" w:firstLineChars="0"/>
    </w:pPr>
    <w:rPr>
      <w:rFonts w:asciiTheme="minorHAnsi" w:hAnsiTheme="minorHAnsi" w:eastAsiaTheme="minorEastAsia" w:cstheme="minorBidi"/>
      <w:sz w:val="21"/>
    </w:rPr>
  </w:style>
  <w:style w:type="paragraph" w:styleId="19">
    <w:name w:val="Balloon Text"/>
    <w:basedOn w:val="1"/>
    <w:link w:val="70"/>
    <w:unhideWhenUsed/>
    <w:qFormat/>
    <w:uiPriority w:val="99"/>
    <w:pPr>
      <w:widowControl w:val="0"/>
      <w:adjustRightInd/>
      <w:snapToGrid/>
      <w:spacing w:afterLines="50" w:line="240" w:lineRule="auto"/>
      <w:ind w:firstLine="480"/>
    </w:pPr>
    <w:rPr>
      <w:rFonts w:asciiTheme="minorHAnsi" w:hAnsiTheme="minorHAnsi" w:eastAsiaTheme="minorEastAsia" w:cstheme="minorBidi"/>
      <w:sz w:val="18"/>
      <w:szCs w:val="18"/>
    </w:rPr>
  </w:style>
  <w:style w:type="paragraph" w:styleId="20">
    <w:name w:val="footer"/>
    <w:basedOn w:val="1"/>
    <w:link w:val="51"/>
    <w:unhideWhenUsed/>
    <w:qFormat/>
    <w:uiPriority w:val="99"/>
    <w:pPr>
      <w:tabs>
        <w:tab w:val="center" w:pos="4153"/>
        <w:tab w:val="right" w:pos="8306"/>
      </w:tabs>
      <w:jc w:val="left"/>
    </w:pPr>
    <w:rPr>
      <w:rFonts w:asciiTheme="minorHAnsi" w:hAnsiTheme="minorHAnsi" w:eastAsiaTheme="minorEastAsia" w:cstheme="minorBidi"/>
      <w:sz w:val="18"/>
      <w:szCs w:val="18"/>
    </w:rPr>
  </w:style>
  <w:style w:type="paragraph" w:styleId="21">
    <w:name w:val="header"/>
    <w:link w:val="58"/>
    <w:unhideWhenUsed/>
    <w:qFormat/>
    <w:uiPriority w:val="99"/>
    <w:pPr>
      <w:pBdr>
        <w:bottom w:val="single" w:color="auto" w:sz="6" w:space="1"/>
      </w:pBdr>
      <w:adjustRightInd w:val="0"/>
      <w:snapToGrid w:val="0"/>
    </w:pPr>
    <w:rPr>
      <w:rFonts w:ascii="宋体" w:eastAsia="宋体" w:hAnsiTheme="minorHAnsi" w:cstheme="minorBidi"/>
      <w:kern w:val="2"/>
      <w:sz w:val="18"/>
      <w:szCs w:val="18"/>
      <w:lang w:val="en-US" w:eastAsia="zh-CN" w:bidi="ar-SA"/>
    </w:rPr>
  </w:style>
  <w:style w:type="paragraph" w:styleId="22">
    <w:name w:val="toc 1"/>
    <w:next w:val="1"/>
    <w:unhideWhenUsed/>
    <w:qFormat/>
    <w:uiPriority w:val="39"/>
    <w:pPr>
      <w:adjustRightInd w:val="0"/>
      <w:snapToGrid w:val="0"/>
      <w:spacing w:line="588" w:lineRule="exact"/>
      <w:jc w:val="both"/>
    </w:pPr>
    <w:rPr>
      <w:rFonts w:ascii="楷体" w:hAnsi="楷体" w:eastAsia="楷体" w:cs="楷体"/>
      <w:sz w:val="32"/>
      <w:szCs w:val="32"/>
      <w:lang w:val="en-US" w:eastAsia="zh-CN" w:bidi="ar-SA"/>
    </w:rPr>
  </w:style>
  <w:style w:type="paragraph" w:styleId="23">
    <w:name w:val="toc 4"/>
    <w:basedOn w:val="1"/>
    <w:next w:val="1"/>
    <w:unhideWhenUsed/>
    <w:qFormat/>
    <w:uiPriority w:val="39"/>
    <w:pPr>
      <w:widowControl w:val="0"/>
      <w:adjustRightInd/>
      <w:snapToGrid/>
      <w:spacing w:line="240" w:lineRule="auto"/>
      <w:ind w:left="1260" w:leftChars="600" w:firstLine="0" w:firstLineChars="0"/>
    </w:pPr>
    <w:rPr>
      <w:rFonts w:asciiTheme="minorHAnsi" w:hAnsiTheme="minorHAnsi" w:eastAsiaTheme="minorEastAsia" w:cstheme="minorBidi"/>
      <w:sz w:val="21"/>
    </w:rPr>
  </w:style>
  <w:style w:type="paragraph" w:styleId="24">
    <w:name w:val="toc 6"/>
    <w:basedOn w:val="1"/>
    <w:next w:val="1"/>
    <w:unhideWhenUsed/>
    <w:qFormat/>
    <w:uiPriority w:val="39"/>
    <w:pPr>
      <w:widowControl w:val="0"/>
      <w:adjustRightInd/>
      <w:snapToGrid/>
      <w:spacing w:line="240" w:lineRule="auto"/>
      <w:ind w:left="2100" w:leftChars="1000" w:firstLine="0" w:firstLineChars="0"/>
    </w:pPr>
    <w:rPr>
      <w:rFonts w:asciiTheme="minorHAnsi" w:hAnsiTheme="minorHAnsi" w:eastAsiaTheme="minorEastAsia" w:cstheme="minorBidi"/>
      <w:sz w:val="21"/>
    </w:rPr>
  </w:style>
  <w:style w:type="paragraph" w:styleId="25">
    <w:name w:val="toc 2"/>
    <w:next w:val="1"/>
    <w:unhideWhenUsed/>
    <w:qFormat/>
    <w:uiPriority w:val="39"/>
    <w:pPr>
      <w:adjustRightInd w:val="0"/>
      <w:snapToGrid w:val="0"/>
      <w:spacing w:line="500" w:lineRule="exact"/>
      <w:ind w:left="454"/>
      <w:jc w:val="both"/>
    </w:pPr>
    <w:rPr>
      <w:rFonts w:ascii="楷体" w:hAnsi="楷体" w:eastAsia="楷体" w:cs="楷体"/>
      <w:sz w:val="32"/>
      <w:szCs w:val="32"/>
      <w:lang w:val="en-US" w:eastAsia="zh-CN" w:bidi="ar-SA"/>
    </w:rPr>
  </w:style>
  <w:style w:type="paragraph" w:styleId="26">
    <w:name w:val="toc 9"/>
    <w:basedOn w:val="1"/>
    <w:next w:val="1"/>
    <w:unhideWhenUsed/>
    <w:qFormat/>
    <w:uiPriority w:val="39"/>
    <w:pPr>
      <w:widowControl w:val="0"/>
      <w:adjustRightInd/>
      <w:snapToGrid/>
      <w:spacing w:line="240" w:lineRule="auto"/>
      <w:ind w:left="3360" w:leftChars="1600" w:firstLine="0" w:firstLineChars="0"/>
    </w:pPr>
    <w:rPr>
      <w:rFonts w:asciiTheme="minorHAnsi" w:hAnsiTheme="minorHAnsi" w:eastAsiaTheme="minorEastAsia" w:cstheme="minorBidi"/>
      <w:sz w:val="21"/>
    </w:rPr>
  </w:style>
  <w:style w:type="paragraph" w:styleId="27">
    <w:name w:val="HTML Preformatted"/>
    <w:basedOn w:val="1"/>
    <w:link w:val="74"/>
    <w:unhideWhenUsed/>
    <w:qFormat/>
    <w:uiPriority w:val="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spacing w:before="156" w:after="156" w:afterLines="50"/>
      <w:ind w:firstLine="480"/>
      <w:jc w:val="left"/>
    </w:pPr>
    <w:rPr>
      <w:rFonts w:hint="eastAsia"/>
      <w:kern w:val="0"/>
      <w:szCs w:val="24"/>
    </w:rPr>
  </w:style>
  <w:style w:type="paragraph" w:styleId="28">
    <w:name w:val="Normal (Web)"/>
    <w:basedOn w:val="1"/>
    <w:unhideWhenUsed/>
    <w:qFormat/>
    <w:uiPriority w:val="99"/>
    <w:pPr>
      <w:widowControl w:val="0"/>
      <w:adjustRightInd/>
      <w:snapToGrid/>
      <w:spacing w:afterLines="50"/>
      <w:ind w:firstLine="480"/>
      <w:jc w:val="left"/>
    </w:pPr>
    <w:rPr>
      <w:kern w:val="0"/>
    </w:rPr>
  </w:style>
  <w:style w:type="paragraph" w:styleId="29">
    <w:name w:val="annotation subject"/>
    <w:basedOn w:val="13"/>
    <w:next w:val="13"/>
    <w:link w:val="66"/>
    <w:unhideWhenUsed/>
    <w:qFormat/>
    <w:uiPriority w:val="99"/>
    <w:rPr>
      <w:b/>
      <w:bCs/>
    </w:rPr>
  </w:style>
  <w:style w:type="table" w:styleId="31">
    <w:name w:val="Table Grid"/>
    <w:basedOn w:val="30"/>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Strong"/>
    <w:qFormat/>
    <w:uiPriority w:val="22"/>
    <w:rPr>
      <w:b/>
      <w:bCs/>
    </w:rPr>
  </w:style>
  <w:style w:type="character" w:styleId="34">
    <w:name w:val="FollowedHyperlink"/>
    <w:basedOn w:val="32"/>
    <w:semiHidden/>
    <w:unhideWhenUsed/>
    <w:qFormat/>
    <w:uiPriority w:val="99"/>
    <w:rPr>
      <w:color w:val="954F72"/>
      <w:u w:val="single"/>
    </w:rPr>
  </w:style>
  <w:style w:type="character" w:styleId="35">
    <w:name w:val="Emphasis"/>
    <w:qFormat/>
    <w:uiPriority w:val="20"/>
    <w:rPr>
      <w:i/>
      <w:iCs/>
    </w:rPr>
  </w:style>
  <w:style w:type="character" w:styleId="36">
    <w:name w:val="Hyperlink"/>
    <w:unhideWhenUsed/>
    <w:qFormat/>
    <w:uiPriority w:val="99"/>
    <w:rPr>
      <w:color w:val="0563C1"/>
      <w:u w:val="single"/>
    </w:rPr>
  </w:style>
  <w:style w:type="character" w:styleId="37">
    <w:name w:val="annotation reference"/>
    <w:unhideWhenUsed/>
    <w:qFormat/>
    <w:uiPriority w:val="99"/>
    <w:rPr>
      <w:sz w:val="21"/>
      <w:szCs w:val="21"/>
    </w:rPr>
  </w:style>
  <w:style w:type="character" w:customStyle="1" w:styleId="38">
    <w:name w:val="无间隔 字符"/>
    <w:link w:val="39"/>
    <w:qFormat/>
    <w:uiPriority w:val="1"/>
    <w:rPr>
      <w:sz w:val="24"/>
      <w:szCs w:val="32"/>
    </w:rPr>
  </w:style>
  <w:style w:type="paragraph" w:styleId="39">
    <w:name w:val="No Spacing"/>
    <w:link w:val="38"/>
    <w:qFormat/>
    <w:uiPriority w:val="1"/>
    <w:pPr>
      <w:widowControl w:val="0"/>
      <w:jc w:val="both"/>
    </w:pPr>
    <w:rPr>
      <w:rFonts w:asciiTheme="minorHAnsi" w:hAnsiTheme="minorHAnsi" w:eastAsiaTheme="minorEastAsia" w:cstheme="minorBidi"/>
      <w:kern w:val="2"/>
      <w:sz w:val="24"/>
      <w:szCs w:val="32"/>
      <w:lang w:val="en-US" w:eastAsia="zh-CN" w:bidi="ar-SA"/>
    </w:rPr>
  </w:style>
  <w:style w:type="character" w:customStyle="1" w:styleId="40">
    <w:name w:val="标题 1 字符"/>
    <w:basedOn w:val="32"/>
    <w:link w:val="2"/>
    <w:qFormat/>
    <w:uiPriority w:val="9"/>
    <w:rPr>
      <w:rFonts w:ascii="方正小标宋简体" w:hAnsi="方正小标宋简体" w:eastAsia="方正小标宋简体" w:cs="方正小标宋简体"/>
      <w:bCs/>
      <w:kern w:val="44"/>
      <w:sz w:val="36"/>
      <w:szCs w:val="36"/>
    </w:rPr>
  </w:style>
  <w:style w:type="character" w:customStyle="1" w:styleId="41">
    <w:name w:val="标题 2 字符"/>
    <w:basedOn w:val="32"/>
    <w:link w:val="3"/>
    <w:qFormat/>
    <w:uiPriority w:val="9"/>
    <w:rPr>
      <w:rFonts w:ascii="黑体" w:hAnsi="Cambria" w:eastAsia="黑体"/>
      <w:bCs/>
      <w:kern w:val="2"/>
      <w:sz w:val="32"/>
      <w:szCs w:val="30"/>
    </w:rPr>
  </w:style>
  <w:style w:type="character" w:customStyle="1" w:styleId="42">
    <w:name w:val="标题 3 字符"/>
    <w:basedOn w:val="32"/>
    <w:link w:val="4"/>
    <w:qFormat/>
    <w:uiPriority w:val="9"/>
    <w:rPr>
      <w:rFonts w:ascii="楷体" w:hAnsi="楷体" w:eastAsia="楷体" w:cs="楷体"/>
      <w:bCs/>
      <w:kern w:val="2"/>
      <w:sz w:val="32"/>
      <w:szCs w:val="32"/>
    </w:rPr>
  </w:style>
  <w:style w:type="character" w:customStyle="1" w:styleId="43">
    <w:name w:val="标题 4 字符"/>
    <w:basedOn w:val="32"/>
    <w:link w:val="5"/>
    <w:qFormat/>
    <w:uiPriority w:val="9"/>
    <w:rPr>
      <w:rFonts w:ascii="仿宋_GB2312" w:hAnsi="仿宋_GB2312" w:eastAsia="仿宋_GB2312" w:cs="仿宋_GB2312"/>
      <w:bCs/>
      <w:kern w:val="2"/>
      <w:sz w:val="32"/>
      <w:szCs w:val="32"/>
    </w:rPr>
  </w:style>
  <w:style w:type="character" w:customStyle="1" w:styleId="44">
    <w:name w:val="标题 5 字符"/>
    <w:basedOn w:val="32"/>
    <w:link w:val="6"/>
    <w:qFormat/>
    <w:uiPriority w:val="9"/>
    <w:rPr>
      <w:rFonts w:ascii="仿宋_GB2312" w:hAnsi="仿宋_GB2312" w:eastAsia="仿宋_GB2312" w:cs="仿宋_GB2312"/>
      <w:bCs/>
      <w:kern w:val="2"/>
      <w:sz w:val="32"/>
      <w:szCs w:val="32"/>
    </w:rPr>
  </w:style>
  <w:style w:type="character" w:customStyle="1" w:styleId="45">
    <w:name w:val="标题 6 字符"/>
    <w:basedOn w:val="32"/>
    <w:link w:val="7"/>
    <w:qFormat/>
    <w:uiPriority w:val="9"/>
    <w:rPr>
      <w:rFonts w:ascii="Cambria" w:hAnsi="Cambria" w:eastAsia="宋体" w:cs="Times New Roman"/>
      <w:b/>
      <w:bCs/>
      <w:sz w:val="24"/>
      <w:szCs w:val="24"/>
    </w:rPr>
  </w:style>
  <w:style w:type="character" w:customStyle="1" w:styleId="46">
    <w:name w:val="标题 7 字符"/>
    <w:basedOn w:val="32"/>
    <w:link w:val="8"/>
    <w:qFormat/>
    <w:uiPriority w:val="9"/>
    <w:rPr>
      <w:rFonts w:ascii="Times New Roman" w:hAnsi="Times New Roman" w:eastAsia="宋体" w:cs="Times New Roman"/>
      <w:b/>
      <w:bCs/>
      <w:sz w:val="24"/>
      <w:szCs w:val="24"/>
    </w:rPr>
  </w:style>
  <w:style w:type="character" w:customStyle="1" w:styleId="47">
    <w:name w:val="标题 8 字符"/>
    <w:basedOn w:val="32"/>
    <w:link w:val="9"/>
    <w:qFormat/>
    <w:uiPriority w:val="9"/>
    <w:rPr>
      <w:rFonts w:ascii="Cambria" w:hAnsi="Cambria" w:eastAsia="仿宋_GB2312"/>
      <w:kern w:val="2"/>
      <w:sz w:val="32"/>
      <w:szCs w:val="24"/>
    </w:rPr>
  </w:style>
  <w:style w:type="character" w:customStyle="1" w:styleId="48">
    <w:name w:val="标题 9 字符"/>
    <w:basedOn w:val="32"/>
    <w:link w:val="10"/>
    <w:qFormat/>
    <w:uiPriority w:val="9"/>
    <w:rPr>
      <w:rFonts w:ascii="Cambria" w:hAnsi="Cambria" w:eastAsia="仿宋_GB2312"/>
      <w:kern w:val="2"/>
      <w:sz w:val="32"/>
      <w:szCs w:val="21"/>
    </w:rPr>
  </w:style>
  <w:style w:type="character" w:customStyle="1" w:styleId="49">
    <w:name w:val="表格正文 字符"/>
    <w:link w:val="50"/>
    <w:qFormat/>
    <w:uiPriority w:val="0"/>
    <w:rPr>
      <w:rFonts w:ascii="仿宋_GB2312" w:hAnsi="仿宋_GB2312" w:eastAsia="仿宋_GB2312" w:cs="仿宋_GB2312"/>
      <w:kern w:val="2"/>
      <w:sz w:val="28"/>
      <w:szCs w:val="22"/>
    </w:rPr>
  </w:style>
  <w:style w:type="paragraph" w:customStyle="1" w:styleId="50">
    <w:name w:val="表格正文"/>
    <w:link w:val="49"/>
    <w:qFormat/>
    <w:uiPriority w:val="0"/>
    <w:pPr>
      <w:adjustRightInd w:val="0"/>
      <w:snapToGrid w:val="0"/>
      <w:spacing w:line="500" w:lineRule="exact"/>
      <w:ind w:firstLine="200" w:firstLineChars="200"/>
    </w:pPr>
    <w:rPr>
      <w:rFonts w:ascii="仿宋_GB2312" w:hAnsi="仿宋_GB2312" w:eastAsia="仿宋_GB2312" w:cs="仿宋_GB2312"/>
      <w:kern w:val="2"/>
      <w:sz w:val="28"/>
      <w:szCs w:val="22"/>
      <w:lang w:val="en-US" w:eastAsia="zh-CN" w:bidi="ar-SA"/>
    </w:rPr>
  </w:style>
  <w:style w:type="character" w:customStyle="1" w:styleId="51">
    <w:name w:val="页脚 字符"/>
    <w:link w:val="20"/>
    <w:qFormat/>
    <w:uiPriority w:val="99"/>
    <w:rPr>
      <w:sz w:val="18"/>
      <w:szCs w:val="18"/>
    </w:rPr>
  </w:style>
  <w:style w:type="character" w:customStyle="1" w:styleId="52">
    <w:name w:val="页脚 字符1"/>
    <w:basedOn w:val="32"/>
    <w:semiHidden/>
    <w:qFormat/>
    <w:uiPriority w:val="99"/>
    <w:rPr>
      <w:rFonts w:ascii="Times New Roman" w:hAnsi="Times New Roman" w:eastAsia="宋体" w:cs="Times New Roman"/>
      <w:sz w:val="18"/>
      <w:szCs w:val="18"/>
    </w:rPr>
  </w:style>
  <w:style w:type="paragraph" w:customStyle="1" w:styleId="53">
    <w:name w:val="封面"/>
    <w:basedOn w:val="1"/>
    <w:link w:val="54"/>
    <w:qFormat/>
    <w:uiPriority w:val="0"/>
    <w:pPr>
      <w:spacing w:before="400" w:beforeLines="400"/>
      <w:ind w:firstLine="0" w:firstLineChars="0"/>
      <w:jc w:val="center"/>
    </w:pPr>
    <w:rPr>
      <w:rFonts w:ascii="黑体" w:eastAsia="黑体"/>
      <w:b/>
      <w:spacing w:val="80"/>
      <w:sz w:val="72"/>
      <w:szCs w:val="72"/>
    </w:rPr>
  </w:style>
  <w:style w:type="character" w:customStyle="1" w:styleId="54">
    <w:name w:val="封面 字符"/>
    <w:link w:val="53"/>
    <w:qFormat/>
    <w:uiPriority w:val="0"/>
    <w:rPr>
      <w:rFonts w:ascii="黑体" w:hAnsi="Times New Roman" w:eastAsia="黑体" w:cs="Times New Roman"/>
      <w:b/>
      <w:spacing w:val="80"/>
      <w:sz w:val="72"/>
      <w:szCs w:val="72"/>
    </w:rPr>
  </w:style>
  <w:style w:type="character" w:customStyle="1" w:styleId="55">
    <w:name w:val="明显强调1"/>
    <w:qFormat/>
    <w:uiPriority w:val="21"/>
    <w:rPr>
      <w:i/>
      <w:iCs/>
      <w:color w:val="4472C4"/>
    </w:rPr>
  </w:style>
  <w:style w:type="paragraph" w:customStyle="1" w:styleId="56">
    <w:name w:val="附表"/>
    <w:next w:val="1"/>
    <w:link w:val="57"/>
    <w:qFormat/>
    <w:uiPriority w:val="0"/>
    <w:pPr>
      <w:keepNext/>
      <w:pageBreakBefore/>
      <w:adjustRightInd w:val="0"/>
      <w:snapToGrid w:val="0"/>
      <w:spacing w:before="100" w:beforeLines="100"/>
      <w:jc w:val="both"/>
      <w:outlineLvl w:val="0"/>
    </w:pPr>
    <w:rPr>
      <w:rFonts w:ascii="黑体" w:hAnsi="Times New Roman" w:eastAsia="黑体" w:cs="Times New Roman"/>
      <w:b/>
      <w:bCs/>
      <w:kern w:val="44"/>
      <w:sz w:val="36"/>
      <w:szCs w:val="44"/>
      <w:lang w:val="en-US" w:eastAsia="zh-CN" w:bidi="ar-SA"/>
    </w:rPr>
  </w:style>
  <w:style w:type="character" w:customStyle="1" w:styleId="57">
    <w:name w:val="附表 字符"/>
    <w:link w:val="56"/>
    <w:qFormat/>
    <w:uiPriority w:val="0"/>
    <w:rPr>
      <w:rFonts w:ascii="黑体" w:hAnsi="Times New Roman" w:eastAsia="黑体" w:cs="Times New Roman"/>
      <w:b/>
      <w:bCs/>
      <w:kern w:val="44"/>
      <w:sz w:val="36"/>
      <w:szCs w:val="44"/>
    </w:rPr>
  </w:style>
  <w:style w:type="character" w:customStyle="1" w:styleId="58">
    <w:name w:val="页眉 字符"/>
    <w:link w:val="21"/>
    <w:qFormat/>
    <w:uiPriority w:val="99"/>
    <w:rPr>
      <w:rFonts w:ascii="宋体" w:eastAsia="宋体"/>
      <w:sz w:val="18"/>
      <w:szCs w:val="18"/>
    </w:rPr>
  </w:style>
  <w:style w:type="character" w:customStyle="1" w:styleId="59">
    <w:name w:val="页眉 字符1"/>
    <w:basedOn w:val="32"/>
    <w:semiHidden/>
    <w:qFormat/>
    <w:uiPriority w:val="99"/>
    <w:rPr>
      <w:rFonts w:ascii="Times New Roman" w:hAnsi="Times New Roman" w:eastAsia="宋体" w:cs="Times New Roman"/>
      <w:sz w:val="18"/>
      <w:szCs w:val="18"/>
    </w:rPr>
  </w:style>
  <w:style w:type="table" w:customStyle="1" w:styleId="60">
    <w:name w:val="样式1"/>
    <w:basedOn w:val="30"/>
    <w:qFormat/>
    <w:uiPriority w:val="99"/>
    <w:pPr>
      <w:adjustRightInd w:val="0"/>
      <w:snapToGrid w:val="0"/>
      <w:jc w:val="center"/>
    </w:pPr>
    <w:rPr>
      <w:rFonts w:ascii="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cantSplit/>
    </w:trPr>
    <w:tcPr>
      <w:vAlign w:val="center"/>
    </w:tcPr>
    <w:tblStylePr w:type="firstRow">
      <w:pPr>
        <w:keepNext/>
        <w:keepLines w:val="0"/>
        <w:pageBreakBefore w:val="0"/>
        <w:widowControl/>
        <w:suppressLineNumbers w:val="0"/>
        <w:suppressAutoHyphens w:val="0"/>
        <w:kinsoku/>
        <w:wordWrap/>
        <w:overflowPunct/>
        <w:topLinePunct w:val="0"/>
        <w:autoSpaceDE/>
        <w:autoSpaceDN/>
        <w:adjustRightInd w:val="0"/>
        <w:snapToGrid w:val="0"/>
        <w:contextualSpacing w:val="0"/>
        <w:jc w:val="center"/>
      </w:pPr>
      <w:rPr>
        <w:rFonts w:eastAsia="宋体"/>
        <w:b/>
        <w:sz w:val="21"/>
      </w:rPr>
      <w:tblPr/>
      <w:trPr>
        <w:tblHeader/>
      </w:trPr>
      <w:tcPr>
        <w:shd w:val="clear" w:color="auto" w:fill="BFBFBF"/>
      </w:tcPr>
    </w:tblStylePr>
  </w:style>
  <w:style w:type="paragraph" w:customStyle="1" w:styleId="61">
    <w:name w:val="TOC 标题1"/>
    <w:basedOn w:val="2"/>
    <w:next w:val="1"/>
    <w:qFormat/>
    <w:uiPriority w:val="39"/>
    <w:pPr>
      <w:numPr>
        <w:numId w:val="0"/>
      </w:numPr>
      <w:spacing w:beforeLines="0" w:beforeAutospacing="1"/>
      <w:outlineLvl w:val="9"/>
    </w:pPr>
    <w:rPr>
      <w:rFonts w:ascii="等线 Light" w:hAnsi="等线 Light"/>
      <w:b/>
      <w:bCs w:val="0"/>
      <w:kern w:val="0"/>
      <w:sz w:val="44"/>
      <w:szCs w:val="32"/>
    </w:rPr>
  </w:style>
  <w:style w:type="paragraph" w:customStyle="1" w:styleId="62">
    <w:name w:val="图名"/>
    <w:basedOn w:val="63"/>
    <w:next w:val="1"/>
    <w:link w:val="64"/>
    <w:qFormat/>
    <w:uiPriority w:val="0"/>
    <w:pPr>
      <w:keepNext w:val="0"/>
    </w:pPr>
  </w:style>
  <w:style w:type="paragraph" w:customStyle="1" w:styleId="63">
    <w:name w:val="表名"/>
    <w:next w:val="50"/>
    <w:link w:val="76"/>
    <w:qFormat/>
    <w:uiPriority w:val="0"/>
    <w:pPr>
      <w:keepNext/>
      <w:keepLines/>
      <w:adjustRightInd w:val="0"/>
      <w:snapToGrid w:val="0"/>
      <w:spacing w:before="326" w:beforeLines="100" w:after="163" w:afterLines="50"/>
      <w:outlineLvl w:val="1"/>
    </w:pPr>
    <w:rPr>
      <w:rFonts w:ascii="黑体" w:hAnsi="黑体" w:eastAsia="仿宋_GB2312" w:cs="Times New Roman"/>
      <w:b/>
      <w:bCs/>
      <w:kern w:val="44"/>
      <w:sz w:val="24"/>
      <w:szCs w:val="44"/>
      <w:lang w:val="en-US" w:eastAsia="zh-CN" w:bidi="ar-SA"/>
    </w:rPr>
  </w:style>
  <w:style w:type="character" w:customStyle="1" w:styleId="64">
    <w:name w:val="图名 字符"/>
    <w:link w:val="62"/>
    <w:qFormat/>
    <w:uiPriority w:val="0"/>
    <w:rPr>
      <w:rFonts w:ascii="黑体" w:hAnsi="黑体" w:eastAsia="仿宋_GB2312"/>
      <w:b/>
      <w:bCs/>
      <w:kern w:val="44"/>
      <w:sz w:val="24"/>
      <w:szCs w:val="44"/>
    </w:rPr>
  </w:style>
  <w:style w:type="character" w:customStyle="1" w:styleId="65">
    <w:name w:val="批注文字 字符"/>
    <w:basedOn w:val="32"/>
    <w:link w:val="13"/>
    <w:qFormat/>
    <w:uiPriority w:val="99"/>
    <w:rPr>
      <w:rFonts w:ascii="Times New Roman" w:hAnsi="Times New Roman" w:eastAsia="宋体" w:cs="Times New Roman"/>
      <w:sz w:val="24"/>
    </w:rPr>
  </w:style>
  <w:style w:type="character" w:customStyle="1" w:styleId="66">
    <w:name w:val="批注主题 字符"/>
    <w:basedOn w:val="65"/>
    <w:link w:val="29"/>
    <w:qFormat/>
    <w:uiPriority w:val="99"/>
    <w:rPr>
      <w:rFonts w:ascii="Times New Roman" w:hAnsi="Times New Roman" w:eastAsia="宋体" w:cs="Times New Roman"/>
      <w:b/>
      <w:bCs/>
      <w:sz w:val="24"/>
    </w:rPr>
  </w:style>
  <w:style w:type="paragraph" w:customStyle="1" w:styleId="67">
    <w:name w:val="图片"/>
    <w:next w:val="62"/>
    <w:link w:val="68"/>
    <w:qFormat/>
    <w:uiPriority w:val="0"/>
    <w:pPr>
      <w:keepNext/>
      <w:widowControl w:val="0"/>
      <w:adjustRightInd w:val="0"/>
      <w:snapToGrid w:val="0"/>
      <w:spacing w:before="100" w:beforeLines="100" w:after="50" w:afterLines="50"/>
      <w:jc w:val="center"/>
    </w:pPr>
    <w:rPr>
      <w:rFonts w:ascii="Times New Roman" w:hAnsi="Times New Roman" w:eastAsia="宋体" w:cs="Times New Roman"/>
      <w:kern w:val="2"/>
      <w:sz w:val="24"/>
      <w:szCs w:val="22"/>
      <w:lang w:val="en-US" w:eastAsia="zh-CN" w:bidi="ar-SA"/>
    </w:rPr>
  </w:style>
  <w:style w:type="character" w:customStyle="1" w:styleId="68">
    <w:name w:val="图片 字符"/>
    <w:link w:val="67"/>
    <w:qFormat/>
    <w:uiPriority w:val="0"/>
    <w:rPr>
      <w:rFonts w:ascii="Times New Roman" w:hAnsi="Times New Roman" w:eastAsia="宋体" w:cs="Times New Roman"/>
      <w:sz w:val="24"/>
    </w:rPr>
  </w:style>
  <w:style w:type="character" w:customStyle="1" w:styleId="69">
    <w:name w:val="正文文本首行缩进 字符"/>
    <w:semiHidden/>
    <w:qFormat/>
    <w:uiPriority w:val="99"/>
  </w:style>
  <w:style w:type="character" w:customStyle="1" w:styleId="70">
    <w:name w:val="批注框文本 字符"/>
    <w:link w:val="19"/>
    <w:qFormat/>
    <w:uiPriority w:val="99"/>
    <w:rPr>
      <w:sz w:val="18"/>
      <w:szCs w:val="18"/>
    </w:rPr>
  </w:style>
  <w:style w:type="character" w:customStyle="1" w:styleId="71">
    <w:name w:val="批注框文本 字符1"/>
    <w:basedOn w:val="32"/>
    <w:semiHidden/>
    <w:qFormat/>
    <w:uiPriority w:val="99"/>
    <w:rPr>
      <w:rFonts w:ascii="Times New Roman" w:hAnsi="Times New Roman" w:eastAsia="宋体" w:cs="Times New Roman"/>
      <w:sz w:val="18"/>
      <w:szCs w:val="18"/>
    </w:rPr>
  </w:style>
  <w:style w:type="paragraph" w:styleId="72">
    <w:name w:val="List Paragraph"/>
    <w:basedOn w:val="1"/>
    <w:link w:val="73"/>
    <w:qFormat/>
    <w:uiPriority w:val="34"/>
    <w:pPr>
      <w:widowControl w:val="0"/>
      <w:adjustRightInd/>
      <w:snapToGrid/>
      <w:ind w:firstLine="420"/>
    </w:pPr>
  </w:style>
  <w:style w:type="character" w:customStyle="1" w:styleId="73">
    <w:name w:val="列表段落 字符"/>
    <w:link w:val="72"/>
    <w:qFormat/>
    <w:uiPriority w:val="34"/>
    <w:rPr>
      <w:rFonts w:ascii="Times New Roman" w:hAnsi="Times New Roman" w:eastAsia="宋体" w:cs="Times New Roman"/>
      <w:sz w:val="24"/>
    </w:rPr>
  </w:style>
  <w:style w:type="character" w:customStyle="1" w:styleId="74">
    <w:name w:val="HTML 预设格式 字符"/>
    <w:basedOn w:val="32"/>
    <w:link w:val="27"/>
    <w:qFormat/>
    <w:uiPriority w:val="99"/>
    <w:rPr>
      <w:rFonts w:ascii="宋体" w:hAnsi="宋体" w:eastAsia="宋体" w:cs="Times New Roman"/>
      <w:kern w:val="0"/>
      <w:sz w:val="24"/>
      <w:szCs w:val="24"/>
    </w:rPr>
  </w:style>
  <w:style w:type="character" w:customStyle="1" w:styleId="75">
    <w:name w:val="正文文本缩进 字符"/>
    <w:basedOn w:val="32"/>
    <w:link w:val="15"/>
    <w:qFormat/>
    <w:uiPriority w:val="99"/>
    <w:rPr>
      <w:rFonts w:ascii="Times New Roman" w:hAnsi="Times New Roman" w:eastAsia="宋体" w:cs="Times New Roman"/>
      <w:sz w:val="24"/>
    </w:rPr>
  </w:style>
  <w:style w:type="character" w:customStyle="1" w:styleId="76">
    <w:name w:val="表名 字符"/>
    <w:basedOn w:val="64"/>
    <w:link w:val="63"/>
    <w:qFormat/>
    <w:uiPriority w:val="0"/>
    <w:rPr>
      <w:rFonts w:ascii="黑体" w:hAnsi="黑体" w:eastAsia="仿宋_GB2312"/>
      <w:kern w:val="44"/>
      <w:sz w:val="24"/>
      <w:szCs w:val="44"/>
    </w:rPr>
  </w:style>
  <w:style w:type="character" w:customStyle="1" w:styleId="77">
    <w:name w:val="未处理的提及1"/>
    <w:basedOn w:val="32"/>
    <w:semiHidden/>
    <w:unhideWhenUsed/>
    <w:qFormat/>
    <w:uiPriority w:val="99"/>
    <w:rPr>
      <w:color w:val="605E5C"/>
      <w:shd w:val="clear" w:color="auto" w:fill="E1DFDD"/>
    </w:rPr>
  </w:style>
  <w:style w:type="table" w:customStyle="1" w:styleId="78">
    <w:name w:val="网格型浅色1"/>
    <w:basedOn w:val="30"/>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character" w:customStyle="1" w:styleId="79">
    <w:name w:val="正文首行缩进 Char"/>
    <w:basedOn w:val="32"/>
    <w:qFormat/>
    <w:uiPriority w:val="0"/>
    <w:rPr>
      <w:rFonts w:hint="eastAsia" w:ascii="黑体" w:hAnsi="宋体" w:eastAsia="黑体" w:cs="黑体"/>
      <w:color w:val="000000"/>
      <w:kern w:val="2"/>
      <w:sz w:val="28"/>
      <w:szCs w:val="24"/>
      <w:lang w:val="en-US" w:eastAsia="zh-CN" w:bidi="ar"/>
    </w:rPr>
  </w:style>
  <w:style w:type="character" w:customStyle="1" w:styleId="80">
    <w:name w:val="正文文本 字符"/>
    <w:basedOn w:val="32"/>
    <w:link w:val="14"/>
    <w:qFormat/>
    <w:uiPriority w:val="1"/>
    <w:rPr>
      <w:rFonts w:hint="eastAsia" w:ascii="黑体" w:hAnsi="宋体" w:eastAsia="黑体" w:cs="黑体"/>
      <w:color w:val="000000"/>
      <w:kern w:val="2"/>
      <w:sz w:val="21"/>
      <w:szCs w:val="24"/>
      <w:lang w:val="en-US" w:eastAsia="zh-CN" w:bidi="ar"/>
    </w:rPr>
  </w:style>
  <w:style w:type="character" w:customStyle="1" w:styleId="81">
    <w:name w:val="正文01 字符"/>
    <w:basedOn w:val="32"/>
    <w:link w:val="82"/>
    <w:qFormat/>
    <w:uiPriority w:val="0"/>
    <w:rPr>
      <w:rFonts w:hint="eastAsia" w:ascii="宋体" w:hAnsi="宋体" w:eastAsia="宋体" w:cs="宋体"/>
      <w:kern w:val="2"/>
      <w:sz w:val="24"/>
      <w:szCs w:val="24"/>
    </w:rPr>
  </w:style>
  <w:style w:type="paragraph" w:customStyle="1" w:styleId="82">
    <w:name w:val="正文01"/>
    <w:basedOn w:val="1"/>
    <w:link w:val="81"/>
    <w:qFormat/>
    <w:uiPriority w:val="0"/>
    <w:pPr>
      <w:widowControl w:val="0"/>
      <w:ind w:firstLine="480"/>
    </w:pPr>
    <w:rPr>
      <w:rFonts w:hint="eastAsia"/>
      <w:szCs w:val="24"/>
    </w:rPr>
  </w:style>
  <w:style w:type="paragraph" w:customStyle="1" w:styleId="83">
    <w:name w:val="msonormal"/>
    <w:basedOn w:val="1"/>
    <w:qFormat/>
    <w:uiPriority w:val="0"/>
    <w:pPr>
      <w:adjustRightInd/>
      <w:snapToGrid/>
      <w:spacing w:before="100" w:beforeAutospacing="1" w:after="100" w:afterAutospacing="1" w:line="240" w:lineRule="auto"/>
      <w:ind w:firstLine="0" w:firstLineChars="0"/>
      <w:jc w:val="left"/>
    </w:pPr>
    <w:rPr>
      <w:rFonts w:cs="宋体"/>
      <w:kern w:val="0"/>
      <w:szCs w:val="24"/>
    </w:rPr>
  </w:style>
  <w:style w:type="paragraph" w:customStyle="1" w:styleId="84">
    <w:name w:val="font5"/>
    <w:basedOn w:val="1"/>
    <w:qFormat/>
    <w:uiPriority w:val="0"/>
    <w:pPr>
      <w:adjustRightInd/>
      <w:snapToGrid/>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85">
    <w:name w:val="font6"/>
    <w:basedOn w:val="1"/>
    <w:qFormat/>
    <w:uiPriority w:val="0"/>
    <w:pPr>
      <w:adjustRightInd/>
      <w:snapToGrid/>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86">
    <w:name w:val="xl65"/>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87">
    <w:name w:val="xl66"/>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88">
    <w:name w:val="xl67"/>
    <w:basedOn w:val="1"/>
    <w:qFormat/>
    <w:uiPriority w:val="0"/>
    <w:pPr>
      <w:adjustRightInd/>
      <w:snapToGrid/>
      <w:spacing w:before="100" w:beforeAutospacing="1" w:after="100" w:afterAutospacing="1" w:line="240" w:lineRule="auto"/>
      <w:ind w:firstLine="0" w:firstLineChars="0"/>
      <w:jc w:val="left"/>
    </w:pPr>
    <w:rPr>
      <w:rFonts w:cs="宋体"/>
      <w:kern w:val="0"/>
      <w:szCs w:val="24"/>
    </w:rPr>
  </w:style>
  <w:style w:type="paragraph" w:customStyle="1" w:styleId="89">
    <w:name w:val="xl68"/>
    <w:basedOn w:val="1"/>
    <w:qFormat/>
    <w:uiPriority w:val="0"/>
    <w:pP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90">
    <w:name w:val="4级要点"/>
    <w:next w:val="1"/>
    <w:qFormat/>
    <w:uiPriority w:val="0"/>
    <w:pPr>
      <w:keepNext/>
      <w:adjustRightInd w:val="0"/>
      <w:snapToGrid w:val="0"/>
      <w:spacing w:before="163" w:beforeLines="50" w:after="163" w:afterLines="50" w:line="360" w:lineRule="auto"/>
      <w:ind w:left="85" w:firstLine="340"/>
    </w:pPr>
    <w:rPr>
      <w:rFonts w:ascii="宋体" w:hAnsi="Times New Roman" w:eastAsia="宋体" w:cs="Times New Roman"/>
      <w:b/>
      <w:kern w:val="2"/>
      <w:sz w:val="24"/>
      <w:szCs w:val="22"/>
      <w:lang w:val="en-US" w:eastAsia="zh-CN" w:bidi="ar-SA"/>
    </w:rPr>
  </w:style>
  <w:style w:type="paragraph" w:customStyle="1" w:styleId="91">
    <w:name w:val="5级要点"/>
    <w:next w:val="1"/>
    <w:qFormat/>
    <w:uiPriority w:val="0"/>
    <w:pPr>
      <w:adjustRightInd w:val="0"/>
      <w:snapToGrid w:val="0"/>
      <w:spacing w:before="50" w:beforeLines="50" w:after="50" w:afterLines="50" w:line="360" w:lineRule="auto"/>
      <w:ind w:firstLine="567"/>
    </w:pPr>
    <w:rPr>
      <w:rFonts w:ascii="宋体" w:hAnsi="Times New Roman" w:eastAsia="宋体" w:cs="Times New Roman"/>
      <w:b/>
      <w:kern w:val="2"/>
      <w:sz w:val="24"/>
      <w:szCs w:val="22"/>
      <w:lang w:val="en-US" w:eastAsia="zh-CN" w:bidi="ar-SA"/>
    </w:rPr>
  </w:style>
  <w:style w:type="paragraph" w:customStyle="1" w:styleId="92">
    <w:name w:val="Default"/>
    <w:qFormat/>
    <w:uiPriority w:val="0"/>
    <w:pPr>
      <w:widowControl w:val="0"/>
      <w:autoSpaceDE w:val="0"/>
      <w:autoSpaceDN w:val="0"/>
      <w:adjustRightInd w:val="0"/>
    </w:pPr>
    <w:rPr>
      <w:rFonts w:ascii="黑体" w:hAnsi="黑体" w:eastAsia="宋体" w:cs="黑体"/>
      <w:color w:val="000000"/>
      <w:sz w:val="24"/>
      <w:szCs w:val="24"/>
      <w:lang w:val="en-US" w:eastAsia="zh-CN" w:bidi="ar-SA"/>
    </w:rPr>
  </w:style>
  <w:style w:type="character" w:customStyle="1" w:styleId="93">
    <w:name w:val="表 字符"/>
    <w:link w:val="94"/>
    <w:qFormat/>
    <w:locked/>
    <w:uiPriority w:val="0"/>
    <w:rPr>
      <w:rFonts w:ascii="宋体" w:hAnsi="宋体"/>
      <w:kern w:val="2"/>
      <w:sz w:val="21"/>
      <w:szCs w:val="21"/>
    </w:rPr>
  </w:style>
  <w:style w:type="paragraph" w:customStyle="1" w:styleId="94">
    <w:name w:val="表"/>
    <w:basedOn w:val="1"/>
    <w:link w:val="93"/>
    <w:qFormat/>
    <w:uiPriority w:val="0"/>
    <w:pPr>
      <w:widowControl w:val="0"/>
      <w:adjustRightInd/>
      <w:snapToGrid/>
      <w:spacing w:line="240" w:lineRule="auto"/>
      <w:ind w:firstLine="0" w:firstLineChars="0"/>
    </w:pPr>
    <w:rPr>
      <w:sz w:val="21"/>
      <w:szCs w:val="21"/>
    </w:rPr>
  </w:style>
  <w:style w:type="character" w:customStyle="1" w:styleId="95">
    <w:name w:val="题注 字符"/>
    <w:link w:val="12"/>
    <w:qFormat/>
    <w:locked/>
    <w:uiPriority w:val="35"/>
    <w:rPr>
      <w:rFonts w:ascii="等线 Light" w:hAnsi="等线 Light" w:eastAsia="黑体"/>
      <w:kern w:val="2"/>
    </w:rPr>
  </w:style>
  <w:style w:type="paragraph" w:customStyle="1" w:styleId="96">
    <w:name w:val="表格"/>
    <w:basedOn w:val="1"/>
    <w:link w:val="97"/>
    <w:qFormat/>
    <w:uiPriority w:val="0"/>
    <w:pPr>
      <w:widowControl w:val="0"/>
      <w:adjustRightInd/>
      <w:snapToGrid/>
      <w:spacing w:line="580" w:lineRule="exact"/>
      <w:ind w:firstLine="0" w:firstLineChars="0"/>
      <w:jc w:val="center"/>
    </w:pPr>
    <w:rPr>
      <w:sz w:val="21"/>
      <w:szCs w:val="21"/>
    </w:rPr>
  </w:style>
  <w:style w:type="character" w:customStyle="1" w:styleId="97">
    <w:name w:val="表格 Char"/>
    <w:link w:val="96"/>
    <w:qFormat/>
    <w:locked/>
    <w:uiPriority w:val="0"/>
    <w:rPr>
      <w:rFonts w:ascii="宋体" w:hAnsi="宋体" w:eastAsia="仿宋_GB2312"/>
      <w:kern w:val="2"/>
      <w:sz w:val="21"/>
      <w:szCs w:val="21"/>
    </w:rPr>
  </w:style>
  <w:style w:type="paragraph" w:customStyle="1" w:styleId="98">
    <w:name w:val="专栏标题"/>
    <w:basedOn w:val="1"/>
    <w:link w:val="99"/>
    <w:qFormat/>
    <w:uiPriority w:val="0"/>
    <w:pPr>
      <w:spacing w:line="500" w:lineRule="exact"/>
      <w:ind w:firstLine="0" w:firstLineChars="0"/>
      <w:jc w:val="center"/>
    </w:pPr>
    <w:rPr>
      <w:b/>
      <w:bCs/>
      <w:sz w:val="28"/>
      <w:szCs w:val="20"/>
    </w:rPr>
  </w:style>
  <w:style w:type="character" w:customStyle="1" w:styleId="99">
    <w:name w:val="专栏标题 字符"/>
    <w:basedOn w:val="32"/>
    <w:link w:val="98"/>
    <w:qFormat/>
    <w:uiPriority w:val="0"/>
    <w:rPr>
      <w:rFonts w:ascii="宋体" w:hAnsi="宋体" w:eastAsia="仿宋_GB2312"/>
      <w:b/>
      <w:bCs/>
      <w:kern w:val="2"/>
      <w:sz w:val="28"/>
    </w:rPr>
  </w:style>
  <w:style w:type="paragraph" w:customStyle="1" w:styleId="100">
    <w:name w:val="_Style 2"/>
    <w:qFormat/>
    <w:uiPriority w:val="1"/>
    <w:pPr>
      <w:widowControl w:val="0"/>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101">
    <w:name w:val="专栏文字"/>
    <w:basedOn w:val="1"/>
    <w:link w:val="102"/>
    <w:qFormat/>
    <w:uiPriority w:val="0"/>
    <w:pPr>
      <w:widowControl w:val="0"/>
      <w:ind w:firstLine="420"/>
    </w:pPr>
    <w:rPr>
      <w:rFonts w:ascii="Times New Roman" w:hAnsi="Times New Roman"/>
      <w:sz w:val="21"/>
      <w:szCs w:val="20"/>
    </w:rPr>
  </w:style>
  <w:style w:type="character" w:customStyle="1" w:styleId="102">
    <w:name w:val="专栏文字 字符"/>
    <w:basedOn w:val="32"/>
    <w:link w:val="101"/>
    <w:qFormat/>
    <w:uiPriority w:val="0"/>
    <w:rPr>
      <w:rFonts w:eastAsia="仿宋_GB2312"/>
      <w:kern w:val="2"/>
      <w:sz w:val="21"/>
    </w:rPr>
  </w:style>
  <w:style w:type="paragraph" w:customStyle="1" w:styleId="103">
    <w:name w:val="专栏内容"/>
    <w:basedOn w:val="1"/>
    <w:link w:val="104"/>
    <w:qFormat/>
    <w:uiPriority w:val="0"/>
    <w:pPr>
      <w:widowControl w:val="0"/>
      <w:ind w:firstLine="422"/>
    </w:pPr>
    <w:rPr>
      <w:rFonts w:ascii="Times New Roman" w:hAnsi="Times New Roman"/>
      <w:bCs/>
      <w:sz w:val="21"/>
      <w:szCs w:val="20"/>
    </w:rPr>
  </w:style>
  <w:style w:type="character" w:customStyle="1" w:styleId="104">
    <w:name w:val="专栏内容 字符"/>
    <w:basedOn w:val="32"/>
    <w:link w:val="103"/>
    <w:qFormat/>
    <w:uiPriority w:val="0"/>
    <w:rPr>
      <w:rFonts w:eastAsia="仿宋_GB2312"/>
      <w:bCs/>
      <w:kern w:val="2"/>
      <w:sz w:val="21"/>
    </w:rPr>
  </w:style>
  <w:style w:type="character" w:customStyle="1" w:styleId="105">
    <w:name w:val="注脚 字符"/>
    <w:basedOn w:val="32"/>
    <w:link w:val="106"/>
    <w:qFormat/>
    <w:locked/>
    <w:uiPriority w:val="0"/>
    <w:rPr>
      <w:rFonts w:ascii="楷体_GB2312" w:hAnsi="宋体" w:eastAsia="楷体_GB2312"/>
      <w:kern w:val="2"/>
      <w:sz w:val="24"/>
    </w:rPr>
  </w:style>
  <w:style w:type="paragraph" w:customStyle="1" w:styleId="106">
    <w:name w:val="注脚"/>
    <w:basedOn w:val="1"/>
    <w:link w:val="105"/>
    <w:qFormat/>
    <w:uiPriority w:val="0"/>
    <w:pPr>
      <w:ind w:firstLine="0" w:firstLineChars="0"/>
    </w:pPr>
    <w:rPr>
      <w:rFonts w:ascii="楷体_GB2312" w:eastAsia="楷体_GB2312"/>
      <w:sz w:val="24"/>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 Type="http://schemas.openxmlformats.org/officeDocument/2006/relationships/image" Target="media/image4.jpeg"/><Relationship Id="rId16" Type="http://schemas.openxmlformats.org/officeDocument/2006/relationships/image" Target="media/image3.jpeg"/><Relationship Id="rId15" Type="http://schemas.openxmlformats.org/officeDocument/2006/relationships/image" Target="media/image2.jpe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105</Pages>
  <Words>6391</Words>
  <Characters>36433</Characters>
  <Lines>303</Lines>
  <Paragraphs>85</Paragraphs>
  <TotalTime>4729</TotalTime>
  <ScaleCrop>false</ScaleCrop>
  <LinksUpToDate>false</LinksUpToDate>
  <CharactersWithSpaces>42739</CharactersWithSpaces>
  <Application>WPS Office_11.8.2.9980_F1E327BC-269C-435d-A152-05C5408002CA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2025-07-17T14:53:00Z</dcterms:created>
  <dc:creator>Lee wintersweet</dc:creator>
  <cp:lastModifiedBy>kylin</cp:lastModifiedBy>
  <cp:lastPrinted>2025-08-12T18:33:00Z</cp:lastPrinted>
  <dcterms:modified xsi:type="dcterms:W3CDTF">2026-02-05T15:50:57Z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2052-11.8.2.9980</vt:lpwstr>
  </property>
  <property fmtid="{D5CDD505-2E9C-101B-9397-08002B2CF9AE}" pid="3" name="ICV">
    <vt:lpwstr>38E1466444224D0A93CE8049DB88D4EB</vt:lpwstr>
  </property>
</Properties>
</file>